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310</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78B1BED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关于黔江区邻鄂镇2026年第一批入户道路（村社便道）硬化项目可行性研究报告的批复</w:t>
      </w:r>
    </w:p>
    <w:p w14:paraId="7A007DD4">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sz w:val="32"/>
        </w:rPr>
      </w:pPr>
    </w:p>
    <w:p w14:paraId="66E50269">
      <w:pPr>
        <w:spacing w:line="52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邻鄂镇人民政府</w:t>
      </w:r>
      <w:r>
        <w:rPr>
          <w:rFonts w:hint="default" w:ascii="Times New Roman" w:hAnsi="Times New Roman" w:eastAsia="方正仿宋_GBK" w:cs="Times New Roman"/>
          <w:sz w:val="32"/>
          <w:szCs w:val="32"/>
        </w:rPr>
        <w:t>：</w:t>
      </w:r>
    </w:p>
    <w:p w14:paraId="6337ABB8">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府</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报送</w:t>
      </w:r>
      <w:r>
        <w:rPr>
          <w:rFonts w:hint="default" w:ascii="Times New Roman" w:hAnsi="Times New Roman" w:eastAsia="方正仿宋_GBK" w:cs="Times New Roman"/>
          <w:sz w:val="32"/>
          <w:szCs w:val="32"/>
        </w:rPr>
        <w:t>黔江区邻鄂镇2026年第一批入户道路（村社便道）硬化项目可行性研究报告</w:t>
      </w:r>
      <w:r>
        <w:rPr>
          <w:rFonts w:hint="default" w:ascii="Times New Roman" w:hAnsi="Times New Roman" w:eastAsia="方正仿宋_GBK" w:cs="Times New Roman"/>
          <w:sz w:val="32"/>
          <w:szCs w:val="32"/>
          <w:lang w:eastAsia="zh-CN"/>
        </w:rPr>
        <w:t>的函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邻鄂府函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93</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投资项目前期工作服务中心评</w:t>
      </w:r>
      <w:r>
        <w:rPr>
          <w:rFonts w:hint="default" w:ascii="Times New Roman" w:hAnsi="Times New Roman" w:eastAsia="方正仿宋_GBK" w:cs="Times New Roman"/>
          <w:b w:val="0"/>
          <w:bCs w:val="0"/>
          <w:sz w:val="32"/>
          <w:szCs w:val="32"/>
        </w:rPr>
        <w:t>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37E614F7">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一、为提升邻鄂镇五马顶社区、松林村、邻鄂村、艾坪村农村居民生产生活条件，同意实施该项目。</w:t>
      </w:r>
    </w:p>
    <w:p w14:paraId="370D454F">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二、项目代码：2607</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01</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486525。</w:t>
      </w:r>
    </w:p>
    <w:p w14:paraId="1D5E8EAB">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三、项目法人：黔江区邻鄂镇人民政府。</w:t>
      </w:r>
    </w:p>
    <w:p w14:paraId="1C4B5C5C">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四、项目建设地点：黔江区邻鄂镇五马顶社区、松林村、邻鄂村、艾坪村。</w:t>
      </w:r>
    </w:p>
    <w:p w14:paraId="748B7382">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硬化3.5米宽、20厘米厚，强度C25水泥混凝土路面3.243公里，部分区域设挡墙、错车道、涵管等。</w:t>
      </w:r>
    </w:p>
    <w:p w14:paraId="3710D28A">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六、投资估算及资金来源：项目估算总投资136.05万元，其中：工程费用124.93万元，工程建设其他费7.16万元，基本预备费3.96万元。资金来源为</w:t>
      </w:r>
      <w:r>
        <w:rPr>
          <w:rFonts w:hint="default" w:ascii="Times New Roman" w:hAnsi="Times New Roman" w:eastAsia="方正仿宋_GBK" w:cs="Times New Roman"/>
          <w:b w:val="0"/>
          <w:bCs w:val="0"/>
          <w:sz w:val="32"/>
          <w:szCs w:val="32"/>
          <w:lang w:eastAsia="zh-CN"/>
        </w:rPr>
        <w:t>市级以上农村综合改革转移支付资金，不足部分业主自筹</w:t>
      </w:r>
      <w:r>
        <w:rPr>
          <w:rFonts w:hint="default" w:ascii="Times New Roman" w:hAnsi="Times New Roman" w:eastAsia="方正仿宋_GBK" w:cs="Times New Roman"/>
          <w:b w:val="0"/>
          <w:bCs w:val="0"/>
          <w:sz w:val="32"/>
          <w:szCs w:val="32"/>
        </w:rPr>
        <w:t>。</w:t>
      </w:r>
    </w:p>
    <w:p w14:paraId="54BED8C4">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个月。</w:t>
      </w:r>
    </w:p>
    <w:p w14:paraId="04A4C030">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标核准：本项目招标范围、招标方式及招标组织形式严格按照《中华人民共和国招标投标法实施条例》</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《重庆市黔江区政府投资管理实施办法》</w:t>
      </w:r>
      <w:r>
        <w:rPr>
          <w:rFonts w:hint="default" w:ascii="Times New Roman" w:hAnsi="Times New Roman" w:eastAsia="方正仿宋_GBK" w:cs="Times New Roman"/>
          <w:b w:val="0"/>
          <w:bCs w:val="0"/>
          <w:sz w:val="32"/>
          <w:szCs w:val="32"/>
          <w:lang w:eastAsia="zh-CN"/>
        </w:rPr>
        <w:t>和农业领域推广以工代赈项目建设模式的</w:t>
      </w:r>
      <w:r>
        <w:rPr>
          <w:rFonts w:hint="default" w:ascii="Times New Roman" w:hAnsi="Times New Roman" w:eastAsia="方正仿宋_GBK" w:cs="Times New Roman"/>
          <w:b w:val="0"/>
          <w:bCs w:val="0"/>
          <w:sz w:val="32"/>
          <w:szCs w:val="32"/>
        </w:rPr>
        <w:t>有关规定组织实施。</w:t>
      </w:r>
    </w:p>
    <w:p w14:paraId="15EC88C5">
      <w:pPr>
        <w:spacing w:line="520" w:lineRule="exact"/>
        <w:ind w:firstLine="640" w:firstLineChars="200"/>
        <w:rPr>
          <w:rFonts w:hint="eastAsia"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rPr>
        <w:t>九、有关要求</w:t>
      </w:r>
      <w:r>
        <w:rPr>
          <w:rFonts w:hint="eastAsia" w:eastAsia="方正仿宋_GBK" w:cs="Times New Roman"/>
          <w:b w:val="0"/>
          <w:bCs w:val="0"/>
          <w:sz w:val="32"/>
          <w:szCs w:val="32"/>
          <w:lang w:eastAsia="zh-CN"/>
        </w:rPr>
        <w:t>：</w:t>
      </w:r>
    </w:p>
    <w:p w14:paraId="64F71AB9">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eastAsia="方正仿宋_GBK" w:cs="Times New Roman"/>
          <w:b w:val="0"/>
          <w:bCs w:val="0"/>
          <w:sz w:val="32"/>
          <w:szCs w:val="32"/>
          <w:lang w:eastAsia="zh-CN"/>
        </w:rPr>
        <w:t>一</w:t>
      </w:r>
      <w:r>
        <w:rPr>
          <w:rFonts w:hint="default" w:ascii="Times New Roman" w:hAnsi="Times New Roman" w:eastAsia="方正仿宋_GBK" w:cs="Times New Roman"/>
          <w:b w:val="0"/>
          <w:bCs w:val="0"/>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1CC83DD1">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eastAsia="方正仿宋_GBK" w:cs="Times New Roman"/>
          <w:b w:val="0"/>
          <w:bCs w:val="0"/>
          <w:sz w:val="32"/>
          <w:szCs w:val="32"/>
          <w:lang w:eastAsia="zh-CN"/>
        </w:rPr>
        <w:t>二</w:t>
      </w:r>
      <w:r>
        <w:rPr>
          <w:rFonts w:hint="default" w:ascii="Times New Roman" w:hAnsi="Times New Roman" w:eastAsia="方正仿宋_GBK" w:cs="Times New Roman"/>
          <w:b w:val="0"/>
          <w:bCs w:val="0"/>
          <w:sz w:val="32"/>
          <w:szCs w:val="32"/>
        </w:rPr>
        <w:t>）切实加强项目实施过程监管，严格执行推广以工代赈项目劳务用工和报酬发放有关规定，本项目实施过程中要最大限度吸纳当地农民工参与工程建设，项目累计用工人数不得少于</w:t>
      </w:r>
      <w:r>
        <w:rPr>
          <w:rFonts w:hint="default" w:ascii="Times New Roman" w:hAnsi="Times New Roman" w:eastAsia="方正仿宋_GBK" w:cs="Times New Roman"/>
          <w:b w:val="0"/>
          <w:bCs w:val="0"/>
          <w:sz w:val="32"/>
          <w:szCs w:val="32"/>
          <w:lang w:val="en-US" w:eastAsia="zh-CN"/>
        </w:rPr>
        <w:t>40</w:t>
      </w:r>
      <w:r>
        <w:rPr>
          <w:rFonts w:hint="default" w:ascii="Times New Roman" w:hAnsi="Times New Roman" w:eastAsia="方正仿宋_GBK" w:cs="Times New Roman"/>
          <w:b w:val="0"/>
          <w:bCs w:val="0"/>
          <w:sz w:val="32"/>
          <w:szCs w:val="32"/>
        </w:rPr>
        <w:t>人，发放劳务报酬金额不得低于</w:t>
      </w:r>
      <w:r>
        <w:rPr>
          <w:rFonts w:hint="default" w:ascii="Times New Roman" w:hAnsi="Times New Roman" w:eastAsia="方正仿宋_GBK" w:cs="Times New Roman"/>
          <w:b w:val="0"/>
          <w:bCs w:val="0"/>
          <w:sz w:val="32"/>
          <w:szCs w:val="32"/>
          <w:lang w:val="en-US" w:eastAsia="zh-CN"/>
        </w:rPr>
        <w:t>25.48</w:t>
      </w:r>
      <w:r>
        <w:rPr>
          <w:rFonts w:hint="default" w:ascii="Times New Roman" w:hAnsi="Times New Roman" w:eastAsia="方正仿宋_GBK" w:cs="Times New Roman"/>
          <w:b w:val="0"/>
          <w:bCs w:val="0"/>
          <w:sz w:val="32"/>
          <w:szCs w:val="32"/>
        </w:rPr>
        <w:t>万元。</w:t>
      </w:r>
    </w:p>
    <w:p w14:paraId="610545C5">
      <w:pPr>
        <w:spacing w:line="520"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w:t>
      </w:r>
      <w:r>
        <w:rPr>
          <w:rFonts w:hint="eastAsia" w:eastAsia="方正仿宋_GBK" w:cs="Times New Roman"/>
          <w:b w:val="0"/>
          <w:bCs w:val="0"/>
          <w:sz w:val="32"/>
          <w:szCs w:val="32"/>
          <w:lang w:val="en-US" w:eastAsia="zh-CN"/>
        </w:rPr>
        <w:t>三</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认真落实安全生产责任制</w:t>
      </w:r>
      <w:r>
        <w:rPr>
          <w:rFonts w:hint="eastAsia"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强化项目资金管理，切实控制投资，严控工程质量，加快推进项目实施，确保工程早日建成投用。</w:t>
      </w:r>
    </w:p>
    <w:p w14:paraId="21D76AAD">
      <w:pPr>
        <w:spacing w:line="520" w:lineRule="exact"/>
        <w:ind w:firstLine="640" w:firstLineChars="200"/>
        <w:rPr>
          <w:rFonts w:hint="default" w:ascii="Times New Roman" w:hAnsi="Times New Roman" w:eastAsia="方正仿宋_GBK" w:cs="Times New Roman"/>
          <w:b w:val="0"/>
          <w:bCs w:val="0"/>
          <w:sz w:val="32"/>
          <w:szCs w:val="32"/>
        </w:rPr>
      </w:pPr>
    </w:p>
    <w:p w14:paraId="575C549F">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附件：黔江区邻鄂镇2026年第一批入户道路（村社便道）硬化项目投资估算表</w:t>
      </w:r>
    </w:p>
    <w:p w14:paraId="0108886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7C77C3B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20" w:lineRule="exact"/>
        <w:ind w:firstLine="2880" w:firstLineChars="9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重庆市黔江区发展和改革委员会</w:t>
      </w:r>
    </w:p>
    <w:p w14:paraId="3C332C8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月</w:t>
      </w:r>
      <w:r>
        <w:rPr>
          <w:rFonts w:hint="default" w:ascii="Times New Roman" w:hAnsi="Times New Roman" w:eastAsia="方正仿宋_GBK" w:cs="Times New Roman"/>
          <w:b w:val="0"/>
          <w:bCs w:val="0"/>
          <w:sz w:val="32"/>
          <w:szCs w:val="32"/>
          <w:lang w:val="en-US" w:eastAsia="zh-CN"/>
        </w:rPr>
        <w:t>14</w:t>
      </w:r>
      <w:r>
        <w:rPr>
          <w:rFonts w:hint="default" w:ascii="Times New Roman" w:hAnsi="Times New Roman" w:eastAsia="方正仿宋_GBK" w:cs="Times New Roman"/>
          <w:b w:val="0"/>
          <w:bCs w:val="0"/>
          <w:sz w:val="32"/>
          <w:szCs w:val="32"/>
        </w:rPr>
        <w:t>日</w:t>
      </w:r>
      <w:r>
        <w:rPr>
          <w:rFonts w:hint="default" w:ascii="Times New Roman" w:hAnsi="Times New Roman" w:eastAsia="方正仿宋_GBK" w:cs="Times New Roman"/>
          <w:sz w:val="32"/>
          <w:szCs w:val="32"/>
          <w:lang w:val="en-US" w:eastAsia="zh-CN"/>
        </w:rPr>
        <w:t xml:space="preserve"> </w:t>
      </w:r>
    </w:p>
    <w:p w14:paraId="3BBFD9A4">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52C5DEBA">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0213929C">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E1D8504">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A1CB5D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E75C04C">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8B7ECDF">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E130773">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15928682">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60C82CE9">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228426CA">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810B5C7">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11E1B846">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13EA8E3">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0641739">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eastAsia" w:ascii="Times New Roman" w:hAnsi="Times New Roman" w:eastAsia="方正仿宋_GBK" w:cs="Times New Roman"/>
          <w:sz w:val="32"/>
          <w:szCs w:val="32"/>
          <w:lang w:val="en-US" w:eastAsia="zh-CN"/>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32"/>
          <w:szCs w:val="32"/>
        </w:rPr>
      </w:pP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黔江区邻鄂镇2026年第一批入户道路（村社便道）硬化项目投资估算表</w:t>
      </w:r>
    </w:p>
    <w:p w14:paraId="675BE02D">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36"/>
          <w:szCs w:val="36"/>
        </w:rPr>
      </w:pPr>
    </w:p>
    <w:tbl>
      <w:tblPr>
        <w:tblW w:w="90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13"/>
        <w:gridCol w:w="4091"/>
        <w:gridCol w:w="2032"/>
        <w:gridCol w:w="1936"/>
      </w:tblGrid>
      <w:tr w14:paraId="25AB4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2CBFBDA1">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 号</w:t>
            </w:r>
          </w:p>
        </w:tc>
        <w:tc>
          <w:tcPr>
            <w:tcW w:w="4091" w:type="dxa"/>
            <w:tcBorders>
              <w:top w:val="single" w:color="000000" w:sz="4" w:space="0"/>
              <w:left w:val="single" w:color="000000" w:sz="4" w:space="0"/>
              <w:bottom w:val="single" w:color="000000" w:sz="4" w:space="0"/>
              <w:right w:val="single" w:color="000000" w:sz="4" w:space="0"/>
            </w:tcBorders>
            <w:shd w:val="clear"/>
            <w:vAlign w:val="center"/>
          </w:tcPr>
          <w:p w14:paraId="078B22D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2032" w:type="dxa"/>
            <w:tcBorders>
              <w:top w:val="single" w:color="000000" w:sz="4" w:space="0"/>
              <w:left w:val="single" w:color="000000" w:sz="4" w:space="0"/>
              <w:bottom w:val="single" w:color="000000" w:sz="4" w:space="0"/>
              <w:right w:val="single" w:color="000000" w:sz="4" w:space="0"/>
            </w:tcBorders>
            <w:shd w:val="clear"/>
            <w:vAlign w:val="center"/>
          </w:tcPr>
          <w:p w14:paraId="6178300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金额（万元）</w:t>
            </w:r>
          </w:p>
        </w:tc>
        <w:tc>
          <w:tcPr>
            <w:tcW w:w="1936" w:type="dxa"/>
            <w:tcBorders>
              <w:top w:val="single" w:color="000000" w:sz="4" w:space="0"/>
              <w:left w:val="single" w:color="000000" w:sz="4" w:space="0"/>
              <w:bottom w:val="single" w:color="000000" w:sz="4" w:space="0"/>
              <w:right w:val="single" w:color="000000" w:sz="4" w:space="0"/>
            </w:tcBorders>
            <w:shd w:val="clear"/>
            <w:vAlign w:val="center"/>
          </w:tcPr>
          <w:p w14:paraId="6D8FB9F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备注</w:t>
            </w:r>
          </w:p>
        </w:tc>
      </w:tr>
      <w:tr w14:paraId="735C2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01BDD1F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一</w:t>
            </w:r>
          </w:p>
        </w:tc>
        <w:tc>
          <w:tcPr>
            <w:tcW w:w="4091" w:type="dxa"/>
            <w:tcBorders>
              <w:top w:val="single" w:color="000000" w:sz="4" w:space="0"/>
              <w:left w:val="single" w:color="000000" w:sz="4" w:space="0"/>
              <w:bottom w:val="single" w:color="000000" w:sz="4" w:space="0"/>
              <w:right w:val="single" w:color="000000" w:sz="4" w:space="0"/>
            </w:tcBorders>
            <w:shd w:val="clear"/>
            <w:vAlign w:val="center"/>
          </w:tcPr>
          <w:p w14:paraId="449F6AE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工程费用</w:t>
            </w:r>
          </w:p>
        </w:tc>
        <w:tc>
          <w:tcPr>
            <w:tcW w:w="2032" w:type="dxa"/>
            <w:tcBorders>
              <w:top w:val="single" w:color="000000" w:sz="4" w:space="0"/>
              <w:left w:val="single" w:color="000000" w:sz="4" w:space="0"/>
              <w:bottom w:val="single" w:color="000000" w:sz="4" w:space="0"/>
              <w:right w:val="single" w:color="000000" w:sz="4" w:space="0"/>
            </w:tcBorders>
            <w:shd w:val="clear"/>
            <w:vAlign w:val="center"/>
          </w:tcPr>
          <w:p w14:paraId="07BC7A4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124.93 </w:t>
            </w:r>
          </w:p>
        </w:tc>
        <w:tc>
          <w:tcPr>
            <w:tcW w:w="1936" w:type="dxa"/>
            <w:vMerge w:val="restart"/>
            <w:tcBorders>
              <w:top w:val="single" w:color="000000" w:sz="4" w:space="0"/>
              <w:left w:val="single" w:color="000000" w:sz="4" w:space="0"/>
              <w:bottom w:val="single" w:color="000000" w:sz="4" w:space="0"/>
              <w:right w:val="single" w:color="000000" w:sz="4" w:space="0"/>
            </w:tcBorders>
            <w:shd w:val="clear"/>
            <w:vAlign w:val="center"/>
          </w:tcPr>
          <w:p w14:paraId="5B487B5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项目实施过程中最大限度吸纳当地农民工参与工程建设，累计用工人数不得少于</w:t>
            </w:r>
            <w:r>
              <w:rPr>
                <w:rStyle w:val="29"/>
                <w:rFonts w:eastAsia="宋体"/>
                <w:bdr w:val="none" w:color="auto" w:sz="0" w:space="0"/>
                <w:lang w:val="en-US" w:eastAsia="zh-CN" w:bidi="ar"/>
              </w:rPr>
              <w:t>40</w:t>
            </w:r>
            <w:r>
              <w:rPr>
                <w:rFonts w:ascii="仿宋_GB2312" w:hAnsi="Times New Roman" w:eastAsia="仿宋_GB2312" w:cs="仿宋_GB2312"/>
                <w:i w:val="0"/>
                <w:iCs w:val="0"/>
                <w:color w:val="000000"/>
                <w:kern w:val="0"/>
                <w:sz w:val="28"/>
                <w:szCs w:val="28"/>
                <w:u w:val="none"/>
                <w:bdr w:val="none" w:color="auto" w:sz="0" w:space="0"/>
                <w:lang w:val="en-US" w:eastAsia="zh-CN" w:bidi="ar"/>
              </w:rPr>
              <w:t>人，发放劳务报酬金额不得低于</w:t>
            </w:r>
            <w:r>
              <w:rPr>
                <w:rStyle w:val="29"/>
                <w:rFonts w:eastAsia="宋体"/>
                <w:bdr w:val="none" w:color="auto" w:sz="0" w:space="0"/>
                <w:lang w:val="en-US" w:eastAsia="zh-CN" w:bidi="ar"/>
              </w:rPr>
              <w:t>25.48</w:t>
            </w:r>
            <w:r>
              <w:rPr>
                <w:rFonts w:ascii="仿宋_GB2312" w:hAnsi="Times New Roman" w:eastAsia="仿宋_GB2312" w:cs="仿宋_GB2312"/>
                <w:i w:val="0"/>
                <w:iCs w:val="0"/>
                <w:color w:val="000000"/>
                <w:kern w:val="0"/>
                <w:sz w:val="28"/>
                <w:szCs w:val="28"/>
                <w:u w:val="none"/>
                <w:bdr w:val="none" w:color="auto" w:sz="0" w:space="0"/>
                <w:lang w:val="en-US" w:eastAsia="zh-CN" w:bidi="ar"/>
              </w:rPr>
              <w:t>万元</w:t>
            </w:r>
          </w:p>
        </w:tc>
      </w:tr>
      <w:tr w14:paraId="43031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29F76BA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40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85827E">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黔江区邻鄂镇</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2026</w:t>
            </w:r>
            <w:r>
              <w:rPr>
                <w:rFonts w:ascii="方正仿宋_GBK" w:hAnsi="方正仿宋_GBK" w:eastAsia="方正仿宋_GBK" w:cs="方正仿宋_GBK"/>
                <w:i w:val="0"/>
                <w:iCs w:val="0"/>
                <w:color w:val="000000"/>
                <w:kern w:val="0"/>
                <w:sz w:val="28"/>
                <w:szCs w:val="28"/>
                <w:u w:val="none"/>
                <w:bdr w:val="none" w:color="auto" w:sz="0" w:space="0"/>
                <w:lang w:val="en-US" w:eastAsia="zh-CN" w:bidi="ar"/>
              </w:rPr>
              <w:t>年第一批入户道路（村社便道）硬化项目</w:t>
            </w:r>
          </w:p>
        </w:tc>
        <w:tc>
          <w:tcPr>
            <w:tcW w:w="20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9502C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124.93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2B30A4">
            <w:pPr>
              <w:jc w:val="center"/>
              <w:rPr>
                <w:rFonts w:hint="default" w:ascii="Times New Roman" w:hAnsi="Times New Roman" w:eastAsia="宋体" w:cs="Times New Roman"/>
                <w:i w:val="0"/>
                <w:iCs w:val="0"/>
                <w:color w:val="000000"/>
                <w:sz w:val="28"/>
                <w:szCs w:val="28"/>
                <w:u w:val="none"/>
              </w:rPr>
            </w:pPr>
          </w:p>
        </w:tc>
      </w:tr>
      <w:tr w14:paraId="3CBEA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522B0A9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二</w:t>
            </w:r>
          </w:p>
        </w:tc>
        <w:tc>
          <w:tcPr>
            <w:tcW w:w="4091" w:type="dxa"/>
            <w:tcBorders>
              <w:top w:val="single" w:color="000000" w:sz="4" w:space="0"/>
              <w:left w:val="single" w:color="000000" w:sz="4" w:space="0"/>
              <w:bottom w:val="single" w:color="000000" w:sz="4" w:space="0"/>
              <w:right w:val="single" w:color="000000" w:sz="4" w:space="0"/>
            </w:tcBorders>
            <w:shd w:val="clear"/>
            <w:vAlign w:val="center"/>
          </w:tcPr>
          <w:p w14:paraId="10CAC53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工程建设其他费</w:t>
            </w:r>
          </w:p>
        </w:tc>
        <w:tc>
          <w:tcPr>
            <w:tcW w:w="2032" w:type="dxa"/>
            <w:tcBorders>
              <w:top w:val="single" w:color="000000" w:sz="4" w:space="0"/>
              <w:left w:val="single" w:color="000000" w:sz="4" w:space="0"/>
              <w:bottom w:val="single" w:color="000000" w:sz="4" w:space="0"/>
              <w:right w:val="single" w:color="000000" w:sz="4" w:space="0"/>
            </w:tcBorders>
            <w:shd w:val="clear"/>
            <w:vAlign w:val="center"/>
          </w:tcPr>
          <w:p w14:paraId="49D026C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7.16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9FD3DE">
            <w:pPr>
              <w:jc w:val="center"/>
              <w:rPr>
                <w:rFonts w:hint="default" w:ascii="Times New Roman" w:hAnsi="Times New Roman" w:eastAsia="宋体" w:cs="Times New Roman"/>
                <w:i w:val="0"/>
                <w:iCs w:val="0"/>
                <w:color w:val="000000"/>
                <w:sz w:val="28"/>
                <w:szCs w:val="28"/>
                <w:u w:val="none"/>
              </w:rPr>
            </w:pPr>
          </w:p>
        </w:tc>
      </w:tr>
      <w:tr w14:paraId="41B1C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63680FC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40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570360">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工程建设监理费</w:t>
            </w:r>
          </w:p>
        </w:tc>
        <w:tc>
          <w:tcPr>
            <w:tcW w:w="20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1AFD5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2.81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C18C58">
            <w:pPr>
              <w:jc w:val="center"/>
              <w:rPr>
                <w:rFonts w:hint="default" w:ascii="Times New Roman" w:hAnsi="Times New Roman" w:eastAsia="宋体" w:cs="Times New Roman"/>
                <w:i w:val="0"/>
                <w:iCs w:val="0"/>
                <w:color w:val="000000"/>
                <w:sz w:val="28"/>
                <w:szCs w:val="28"/>
                <w:u w:val="none"/>
              </w:rPr>
            </w:pPr>
          </w:p>
        </w:tc>
      </w:tr>
      <w:tr w14:paraId="7BB9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40B805E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w:t>
            </w:r>
          </w:p>
        </w:tc>
        <w:tc>
          <w:tcPr>
            <w:tcW w:w="40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3D0C84">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建设项目前期工作费</w:t>
            </w:r>
          </w:p>
        </w:tc>
        <w:tc>
          <w:tcPr>
            <w:tcW w:w="20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CFDDD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3.75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144C14">
            <w:pPr>
              <w:jc w:val="center"/>
              <w:rPr>
                <w:rFonts w:hint="default" w:ascii="Times New Roman" w:hAnsi="Times New Roman" w:eastAsia="宋体" w:cs="Times New Roman"/>
                <w:i w:val="0"/>
                <w:iCs w:val="0"/>
                <w:color w:val="000000"/>
                <w:sz w:val="28"/>
                <w:szCs w:val="28"/>
                <w:u w:val="none"/>
              </w:rPr>
            </w:pPr>
          </w:p>
        </w:tc>
      </w:tr>
      <w:tr w14:paraId="5544A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1A1BCA2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w:t>
            </w:r>
          </w:p>
        </w:tc>
        <w:tc>
          <w:tcPr>
            <w:tcW w:w="40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A9D6BD">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设计文件审查费</w:t>
            </w:r>
          </w:p>
        </w:tc>
        <w:tc>
          <w:tcPr>
            <w:tcW w:w="20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42FD8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0.10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9B615F">
            <w:pPr>
              <w:jc w:val="center"/>
              <w:rPr>
                <w:rFonts w:hint="default" w:ascii="Times New Roman" w:hAnsi="Times New Roman" w:eastAsia="宋体" w:cs="Times New Roman"/>
                <w:i w:val="0"/>
                <w:iCs w:val="0"/>
                <w:color w:val="000000"/>
                <w:sz w:val="28"/>
                <w:szCs w:val="28"/>
                <w:u w:val="none"/>
              </w:rPr>
            </w:pPr>
          </w:p>
        </w:tc>
      </w:tr>
      <w:tr w14:paraId="3FDC4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49BEE3A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w:t>
            </w:r>
          </w:p>
        </w:tc>
        <w:tc>
          <w:tcPr>
            <w:tcW w:w="40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72EF3E">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工程保险费</w:t>
            </w:r>
          </w:p>
        </w:tc>
        <w:tc>
          <w:tcPr>
            <w:tcW w:w="20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8F612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0.50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319311">
            <w:pPr>
              <w:jc w:val="center"/>
              <w:rPr>
                <w:rFonts w:hint="default" w:ascii="Times New Roman" w:hAnsi="Times New Roman" w:eastAsia="宋体" w:cs="Times New Roman"/>
                <w:i w:val="0"/>
                <w:iCs w:val="0"/>
                <w:color w:val="000000"/>
                <w:sz w:val="28"/>
                <w:szCs w:val="28"/>
                <w:u w:val="none"/>
              </w:rPr>
            </w:pPr>
          </w:p>
        </w:tc>
      </w:tr>
      <w:tr w14:paraId="71F82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1A060CD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三</w:t>
            </w:r>
          </w:p>
        </w:tc>
        <w:tc>
          <w:tcPr>
            <w:tcW w:w="40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3195F9">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基本预备费</w:t>
            </w:r>
          </w:p>
        </w:tc>
        <w:tc>
          <w:tcPr>
            <w:tcW w:w="20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AE556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3.96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52447E">
            <w:pPr>
              <w:jc w:val="center"/>
              <w:rPr>
                <w:rFonts w:hint="default" w:ascii="Times New Roman" w:hAnsi="Times New Roman" w:eastAsia="宋体" w:cs="Times New Roman"/>
                <w:i w:val="0"/>
                <w:iCs w:val="0"/>
                <w:color w:val="000000"/>
                <w:sz w:val="28"/>
                <w:szCs w:val="28"/>
                <w:u w:val="none"/>
              </w:rPr>
            </w:pPr>
          </w:p>
        </w:tc>
      </w:tr>
      <w:tr w14:paraId="2B75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13" w:type="dxa"/>
            <w:tcBorders>
              <w:top w:val="single" w:color="000000" w:sz="4" w:space="0"/>
              <w:left w:val="single" w:color="000000" w:sz="4" w:space="0"/>
              <w:bottom w:val="single" w:color="000000" w:sz="4" w:space="0"/>
              <w:right w:val="single" w:color="000000" w:sz="4" w:space="0"/>
            </w:tcBorders>
            <w:shd w:val="clear"/>
            <w:vAlign w:val="center"/>
          </w:tcPr>
          <w:p w14:paraId="2C716A6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四</w:t>
            </w:r>
          </w:p>
        </w:tc>
        <w:tc>
          <w:tcPr>
            <w:tcW w:w="40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1C0B1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bdr w:val="none" w:color="auto" w:sz="0" w:space="0"/>
                <w:lang w:val="en-US" w:eastAsia="zh-CN" w:bidi="ar"/>
              </w:rPr>
              <w:t>建设项目总投资估算</w:t>
            </w:r>
          </w:p>
        </w:tc>
        <w:tc>
          <w:tcPr>
            <w:tcW w:w="20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709FD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136.05 </w:t>
            </w:r>
          </w:p>
        </w:tc>
        <w:tc>
          <w:tcPr>
            <w:tcW w:w="193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810C6D">
            <w:pPr>
              <w:jc w:val="center"/>
              <w:rPr>
                <w:rFonts w:hint="default" w:ascii="Times New Roman" w:hAnsi="Times New Roman" w:eastAsia="宋体" w:cs="Times New Roman"/>
                <w:i w:val="0"/>
                <w:iCs w:val="0"/>
                <w:color w:val="000000"/>
                <w:sz w:val="28"/>
                <w:szCs w:val="28"/>
                <w:u w:val="none"/>
              </w:rPr>
            </w:pPr>
          </w:p>
        </w:tc>
      </w:tr>
    </w:tbl>
    <w:p w14:paraId="5C39E2BA"/>
    <w:p w14:paraId="0BDC1F08">
      <w:bookmarkStart w:id="0" w:name="_GoBack"/>
      <w:bookmarkEnd w:id="0"/>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、区农业农村委</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14</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9E4BA5F0-789F-4EA4-B629-D4EDF0A1FAC8}"/>
  </w:font>
  <w:font w:name="方正仿宋_GBK">
    <w:panose1 w:val="03000509000000000000"/>
    <w:charset w:val="86"/>
    <w:family w:val="script"/>
    <w:pitch w:val="default"/>
    <w:sig w:usb0="00000001" w:usb1="080E0000" w:usb2="00000000" w:usb3="00000000" w:csb0="00040000" w:csb1="00000000"/>
    <w:embedRegular r:id="rId2" w:fontKey="{54764EAB-84D0-4A93-A234-BB4396D4E396}"/>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ABBD42DE-5E1E-4A7E-A233-A28F85A90D4C}"/>
  </w:font>
  <w:font w:name="方正楷体_GBK">
    <w:panose1 w:val="03000509000000000000"/>
    <w:charset w:val="86"/>
    <w:family w:val="auto"/>
    <w:pitch w:val="default"/>
    <w:sig w:usb0="00000001" w:usb1="080E0000" w:usb2="00000000" w:usb3="00000000" w:csb0="00040000" w:csb1="00000000"/>
    <w:embedRegular r:id="rId4" w:fontKey="{7E39D0FF-3A08-4667-9441-D42F0D0B5AD9}"/>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BFF354C9-0C2A-4941-ADE5-4A05A4BD5D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DB6B5E"/>
    <w:rsid w:val="04BB474E"/>
    <w:rsid w:val="050A24F8"/>
    <w:rsid w:val="05A00EFD"/>
    <w:rsid w:val="09FA769E"/>
    <w:rsid w:val="0AA56432"/>
    <w:rsid w:val="0B3E2722"/>
    <w:rsid w:val="0B7A378A"/>
    <w:rsid w:val="0C443D5D"/>
    <w:rsid w:val="0C4A4FFD"/>
    <w:rsid w:val="0CFC0645"/>
    <w:rsid w:val="0D37421D"/>
    <w:rsid w:val="0E090617"/>
    <w:rsid w:val="119A3908"/>
    <w:rsid w:val="14CA633F"/>
    <w:rsid w:val="15636F5B"/>
    <w:rsid w:val="175C5702"/>
    <w:rsid w:val="181B2628"/>
    <w:rsid w:val="193E59D1"/>
    <w:rsid w:val="1A261065"/>
    <w:rsid w:val="1F013809"/>
    <w:rsid w:val="1F950368"/>
    <w:rsid w:val="208F215E"/>
    <w:rsid w:val="250D18ED"/>
    <w:rsid w:val="254A0970"/>
    <w:rsid w:val="27F93F48"/>
    <w:rsid w:val="28D139F4"/>
    <w:rsid w:val="2AD46A97"/>
    <w:rsid w:val="2F7B047E"/>
    <w:rsid w:val="31A87524"/>
    <w:rsid w:val="35C004C6"/>
    <w:rsid w:val="39705D78"/>
    <w:rsid w:val="397671E0"/>
    <w:rsid w:val="3E011B99"/>
    <w:rsid w:val="3EF47EDA"/>
    <w:rsid w:val="407C1648"/>
    <w:rsid w:val="40A351EE"/>
    <w:rsid w:val="42E56A60"/>
    <w:rsid w:val="44BC36CE"/>
    <w:rsid w:val="456B28EB"/>
    <w:rsid w:val="47DB5B06"/>
    <w:rsid w:val="487D33E1"/>
    <w:rsid w:val="49EA64D4"/>
    <w:rsid w:val="4F735634"/>
    <w:rsid w:val="4FFB4CF6"/>
    <w:rsid w:val="5130612A"/>
    <w:rsid w:val="534E1E00"/>
    <w:rsid w:val="5726180C"/>
    <w:rsid w:val="57A8352A"/>
    <w:rsid w:val="57D810AF"/>
    <w:rsid w:val="5A6A3D0A"/>
    <w:rsid w:val="5BA34735"/>
    <w:rsid w:val="5F75634D"/>
    <w:rsid w:val="5FFE1A79"/>
    <w:rsid w:val="616F605C"/>
    <w:rsid w:val="653B0AE4"/>
    <w:rsid w:val="66560D21"/>
    <w:rsid w:val="678D70A8"/>
    <w:rsid w:val="6A6C1DE8"/>
    <w:rsid w:val="6AF30A16"/>
    <w:rsid w:val="6BAE6A0F"/>
    <w:rsid w:val="6C0B6505"/>
    <w:rsid w:val="6C68355C"/>
    <w:rsid w:val="6CE440E0"/>
    <w:rsid w:val="6DAE50AD"/>
    <w:rsid w:val="6EF61234"/>
    <w:rsid w:val="6F321C00"/>
    <w:rsid w:val="70EF6296"/>
    <w:rsid w:val="72141C90"/>
    <w:rsid w:val="73B4221F"/>
    <w:rsid w:val="74BA4923"/>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1"/>
    <w:basedOn w:val="11"/>
    <w:qFormat/>
    <w:uiPriority w:val="0"/>
    <w:rPr>
      <w:rFonts w:hint="eastAsia" w:ascii="方正仿宋_GBK" w:hAnsi="方正仿宋_GBK" w:eastAsia="方正仿宋_GBK" w:cs="方正仿宋_GBK"/>
      <w:color w:val="000000"/>
      <w:sz w:val="24"/>
      <w:szCs w:val="24"/>
      <w:u w:val="none"/>
    </w:rPr>
  </w:style>
  <w:style w:type="character" w:customStyle="1" w:styleId="27">
    <w:name w:val="font122"/>
    <w:basedOn w:val="11"/>
    <w:qFormat/>
    <w:uiPriority w:val="0"/>
    <w:rPr>
      <w:rFonts w:hint="eastAsia" w:ascii="宋体" w:hAnsi="宋体" w:eastAsia="宋体" w:cs="宋体"/>
      <w:b/>
      <w:bCs/>
      <w:color w:val="000000"/>
      <w:sz w:val="22"/>
      <w:szCs w:val="22"/>
      <w:u w:val="none"/>
    </w:rPr>
  </w:style>
  <w:style w:type="character" w:customStyle="1" w:styleId="28">
    <w:name w:val="font11"/>
    <w:basedOn w:val="11"/>
    <w:qFormat/>
    <w:uiPriority w:val="0"/>
    <w:rPr>
      <w:rFonts w:hint="default" w:ascii="Times New Roman" w:hAnsi="Times New Roman" w:cs="Times New Roman"/>
      <w:b/>
      <w:bCs/>
      <w:color w:val="000000"/>
      <w:sz w:val="28"/>
      <w:szCs w:val="28"/>
      <w:u w:val="none"/>
    </w:rPr>
  </w:style>
  <w:style w:type="character" w:customStyle="1" w:styleId="29">
    <w:name w:val="font31"/>
    <w:basedOn w:val="11"/>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914</Words>
  <Characters>1035</Characters>
  <Lines>11</Lines>
  <Paragraphs>3</Paragraphs>
  <TotalTime>2</TotalTime>
  <ScaleCrop>false</ScaleCrop>
  <LinksUpToDate>false</LinksUpToDate>
  <CharactersWithSpaces>1149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2026-08-14T08:55:00Z</cp:lastPrinted>
  <dcterms:modified xsi:type="dcterms:W3CDTF">2026-08-17T01:29:22Z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