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318</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51D0E479">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关于黔江区国有林场大干溪护林点地质安全</w:t>
      </w:r>
    </w:p>
    <w:p w14:paraId="77780BD4">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隐患应急抢险整治项目可行性</w:t>
      </w:r>
    </w:p>
    <w:p w14:paraId="78B1BEDB">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研究报告的批复</w:t>
      </w:r>
    </w:p>
    <w:p w14:paraId="7A007DD4">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rPr>
      </w:pPr>
    </w:p>
    <w:p w14:paraId="69CD8699">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区林业局</w:t>
      </w:r>
      <w:r>
        <w:rPr>
          <w:rFonts w:hint="default" w:ascii="Times New Roman" w:hAnsi="Times New Roman" w:eastAsia="方正仿宋_GBK" w:cs="Times New Roman"/>
          <w:sz w:val="32"/>
          <w:szCs w:val="32"/>
        </w:rPr>
        <w:t>：</w:t>
      </w:r>
    </w:p>
    <w:p w14:paraId="6C5D96E1">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你</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审查</w:t>
      </w:r>
      <w:r>
        <w:rPr>
          <w:rFonts w:hint="default" w:ascii="Times New Roman" w:hAnsi="Times New Roman" w:eastAsia="方正仿宋_GBK" w:cs="Times New Roman"/>
          <w:sz w:val="32"/>
          <w:szCs w:val="32"/>
        </w:rPr>
        <w:t>黔江区国有林场大干溪护林点地质安全隐患应急抢险整治项目可行性研究报告</w:t>
      </w:r>
      <w:r>
        <w:rPr>
          <w:rFonts w:hint="default" w:ascii="Times New Roman" w:hAnsi="Times New Roman" w:eastAsia="方正仿宋_GBK" w:cs="Times New Roman"/>
          <w:sz w:val="32"/>
          <w:szCs w:val="32"/>
          <w:lang w:eastAsia="zh-CN"/>
        </w:rPr>
        <w:t>的函</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黔江林业函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val="en-US" w:eastAsia="zh-CN"/>
        </w:rPr>
        <w:t>143</w:t>
      </w:r>
      <w:r>
        <w:rPr>
          <w:rFonts w:hint="default" w:ascii="Times New Roman" w:hAnsi="Times New Roman" w:eastAsia="方正仿宋_GBK" w:cs="Times New Roman"/>
          <w:sz w:val="32"/>
          <w:szCs w:val="32"/>
        </w:rPr>
        <w:t>号）收悉。经区政府</w:t>
      </w:r>
      <w:r>
        <w:rPr>
          <w:rFonts w:hint="default" w:ascii="Times New Roman" w:hAnsi="Times New Roman" w:eastAsia="方正仿宋_GBK" w:cs="Times New Roman"/>
          <w:sz w:val="32"/>
          <w:szCs w:val="32"/>
          <w:lang w:eastAsia="zh-CN"/>
        </w:rPr>
        <w:t>投资项目前期工作服务中心评</w:t>
      </w:r>
      <w:r>
        <w:rPr>
          <w:rFonts w:hint="default" w:ascii="Times New Roman" w:hAnsi="Times New Roman" w:eastAsia="方正仿宋_GBK" w:cs="Times New Roman"/>
          <w:b w:val="0"/>
          <w:bCs w:val="0"/>
          <w:sz w:val="32"/>
          <w:szCs w:val="32"/>
        </w:rPr>
        <w:t>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原则同意该项目可行性研究报告</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现批复如下：</w:t>
      </w:r>
    </w:p>
    <w:p w14:paraId="5B44A3B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一、为及时消除国有林场大干溪护林点管护用房滑坡安全隐患，同意实施该项目。</w:t>
      </w:r>
    </w:p>
    <w:p w14:paraId="36C254E8">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二、项目代码：2606</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500114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01</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871545。</w:t>
      </w:r>
    </w:p>
    <w:p w14:paraId="6570877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三、项目业主：黔江区国有林场。</w:t>
      </w:r>
    </w:p>
    <w:p w14:paraId="1C4B5C5C">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四、项目建设地点：重庆市黔江区国有林场大干溪护林点。</w:t>
      </w:r>
    </w:p>
    <w:p w14:paraId="57A8EAEC">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五、建设规模、标准及主要建设内容：</w:t>
      </w:r>
      <w:r>
        <w:rPr>
          <w:rFonts w:hint="default" w:ascii="Times New Roman" w:hAnsi="Times New Roman" w:eastAsia="方正仿宋_GBK" w:cs="Times New Roman"/>
          <w:b w:val="0"/>
          <w:bCs w:val="0"/>
          <w:sz w:val="32"/>
          <w:szCs w:val="32"/>
          <w:lang w:eastAsia="zh-CN"/>
        </w:rPr>
        <w:t>新建C20混凝土挡土墙及护面墙382.16立方米，对垮塌边沟及房屋垫层进行恢复，涵洞出口处新建C20混凝土排水边沟18米，房屋旁空地采用10厘米厚C20混凝土硬化处理58平方米。</w:t>
      </w:r>
    </w:p>
    <w:p w14:paraId="291E3CE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六、投资估算及资金来源：项目估算总投资31.47万元，其中：工程费用27.23万元，工程建设其他费2.74万元，预备费1.50万元。资金来源为</w:t>
      </w:r>
      <w:r>
        <w:rPr>
          <w:rFonts w:hint="default" w:ascii="Times New Roman" w:hAnsi="Times New Roman" w:eastAsia="方正仿宋_GBK" w:cs="Times New Roman"/>
          <w:b w:val="0"/>
          <w:bCs w:val="0"/>
          <w:sz w:val="32"/>
          <w:szCs w:val="32"/>
          <w:lang w:eastAsia="zh-CN"/>
        </w:rPr>
        <w:t>上级财政转移支付资金</w:t>
      </w:r>
      <w:r>
        <w:rPr>
          <w:rFonts w:hint="default" w:ascii="Times New Roman" w:hAnsi="Times New Roman" w:eastAsia="方正仿宋_GBK" w:cs="Times New Roman"/>
          <w:b w:val="0"/>
          <w:bCs w:val="0"/>
          <w:sz w:val="32"/>
          <w:szCs w:val="32"/>
        </w:rPr>
        <w:t>。</w:t>
      </w:r>
    </w:p>
    <w:p w14:paraId="1C63AE32">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七、建设工期：</w:t>
      </w:r>
      <w:r>
        <w:rPr>
          <w:rFonts w:hint="default" w:ascii="Times New Roman" w:hAnsi="Times New Roman" w:eastAsia="方正仿宋_GBK" w:cs="Times New Roman"/>
          <w:b w:val="0"/>
          <w:bCs w:val="0"/>
          <w:sz w:val="32"/>
          <w:szCs w:val="32"/>
          <w:lang w:val="en-US" w:eastAsia="zh-CN"/>
        </w:rPr>
        <w:t>1</w:t>
      </w:r>
      <w:r>
        <w:rPr>
          <w:rFonts w:hint="default" w:ascii="Times New Roman" w:hAnsi="Times New Roman" w:eastAsia="方正仿宋_GBK" w:cs="Times New Roman"/>
          <w:b w:val="0"/>
          <w:bCs w:val="0"/>
          <w:sz w:val="32"/>
          <w:szCs w:val="32"/>
        </w:rPr>
        <w:t>个月。</w:t>
      </w:r>
    </w:p>
    <w:p w14:paraId="2082658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八、招</w:t>
      </w:r>
      <w:r>
        <w:rPr>
          <w:rFonts w:hint="default" w:ascii="Times New Roman" w:hAnsi="Times New Roman" w:eastAsia="方正仿宋_GBK" w:cs="Times New Roman"/>
          <w:b w:val="0"/>
          <w:bCs w:val="0"/>
          <w:sz w:val="32"/>
          <w:szCs w:val="32"/>
          <w:lang w:eastAsia="zh-CN"/>
        </w:rPr>
        <w:t>投</w:t>
      </w:r>
      <w:r>
        <w:rPr>
          <w:rFonts w:hint="default" w:ascii="Times New Roman" w:hAnsi="Times New Roman" w:eastAsia="方正仿宋_GBK" w:cs="Times New Roman"/>
          <w:b w:val="0"/>
          <w:bCs w:val="0"/>
          <w:sz w:val="32"/>
          <w:szCs w:val="32"/>
        </w:rPr>
        <w:t>标核准：本项目招标范围、招标方式及招标组织形式严格按照《中华人民共和国招标投标法实施条例》</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《重庆市黔江区政府投资管理实施办法》</w:t>
      </w:r>
      <w:r>
        <w:rPr>
          <w:rFonts w:hint="default" w:ascii="Times New Roman" w:hAnsi="Times New Roman" w:eastAsia="方正仿宋_GBK" w:cs="Times New Roman"/>
          <w:b w:val="0"/>
          <w:bCs w:val="0"/>
          <w:sz w:val="32"/>
          <w:szCs w:val="32"/>
          <w:lang w:eastAsia="zh-CN"/>
        </w:rPr>
        <w:t>和《重庆市黔江区限额以下工程建设项目发包管理暂行办法》</w:t>
      </w:r>
      <w:r>
        <w:rPr>
          <w:rFonts w:hint="default" w:ascii="Times New Roman" w:hAnsi="Times New Roman" w:eastAsia="方正仿宋_GBK" w:cs="Times New Roman"/>
          <w:b w:val="0"/>
          <w:bCs w:val="0"/>
          <w:sz w:val="32"/>
          <w:szCs w:val="32"/>
        </w:rPr>
        <w:t>有关规定组织实施。</w:t>
      </w:r>
    </w:p>
    <w:p w14:paraId="15EC88C5">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sz w:val="32"/>
          <w:szCs w:val="32"/>
        </w:rPr>
        <w:t>九、有关要求</w:t>
      </w:r>
      <w:r>
        <w:rPr>
          <w:rFonts w:hint="eastAsia" w:eastAsia="方正仿宋_GBK" w:cs="Times New Roman"/>
          <w:b w:val="0"/>
          <w:bCs w:val="0"/>
          <w:sz w:val="32"/>
          <w:szCs w:val="32"/>
          <w:lang w:eastAsia="zh-CN"/>
        </w:rPr>
        <w:t>：</w:t>
      </w:r>
    </w:p>
    <w:p w14:paraId="64F71AB9">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eastAsia" w:eastAsia="方正仿宋_GBK" w:cs="Times New Roman"/>
          <w:b w:val="0"/>
          <w:bCs w:val="0"/>
          <w:sz w:val="32"/>
          <w:szCs w:val="32"/>
          <w:lang w:eastAsia="zh-CN"/>
        </w:rPr>
        <w:t>一</w:t>
      </w:r>
      <w:r>
        <w:rPr>
          <w:rFonts w:hint="default" w:ascii="Times New Roman" w:hAnsi="Times New Roman" w:eastAsia="方正仿宋_GBK" w:cs="Times New Roman"/>
          <w:b w:val="0"/>
          <w:bCs w:val="0"/>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633433A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eastAsia" w:eastAsia="方正仿宋_GBK" w:cs="Times New Roman"/>
          <w:b w:val="0"/>
          <w:bCs w:val="0"/>
          <w:sz w:val="32"/>
          <w:szCs w:val="32"/>
          <w:lang w:eastAsia="zh-CN"/>
        </w:rPr>
        <w:t>二</w:t>
      </w:r>
      <w:r>
        <w:rPr>
          <w:rFonts w:hint="default" w:ascii="Times New Roman" w:hAnsi="Times New Roman" w:eastAsia="方正仿宋_GBK" w:cs="Times New Roman"/>
          <w:b w:val="0"/>
          <w:bCs w:val="0"/>
          <w:sz w:val="32"/>
          <w:szCs w:val="32"/>
        </w:rPr>
        <w:t>）认真落实安全生产责任制,强化项目资金管理，切实控制投资，严控工程质量，加快推进项目实施，确保工程早日建成投用。</w:t>
      </w:r>
    </w:p>
    <w:p w14:paraId="3108A762">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p>
    <w:p w14:paraId="0C6D9193">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附件：黔江区国有林场大干溪护林点地质安全隐患应急抢险</w:t>
      </w:r>
    </w:p>
    <w:p w14:paraId="0643BFE2">
      <w:pPr>
        <w:keepNext w:val="0"/>
        <w:keepLines w:val="0"/>
        <w:pageBreakBefore w:val="0"/>
        <w:widowControl w:val="0"/>
        <w:kinsoku/>
        <w:wordWrap/>
        <w:overflowPunct/>
        <w:topLinePunct w:val="0"/>
        <w:autoSpaceDE/>
        <w:autoSpaceDN/>
        <w:bidi w:val="0"/>
        <w:adjustRightInd/>
        <w:snapToGrid/>
        <w:spacing w:line="575" w:lineRule="exact"/>
        <w:ind w:left="0" w:leftChars="0" w:firstLine="1478" w:firstLineChars="462"/>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整治项目投资估算表</w:t>
      </w:r>
    </w:p>
    <w:p w14:paraId="37A71F97">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eastAsia" w:ascii="Times New Roman" w:hAnsi="Times New Roman" w:eastAsia="方正仿宋_GBK" w:cs="Times New Roman"/>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 </w:t>
      </w:r>
    </w:p>
    <w:p w14:paraId="0108886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2611DC8E">
      <w:pPr>
        <w:keepNext w:val="0"/>
        <w:keepLines w:val="0"/>
        <w:pageBreakBefore w:val="0"/>
        <w:widowControl w:val="0"/>
        <w:kinsoku/>
        <w:wordWrap/>
        <w:overflowPunct/>
        <w:topLinePunct w:val="0"/>
        <w:autoSpaceDE/>
        <w:autoSpaceDN/>
        <w:bidi w:val="0"/>
        <w:adjustRightInd/>
        <w:snapToGrid/>
        <w:spacing w:line="520" w:lineRule="exact"/>
        <w:ind w:firstLine="2880" w:firstLineChars="9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重庆市黔江区发展和改革委员会</w:t>
      </w:r>
    </w:p>
    <w:p w14:paraId="3C332C8B">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eastAsia" w:ascii="方正黑体_GBK" w:hAnsi="方正黑体_GBK" w:eastAsia="方正黑体_GBK" w:cs="方正黑体_GBK"/>
          <w:sz w:val="32"/>
          <w:szCs w:val="32"/>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年</w:t>
      </w:r>
      <w:r>
        <w:rPr>
          <w:rFonts w:hint="default" w:ascii="Times New Roman" w:hAnsi="Times New Roman" w:eastAsia="方正仿宋_GBK" w:cs="Times New Roman"/>
          <w:b w:val="0"/>
          <w:bCs w:val="0"/>
          <w:sz w:val="32"/>
          <w:szCs w:val="32"/>
          <w:lang w:val="en-US" w:eastAsia="zh-CN"/>
        </w:rPr>
        <w:t>8</w:t>
      </w:r>
      <w:r>
        <w:rPr>
          <w:rFonts w:hint="default" w:ascii="Times New Roman" w:hAnsi="Times New Roman" w:eastAsia="方正仿宋_GBK" w:cs="Times New Roman"/>
          <w:b w:val="0"/>
          <w:bCs w:val="0"/>
          <w:sz w:val="32"/>
          <w:szCs w:val="32"/>
        </w:rPr>
        <w:t>月</w:t>
      </w:r>
      <w:r>
        <w:rPr>
          <w:rFonts w:hint="eastAsia" w:eastAsia="方正仿宋_GBK" w:cs="Times New Roman"/>
          <w:b w:val="0"/>
          <w:bCs w:val="0"/>
          <w:sz w:val="32"/>
          <w:szCs w:val="32"/>
          <w:lang w:val="en-US" w:eastAsia="zh-CN"/>
        </w:rPr>
        <w:t>20</w:t>
      </w:r>
      <w:r>
        <w:rPr>
          <w:rFonts w:hint="default" w:ascii="Times New Roman" w:hAnsi="Times New Roman" w:eastAsia="方正仿宋_GBK" w:cs="Times New Roman"/>
          <w:b w:val="0"/>
          <w:bCs w:val="0"/>
          <w:sz w:val="32"/>
          <w:szCs w:val="32"/>
        </w:rPr>
        <w:t>日</w:t>
      </w:r>
      <w:r>
        <w:rPr>
          <w:rFonts w:hint="default" w:ascii="Times New Roman" w:hAnsi="Times New Roman" w:eastAsia="方正仿宋_GBK" w:cs="Times New Roman"/>
          <w:sz w:val="32"/>
          <w:szCs w:val="32"/>
          <w:lang w:val="en-US" w:eastAsia="zh-CN"/>
        </w:rPr>
        <w:t xml:space="preserve"> </w:t>
      </w:r>
    </w:p>
    <w:p w14:paraId="1A98E708">
      <w:pPr>
        <w:pStyle w:val="5"/>
        <w:spacing w:line="500" w:lineRule="exact"/>
        <w:rPr>
          <w:rFonts w:hint="eastAsia" w:ascii="方正黑体_GBK" w:hAnsi="方正黑体_GBK" w:eastAsia="方正黑体_GBK" w:cs="方正黑体_GBK"/>
          <w:sz w:val="32"/>
          <w:szCs w:val="32"/>
        </w:rPr>
      </w:pPr>
    </w:p>
    <w:p w14:paraId="78D2A757">
      <w:pPr>
        <w:pStyle w:val="5"/>
        <w:spacing w:line="500" w:lineRule="exact"/>
        <w:rPr>
          <w:rFonts w:hint="eastAsia" w:ascii="方正黑体_GBK" w:hAnsi="方正黑体_GBK" w:eastAsia="方正黑体_GBK" w:cs="方正黑体_GBK"/>
          <w:sz w:val="32"/>
          <w:szCs w:val="32"/>
        </w:rPr>
      </w:pPr>
    </w:p>
    <w:p w14:paraId="32055552">
      <w:pPr>
        <w:pStyle w:val="5"/>
        <w:spacing w:line="500" w:lineRule="exact"/>
        <w:rPr>
          <w:rFonts w:hint="eastAsia" w:ascii="方正黑体_GBK" w:hAnsi="方正黑体_GBK" w:eastAsia="方正黑体_GBK" w:cs="方正黑体_GBK"/>
          <w:sz w:val="32"/>
          <w:szCs w:val="32"/>
        </w:rPr>
      </w:pPr>
    </w:p>
    <w:p w14:paraId="2E8BC811">
      <w:pPr>
        <w:pStyle w:val="5"/>
        <w:spacing w:line="500" w:lineRule="exact"/>
        <w:rPr>
          <w:rFonts w:hint="eastAsia" w:ascii="方正黑体_GBK" w:hAnsi="方正黑体_GBK" w:eastAsia="方正黑体_GBK" w:cs="方正黑体_GBK"/>
          <w:sz w:val="32"/>
          <w:szCs w:val="32"/>
        </w:rPr>
      </w:pPr>
    </w:p>
    <w:p w14:paraId="1B003A74">
      <w:pPr>
        <w:pStyle w:val="5"/>
        <w:spacing w:line="500" w:lineRule="exact"/>
        <w:rPr>
          <w:rFonts w:hint="eastAsia" w:ascii="方正黑体_GBK" w:hAnsi="方正黑体_GBK" w:eastAsia="方正黑体_GBK" w:cs="方正黑体_GBK"/>
          <w:sz w:val="32"/>
          <w:szCs w:val="32"/>
        </w:rPr>
      </w:pPr>
    </w:p>
    <w:p w14:paraId="657A681B">
      <w:pPr>
        <w:pStyle w:val="5"/>
        <w:spacing w:line="500" w:lineRule="exact"/>
        <w:rPr>
          <w:rFonts w:hint="eastAsia" w:ascii="方正黑体_GBK" w:hAnsi="方正黑体_GBK" w:eastAsia="方正黑体_GBK" w:cs="方正黑体_GBK"/>
          <w:sz w:val="32"/>
          <w:szCs w:val="32"/>
        </w:rPr>
      </w:pPr>
    </w:p>
    <w:p w14:paraId="327FDB5E">
      <w:pPr>
        <w:pStyle w:val="5"/>
        <w:spacing w:line="500" w:lineRule="exact"/>
        <w:rPr>
          <w:rFonts w:hint="eastAsia" w:ascii="方正黑体_GBK" w:hAnsi="方正黑体_GBK" w:eastAsia="方正黑体_GBK" w:cs="方正黑体_GBK"/>
          <w:sz w:val="32"/>
          <w:szCs w:val="32"/>
        </w:rPr>
      </w:pPr>
    </w:p>
    <w:p w14:paraId="1F7D28E6">
      <w:pPr>
        <w:pStyle w:val="5"/>
        <w:spacing w:line="500" w:lineRule="exact"/>
        <w:rPr>
          <w:rFonts w:hint="eastAsia" w:ascii="方正黑体_GBK" w:hAnsi="方正黑体_GBK" w:eastAsia="方正黑体_GBK" w:cs="方正黑体_GBK"/>
          <w:sz w:val="32"/>
          <w:szCs w:val="32"/>
        </w:rPr>
      </w:pPr>
    </w:p>
    <w:p w14:paraId="59D98311">
      <w:pPr>
        <w:pStyle w:val="5"/>
        <w:spacing w:line="500" w:lineRule="exact"/>
        <w:rPr>
          <w:rFonts w:hint="eastAsia" w:ascii="方正黑体_GBK" w:hAnsi="方正黑体_GBK" w:eastAsia="方正黑体_GBK" w:cs="方正黑体_GBK"/>
          <w:sz w:val="32"/>
          <w:szCs w:val="32"/>
        </w:rPr>
      </w:pPr>
    </w:p>
    <w:p w14:paraId="1EC5300B">
      <w:pPr>
        <w:pStyle w:val="5"/>
        <w:spacing w:line="500" w:lineRule="exact"/>
        <w:rPr>
          <w:rFonts w:hint="eastAsia" w:ascii="方正黑体_GBK" w:hAnsi="方正黑体_GBK" w:eastAsia="方正黑体_GBK" w:cs="方正黑体_GBK"/>
          <w:sz w:val="32"/>
          <w:szCs w:val="32"/>
        </w:rPr>
      </w:pPr>
    </w:p>
    <w:p w14:paraId="66C9542E">
      <w:pPr>
        <w:pStyle w:val="5"/>
        <w:spacing w:line="500" w:lineRule="exact"/>
        <w:rPr>
          <w:rFonts w:hint="eastAsia" w:ascii="方正黑体_GBK" w:hAnsi="方正黑体_GBK" w:eastAsia="方正黑体_GBK" w:cs="方正黑体_GBK"/>
          <w:sz w:val="32"/>
          <w:szCs w:val="32"/>
        </w:rPr>
      </w:pPr>
    </w:p>
    <w:p w14:paraId="1C4F9DAF">
      <w:pPr>
        <w:pStyle w:val="5"/>
        <w:spacing w:line="500" w:lineRule="exact"/>
        <w:rPr>
          <w:rFonts w:hint="eastAsia" w:ascii="方正黑体_GBK" w:hAnsi="方正黑体_GBK" w:eastAsia="方正黑体_GBK" w:cs="方正黑体_GBK"/>
          <w:sz w:val="32"/>
          <w:szCs w:val="32"/>
        </w:rPr>
      </w:pPr>
    </w:p>
    <w:p w14:paraId="45A758C5">
      <w:pPr>
        <w:pStyle w:val="5"/>
        <w:spacing w:line="500" w:lineRule="exact"/>
        <w:rPr>
          <w:rFonts w:hint="eastAsia" w:ascii="方正黑体_GBK" w:hAnsi="方正黑体_GBK" w:eastAsia="方正黑体_GBK" w:cs="方正黑体_GBK"/>
          <w:sz w:val="32"/>
          <w:szCs w:val="32"/>
        </w:rPr>
      </w:pPr>
    </w:p>
    <w:p w14:paraId="26857E80">
      <w:pPr>
        <w:pStyle w:val="5"/>
        <w:spacing w:line="500" w:lineRule="exact"/>
        <w:rPr>
          <w:rFonts w:hint="eastAsia" w:ascii="方正黑体_GBK" w:hAnsi="方正黑体_GBK" w:eastAsia="方正黑体_GBK" w:cs="方正黑体_GBK"/>
          <w:sz w:val="32"/>
          <w:szCs w:val="32"/>
        </w:rPr>
      </w:pPr>
    </w:p>
    <w:p w14:paraId="3365349E">
      <w:pPr>
        <w:pStyle w:val="5"/>
        <w:spacing w:line="500" w:lineRule="exact"/>
        <w:rPr>
          <w:rFonts w:hint="eastAsia" w:ascii="方正黑体_GBK" w:hAnsi="方正黑体_GBK" w:eastAsia="方正黑体_GBK" w:cs="方正黑体_GBK"/>
          <w:sz w:val="32"/>
          <w:szCs w:val="32"/>
        </w:rPr>
      </w:pPr>
    </w:p>
    <w:p w14:paraId="453B6127">
      <w:pPr>
        <w:pStyle w:val="5"/>
        <w:spacing w:line="500" w:lineRule="exact"/>
        <w:rPr>
          <w:rFonts w:hint="eastAsia" w:ascii="方正黑体_GBK" w:hAnsi="方正黑体_GBK" w:eastAsia="方正黑体_GBK" w:cs="方正黑体_GBK"/>
          <w:sz w:val="32"/>
          <w:szCs w:val="32"/>
        </w:rPr>
      </w:pP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黑体_GBK" w:hAnsi="方正黑体_GBK" w:eastAsia="方正黑体_GBK" w:cs="方正黑体_GBK"/>
          <w:sz w:val="32"/>
          <w:szCs w:val="32"/>
        </w:rPr>
      </w:pPr>
    </w:p>
    <w:p w14:paraId="32499183">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黔江区国有林场大干溪护林点地质安全隐患应急抢险</w:t>
      </w:r>
    </w:p>
    <w:p w14:paraId="09511937">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整治项目投资估算表</w:t>
      </w:r>
    </w:p>
    <w:p w14:paraId="675BE02D">
      <w:pPr>
        <w:pStyle w:val="5"/>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_GBK" w:hAnsi="方正小标宋_GBK" w:eastAsia="方正小标宋_GBK" w:cs="方正小标宋_GBK"/>
          <w:sz w:val="36"/>
          <w:szCs w:val="36"/>
        </w:rPr>
      </w:pPr>
    </w:p>
    <w:tbl>
      <w:tblPr>
        <w:tblW w:w="882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60"/>
        <w:gridCol w:w="5325"/>
        <w:gridCol w:w="2235"/>
      </w:tblGrid>
      <w:tr w14:paraId="4717E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43A1A3E2">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序   号</w:t>
            </w:r>
          </w:p>
        </w:tc>
        <w:tc>
          <w:tcPr>
            <w:tcW w:w="5325" w:type="dxa"/>
            <w:tcBorders>
              <w:top w:val="single" w:color="000000" w:sz="4" w:space="0"/>
              <w:left w:val="single" w:color="000000" w:sz="4" w:space="0"/>
              <w:bottom w:val="single" w:color="000000" w:sz="4" w:space="0"/>
              <w:right w:val="single" w:color="000000" w:sz="4" w:space="0"/>
            </w:tcBorders>
            <w:shd w:val="clear"/>
            <w:vAlign w:val="center"/>
          </w:tcPr>
          <w:p w14:paraId="5A55305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工程或费用名称</w:t>
            </w:r>
          </w:p>
        </w:tc>
        <w:tc>
          <w:tcPr>
            <w:tcW w:w="2235" w:type="dxa"/>
            <w:tcBorders>
              <w:top w:val="single" w:color="000000" w:sz="4" w:space="0"/>
              <w:left w:val="single" w:color="000000" w:sz="4" w:space="0"/>
              <w:bottom w:val="single" w:color="000000" w:sz="4" w:space="0"/>
              <w:right w:val="single" w:color="000000" w:sz="4" w:space="0"/>
            </w:tcBorders>
            <w:shd w:val="clear"/>
            <w:vAlign w:val="center"/>
          </w:tcPr>
          <w:p w14:paraId="78B6188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金额（万元）</w:t>
            </w:r>
          </w:p>
        </w:tc>
      </w:tr>
      <w:tr w14:paraId="54CC7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52CC3AE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一</w:t>
            </w:r>
          </w:p>
        </w:tc>
        <w:tc>
          <w:tcPr>
            <w:tcW w:w="5325" w:type="dxa"/>
            <w:tcBorders>
              <w:top w:val="single" w:color="000000" w:sz="4" w:space="0"/>
              <w:left w:val="single" w:color="000000" w:sz="4" w:space="0"/>
              <w:bottom w:val="single" w:color="000000" w:sz="4" w:space="0"/>
              <w:right w:val="single" w:color="000000" w:sz="4" w:space="0"/>
            </w:tcBorders>
            <w:shd w:val="clear"/>
            <w:vAlign w:val="center"/>
          </w:tcPr>
          <w:p w14:paraId="57FE7D4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工程费用</w:t>
            </w:r>
          </w:p>
        </w:tc>
        <w:tc>
          <w:tcPr>
            <w:tcW w:w="2235" w:type="dxa"/>
            <w:tcBorders>
              <w:top w:val="single" w:color="000000" w:sz="4" w:space="0"/>
              <w:left w:val="single" w:color="000000" w:sz="4" w:space="0"/>
              <w:bottom w:val="single" w:color="000000" w:sz="4" w:space="0"/>
              <w:right w:val="single" w:color="000000" w:sz="4" w:space="0"/>
            </w:tcBorders>
            <w:shd w:val="clear"/>
            <w:vAlign w:val="center"/>
          </w:tcPr>
          <w:p w14:paraId="592B592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27.23 </w:t>
            </w:r>
          </w:p>
        </w:tc>
      </w:tr>
      <w:tr w14:paraId="07C3C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6159878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w:t>
            </w:r>
          </w:p>
        </w:tc>
        <w:tc>
          <w:tcPr>
            <w:tcW w:w="5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060D43">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黔江区国有林场大干溪护林点地质安全隐患应急抢险整治项目</w:t>
            </w:r>
          </w:p>
        </w:tc>
        <w:tc>
          <w:tcPr>
            <w:tcW w:w="22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61811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27.23 </w:t>
            </w:r>
          </w:p>
        </w:tc>
      </w:tr>
      <w:tr w14:paraId="5892B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1495516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二</w:t>
            </w:r>
          </w:p>
        </w:tc>
        <w:tc>
          <w:tcPr>
            <w:tcW w:w="5325" w:type="dxa"/>
            <w:tcBorders>
              <w:top w:val="single" w:color="000000" w:sz="4" w:space="0"/>
              <w:left w:val="single" w:color="000000" w:sz="4" w:space="0"/>
              <w:bottom w:val="single" w:color="000000" w:sz="4" w:space="0"/>
              <w:right w:val="single" w:color="000000" w:sz="4" w:space="0"/>
            </w:tcBorders>
            <w:shd w:val="clear"/>
            <w:vAlign w:val="center"/>
          </w:tcPr>
          <w:p w14:paraId="5B5A553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工程建设其他费</w:t>
            </w:r>
          </w:p>
        </w:tc>
        <w:tc>
          <w:tcPr>
            <w:tcW w:w="2235" w:type="dxa"/>
            <w:tcBorders>
              <w:top w:val="single" w:color="000000" w:sz="4" w:space="0"/>
              <w:left w:val="single" w:color="000000" w:sz="4" w:space="0"/>
              <w:bottom w:val="single" w:color="000000" w:sz="4" w:space="0"/>
              <w:right w:val="single" w:color="000000" w:sz="4" w:space="0"/>
            </w:tcBorders>
            <w:shd w:val="clear"/>
            <w:vAlign w:val="center"/>
          </w:tcPr>
          <w:p w14:paraId="07C6BFA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2.74 </w:t>
            </w:r>
          </w:p>
        </w:tc>
      </w:tr>
      <w:tr w14:paraId="45B20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58BDFC9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w:t>
            </w:r>
          </w:p>
        </w:tc>
        <w:tc>
          <w:tcPr>
            <w:tcW w:w="5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3BF005">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场地准备及临时设施费</w:t>
            </w:r>
          </w:p>
        </w:tc>
        <w:tc>
          <w:tcPr>
            <w:tcW w:w="22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F00FC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0.14 </w:t>
            </w:r>
          </w:p>
        </w:tc>
      </w:tr>
      <w:tr w14:paraId="4DF31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31F584E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w:t>
            </w:r>
          </w:p>
        </w:tc>
        <w:tc>
          <w:tcPr>
            <w:tcW w:w="5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FB339E">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工程建设监理费</w:t>
            </w:r>
          </w:p>
        </w:tc>
        <w:tc>
          <w:tcPr>
            <w:tcW w:w="22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5B29F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0.38 </w:t>
            </w:r>
          </w:p>
        </w:tc>
      </w:tr>
      <w:tr w14:paraId="722FB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295FFEB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w:t>
            </w:r>
          </w:p>
        </w:tc>
        <w:tc>
          <w:tcPr>
            <w:tcW w:w="5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9D0896">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工程设计费</w:t>
            </w:r>
          </w:p>
        </w:tc>
        <w:tc>
          <w:tcPr>
            <w:tcW w:w="22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FA949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1.42 </w:t>
            </w:r>
          </w:p>
        </w:tc>
      </w:tr>
      <w:tr w14:paraId="6401E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4C31BF4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w:t>
            </w:r>
          </w:p>
        </w:tc>
        <w:tc>
          <w:tcPr>
            <w:tcW w:w="5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73554B">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工程造价咨询费</w:t>
            </w:r>
          </w:p>
        </w:tc>
        <w:tc>
          <w:tcPr>
            <w:tcW w:w="22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78A9B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0.50 </w:t>
            </w:r>
          </w:p>
        </w:tc>
      </w:tr>
      <w:tr w14:paraId="58D2A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32D7E80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w:t>
            </w:r>
          </w:p>
        </w:tc>
        <w:tc>
          <w:tcPr>
            <w:tcW w:w="5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B616D1">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设计文件审查费</w:t>
            </w:r>
          </w:p>
        </w:tc>
        <w:tc>
          <w:tcPr>
            <w:tcW w:w="22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85CA5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0.08 </w:t>
            </w:r>
          </w:p>
        </w:tc>
      </w:tr>
      <w:tr w14:paraId="45E94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19A47D5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w:t>
            </w:r>
          </w:p>
        </w:tc>
        <w:tc>
          <w:tcPr>
            <w:tcW w:w="53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4DE45C">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安全生产保障费</w:t>
            </w:r>
          </w:p>
        </w:tc>
        <w:tc>
          <w:tcPr>
            <w:tcW w:w="22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DAECC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0.14 </w:t>
            </w:r>
          </w:p>
        </w:tc>
      </w:tr>
      <w:tr w14:paraId="18F7E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17BDB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A1DD12">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工程保险费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9E59D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0.08</w:t>
            </w:r>
          </w:p>
        </w:tc>
      </w:tr>
      <w:tr w14:paraId="69856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B5CE5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7BABE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基本预备费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D2FCD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1.5</w:t>
            </w:r>
          </w:p>
        </w:tc>
      </w:tr>
      <w:tr w14:paraId="598C1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234AF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四</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C2027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建设项目总投资估算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D8E03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31.47</w:t>
            </w:r>
          </w:p>
        </w:tc>
      </w:tr>
    </w:tbl>
    <w:p w14:paraId="5C39E2BA"/>
    <w:p w14:paraId="62C919E5">
      <w:pPr>
        <w:keepNext w:val="0"/>
        <w:keepLines w:val="0"/>
        <w:pageBreakBefore w:val="0"/>
        <w:widowControl w:val="0"/>
        <w:kinsoku/>
        <w:wordWrap/>
        <w:overflowPunct/>
        <w:topLinePunct w:val="0"/>
        <w:autoSpaceDE/>
        <w:autoSpaceDN/>
        <w:bidi w:val="0"/>
        <w:adjustRightInd/>
        <w:snapToGrid/>
        <w:spacing w:line="240" w:lineRule="exact"/>
        <w:textAlignment w:val="auto"/>
      </w:pPr>
    </w:p>
    <w:p w14:paraId="1DC7EAB2">
      <w:bookmarkStart w:id="0" w:name="_GoBack"/>
      <w:bookmarkEnd w:id="0"/>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20</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0E147905-EF37-4FDE-9AA6-675B2F1BE06D}"/>
  </w:font>
  <w:font w:name="方正仿宋_GBK">
    <w:panose1 w:val="03000509000000000000"/>
    <w:charset w:val="86"/>
    <w:family w:val="script"/>
    <w:pitch w:val="default"/>
    <w:sig w:usb0="00000001" w:usb1="080E0000" w:usb2="00000000" w:usb3="00000000" w:csb0="00040000" w:csb1="00000000"/>
    <w:embedRegular r:id="rId2" w:fontKey="{54CE4959-89BC-4F85-AA94-2DFB6F3D3E58}"/>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B34D7773-3848-4146-970F-119C8EEA7554}"/>
  </w:font>
  <w:font w:name="方正楷体_GBK">
    <w:panose1 w:val="03000509000000000000"/>
    <w:charset w:val="86"/>
    <w:family w:val="auto"/>
    <w:pitch w:val="default"/>
    <w:sig w:usb0="00000001" w:usb1="080E0000" w:usb2="00000000" w:usb3="00000000" w:csb0="00040000" w:csb1="00000000"/>
    <w:embedRegular r:id="rId4" w:fontKey="{33325352-C988-4018-9970-1EA8C4D57415}"/>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5" w:fontKey="{4DBB4651-39B4-4514-A261-7548FF64AF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DB6B5E"/>
    <w:rsid w:val="04BB474E"/>
    <w:rsid w:val="05A00EFD"/>
    <w:rsid w:val="09FA769E"/>
    <w:rsid w:val="0AA56432"/>
    <w:rsid w:val="0B3E2722"/>
    <w:rsid w:val="0B7A378A"/>
    <w:rsid w:val="0C443D5D"/>
    <w:rsid w:val="0C4A4FFD"/>
    <w:rsid w:val="0CFC0645"/>
    <w:rsid w:val="0D37421D"/>
    <w:rsid w:val="0E090617"/>
    <w:rsid w:val="119A3908"/>
    <w:rsid w:val="14CA633F"/>
    <w:rsid w:val="15636F5B"/>
    <w:rsid w:val="175C5702"/>
    <w:rsid w:val="181B2628"/>
    <w:rsid w:val="193E59D1"/>
    <w:rsid w:val="1A261065"/>
    <w:rsid w:val="1F013809"/>
    <w:rsid w:val="1F950368"/>
    <w:rsid w:val="208F215E"/>
    <w:rsid w:val="250D18ED"/>
    <w:rsid w:val="254A0970"/>
    <w:rsid w:val="27F93F48"/>
    <w:rsid w:val="28D139F4"/>
    <w:rsid w:val="2AD46A97"/>
    <w:rsid w:val="2F7B047E"/>
    <w:rsid w:val="31A87524"/>
    <w:rsid w:val="35C004C6"/>
    <w:rsid w:val="39705D78"/>
    <w:rsid w:val="397671E0"/>
    <w:rsid w:val="3E011B99"/>
    <w:rsid w:val="3EF47EDA"/>
    <w:rsid w:val="407C1648"/>
    <w:rsid w:val="40A351EE"/>
    <w:rsid w:val="44BC36CE"/>
    <w:rsid w:val="47DB5B06"/>
    <w:rsid w:val="487D33E1"/>
    <w:rsid w:val="4F735634"/>
    <w:rsid w:val="4FFB4CF6"/>
    <w:rsid w:val="5130612A"/>
    <w:rsid w:val="534E1E00"/>
    <w:rsid w:val="5726180C"/>
    <w:rsid w:val="57A8352A"/>
    <w:rsid w:val="57D810AF"/>
    <w:rsid w:val="5A6A3D0A"/>
    <w:rsid w:val="5BA34735"/>
    <w:rsid w:val="5F75634D"/>
    <w:rsid w:val="5FFE1A79"/>
    <w:rsid w:val="616F605C"/>
    <w:rsid w:val="653B0AE4"/>
    <w:rsid w:val="66560D21"/>
    <w:rsid w:val="678D70A8"/>
    <w:rsid w:val="6A424672"/>
    <w:rsid w:val="6A6C1DE8"/>
    <w:rsid w:val="6AF30A16"/>
    <w:rsid w:val="6BAE6A0F"/>
    <w:rsid w:val="6C0B6505"/>
    <w:rsid w:val="6C68355C"/>
    <w:rsid w:val="6CE440E0"/>
    <w:rsid w:val="6DAE50AD"/>
    <w:rsid w:val="6EF61234"/>
    <w:rsid w:val="6F321C00"/>
    <w:rsid w:val="72141C90"/>
    <w:rsid w:val="74BA4923"/>
    <w:rsid w:val="764E6BC5"/>
    <w:rsid w:val="78624336"/>
    <w:rsid w:val="798F3B7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11"/>
    <w:basedOn w:val="11"/>
    <w:qFormat/>
    <w:uiPriority w:val="0"/>
    <w:rPr>
      <w:rFonts w:hint="eastAsia" w:ascii="方正仿宋_GBK" w:hAnsi="方正仿宋_GBK" w:eastAsia="方正仿宋_GBK" w:cs="方正仿宋_GBK"/>
      <w:color w:val="000000"/>
      <w:sz w:val="24"/>
      <w:szCs w:val="24"/>
      <w:u w:val="none"/>
    </w:rPr>
  </w:style>
  <w:style w:type="character" w:customStyle="1" w:styleId="27">
    <w:name w:val="font122"/>
    <w:basedOn w:val="11"/>
    <w:qFormat/>
    <w:uiPriority w:val="0"/>
    <w:rPr>
      <w:rFonts w:hint="eastAsia" w:ascii="宋体" w:hAnsi="宋体" w:eastAsia="宋体" w:cs="宋体"/>
      <w:b/>
      <w:bCs/>
      <w:color w:val="000000"/>
      <w:sz w:val="22"/>
      <w:szCs w:val="22"/>
      <w:u w:val="none"/>
    </w:rPr>
  </w:style>
  <w:style w:type="character" w:customStyle="1" w:styleId="28">
    <w:name w:val="font11"/>
    <w:basedOn w:val="11"/>
    <w:qFormat/>
    <w:uiPriority w:val="0"/>
    <w:rPr>
      <w:rFonts w:hint="default" w:ascii="Times New Roman" w:hAnsi="Times New Roman" w:cs="Times New Roman"/>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914</Words>
  <Characters>1035</Characters>
  <Lines>11</Lines>
  <Paragraphs>3</Paragraphs>
  <TotalTime>3</TotalTime>
  <ScaleCrop>false</ScaleCrop>
  <LinksUpToDate>false</LinksUpToDate>
  <CharactersWithSpaces>1149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2026-08-14T08:55:00Z</cp:lastPrinted>
  <dcterms:modified xsi:type="dcterms:W3CDTF">2026-08-20T06:59:39Z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