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321</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612DAF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关于黔江区新华乡2026年第一批入户道路</w:t>
      </w:r>
    </w:p>
    <w:p w14:paraId="78B1BEDB">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（村社便道）硬化项目可行性研究报告的批复</w:t>
      </w:r>
    </w:p>
    <w:p w14:paraId="7A007DD4">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rPr>
      </w:pPr>
    </w:p>
    <w:p w14:paraId="3D9FA3C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新华乡人民政府</w:t>
      </w:r>
      <w:r>
        <w:rPr>
          <w:rFonts w:hint="eastAsia" w:ascii="方正仿宋_GBK" w:hAnsi="方正仿宋_GBK" w:eastAsia="方正仿宋_GBK" w:cs="方正仿宋_GBK"/>
          <w:sz w:val="32"/>
          <w:szCs w:val="32"/>
        </w:rPr>
        <w:t>：</w:t>
      </w:r>
    </w:p>
    <w:p w14:paraId="0603EB0A">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sz w:val="32"/>
          <w:szCs w:val="32"/>
        </w:rPr>
        <w:t>你</w:t>
      </w:r>
      <w:r>
        <w:rPr>
          <w:rFonts w:hint="eastAsia" w:ascii="方正仿宋_GBK" w:hAnsi="方正仿宋_GBK" w:eastAsia="方正仿宋_GBK" w:cs="方正仿宋_GBK"/>
          <w:sz w:val="32"/>
          <w:szCs w:val="32"/>
          <w:lang w:eastAsia="zh-CN"/>
        </w:rPr>
        <w:t>府</w:t>
      </w:r>
      <w:r>
        <w:rPr>
          <w:rFonts w:hint="eastAsia" w:ascii="方正仿宋_GBK" w:hAnsi="方正仿宋_GBK" w:eastAsia="方正仿宋_GBK" w:cs="方正仿宋_GBK"/>
          <w:sz w:val="32"/>
          <w:szCs w:val="32"/>
        </w:rPr>
        <w:t>《关于</w:t>
      </w:r>
      <w:r>
        <w:rPr>
          <w:rFonts w:hint="eastAsia" w:ascii="方正仿宋_GBK" w:hAnsi="方正仿宋_GBK" w:eastAsia="方正仿宋_GBK" w:cs="方正仿宋_GBK"/>
          <w:sz w:val="32"/>
          <w:szCs w:val="32"/>
          <w:lang w:eastAsia="zh-CN"/>
        </w:rPr>
        <w:t>审批</w:t>
      </w:r>
      <w:r>
        <w:rPr>
          <w:rFonts w:hint="eastAsia" w:ascii="方正仿宋_GBK" w:hAnsi="方正仿宋_GBK" w:eastAsia="方正仿宋_GBK" w:cs="方正仿宋_GBK"/>
          <w:sz w:val="32"/>
          <w:szCs w:val="32"/>
        </w:rPr>
        <w:t>黔江区新华乡</w:t>
      </w:r>
      <w:r>
        <w:rPr>
          <w:rFonts w:hint="default" w:ascii="Times New Roman" w:hAnsi="Times New Roman" w:eastAsia="方正仿宋_GBK" w:cs="Times New Roman"/>
          <w:sz w:val="32"/>
          <w:szCs w:val="32"/>
        </w:rPr>
        <w:t>2026年第一批入户道路（村社便道）硬化项目可行性研究报告</w:t>
      </w:r>
      <w:r>
        <w:rPr>
          <w:rFonts w:hint="default" w:ascii="Times New Roman" w:hAnsi="Times New Roman" w:eastAsia="方正仿宋_GBK" w:cs="Times New Roman"/>
          <w:sz w:val="32"/>
          <w:szCs w:val="32"/>
          <w:lang w:eastAsia="zh-CN"/>
        </w:rPr>
        <w:t>的函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新华府函</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42</w:t>
      </w:r>
      <w:r>
        <w:rPr>
          <w:rFonts w:hint="eastAsia" w:ascii="方正仿宋_GBK" w:hAnsi="方正仿宋_GBK" w:eastAsia="方正仿宋_GBK" w:cs="方正仿宋_GBK"/>
          <w:sz w:val="32"/>
          <w:szCs w:val="32"/>
        </w:rPr>
        <w:t>号）收悉。经区政府</w:t>
      </w:r>
      <w:r>
        <w:rPr>
          <w:rFonts w:hint="eastAsia" w:ascii="方正仿宋_GBK" w:hAnsi="方正仿宋_GBK" w:eastAsia="方正仿宋_GBK" w:cs="方正仿宋_GBK"/>
          <w:sz w:val="32"/>
          <w:szCs w:val="32"/>
          <w:lang w:eastAsia="zh-CN"/>
        </w:rPr>
        <w:t>投资项目前期工作服务中心评</w:t>
      </w:r>
      <w:r>
        <w:rPr>
          <w:rFonts w:hint="eastAsia" w:ascii="方正仿宋_GBK" w:hAnsi="方正仿宋_GBK" w:eastAsia="方正仿宋_GBK" w:cs="方正仿宋_GBK"/>
          <w:b w:val="0"/>
          <w:bCs w:val="0"/>
          <w:sz w:val="32"/>
          <w:szCs w:val="32"/>
        </w:rPr>
        <w:t>审</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原则同意该项目可行性研究报告</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现批复如下：</w:t>
      </w:r>
    </w:p>
    <w:p w14:paraId="7F034C04">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一、为提升新华乡艾子村基础设施条件，增加农村居民收入，同意实施该项目。</w:t>
      </w:r>
    </w:p>
    <w:p w14:paraId="59EABEC4">
      <w:pPr>
        <w:spacing w:line="520" w:lineRule="exact"/>
        <w:ind w:firstLine="640" w:firstLineChars="200"/>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二、项目代码：</w:t>
      </w:r>
      <w:r>
        <w:rPr>
          <w:rFonts w:hint="default" w:ascii="Times New Roman" w:hAnsi="Times New Roman" w:eastAsia="方正仿宋_GBK" w:cs="Times New Roman"/>
          <w:b w:val="0"/>
          <w:bCs w:val="0"/>
          <w:sz w:val="32"/>
          <w:szCs w:val="32"/>
        </w:rPr>
        <w:t>2608</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05</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325010。</w:t>
      </w:r>
    </w:p>
    <w:p w14:paraId="028A9892">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三、项目法人：黔江区新华乡人民政府。</w:t>
      </w:r>
    </w:p>
    <w:p w14:paraId="1C4B5C5C">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四、项目建设地点：黔江区新华乡艾子村。</w:t>
      </w:r>
    </w:p>
    <w:p w14:paraId="045BA416">
      <w:pPr>
        <w:spacing w:line="520" w:lineRule="exact"/>
        <w:ind w:firstLine="640" w:firstLineChars="200"/>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五、建设规模、标准及主要建</w:t>
      </w:r>
      <w:r>
        <w:rPr>
          <w:rFonts w:hint="default" w:ascii="Times New Roman" w:hAnsi="Times New Roman" w:eastAsia="方正仿宋_GBK" w:cs="Times New Roman"/>
          <w:b w:val="0"/>
          <w:bCs w:val="0"/>
          <w:sz w:val="32"/>
          <w:szCs w:val="32"/>
        </w:rPr>
        <w:t>设内容：</w:t>
      </w:r>
      <w:r>
        <w:rPr>
          <w:rFonts w:hint="default" w:ascii="Times New Roman" w:hAnsi="Times New Roman" w:eastAsia="方正仿宋_GBK" w:cs="Times New Roman"/>
          <w:b w:val="0"/>
          <w:bCs w:val="0"/>
          <w:sz w:val="32"/>
          <w:szCs w:val="32"/>
          <w:lang w:eastAsia="zh-CN"/>
        </w:rPr>
        <w:t>硬化3.5米宽、20厘米厚，强度C25水泥混凝土路面2.009公里，部分区域设挡墙、错车道、涵管等。</w:t>
      </w:r>
    </w:p>
    <w:p w14:paraId="6A92DB27">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六、投资估算及资金来源：项目估算总投资88.02万元，其中：工程费用81.71万元，工程建设其他费3.75万元，基本预备费2.56万元。资金来源为</w:t>
      </w:r>
      <w:r>
        <w:rPr>
          <w:rFonts w:hint="default" w:ascii="Times New Roman" w:hAnsi="Times New Roman" w:eastAsia="方正仿宋_GBK" w:cs="Times New Roman"/>
          <w:b w:val="0"/>
          <w:bCs w:val="0"/>
          <w:sz w:val="32"/>
          <w:szCs w:val="32"/>
          <w:lang w:eastAsia="zh-CN"/>
        </w:rPr>
        <w:t>市级以上农村综合改革转移支付资金，不足部分业主自筹</w:t>
      </w:r>
      <w:r>
        <w:rPr>
          <w:rFonts w:hint="default" w:ascii="Times New Roman" w:hAnsi="Times New Roman" w:eastAsia="方正仿宋_GBK" w:cs="Times New Roman"/>
          <w:b w:val="0"/>
          <w:bCs w:val="0"/>
          <w:sz w:val="32"/>
          <w:szCs w:val="32"/>
        </w:rPr>
        <w:t>。</w:t>
      </w:r>
    </w:p>
    <w:p w14:paraId="402C7B14">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个月。</w:t>
      </w:r>
    </w:p>
    <w:p w14:paraId="67FE9266">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八、招</w:t>
      </w:r>
      <w:r>
        <w:rPr>
          <w:rFonts w:hint="eastAsia" w:ascii="方正仿宋_GBK" w:hAnsi="方正仿宋_GBK" w:eastAsia="方正仿宋_GBK" w:cs="方正仿宋_GBK"/>
          <w:b w:val="0"/>
          <w:bCs w:val="0"/>
          <w:sz w:val="32"/>
          <w:szCs w:val="32"/>
          <w:lang w:eastAsia="zh-CN"/>
        </w:rPr>
        <w:t>投</w:t>
      </w:r>
      <w:r>
        <w:rPr>
          <w:rFonts w:hint="eastAsia" w:ascii="方正仿宋_GBK" w:hAnsi="方正仿宋_GBK" w:eastAsia="方正仿宋_GBK" w:cs="方正仿宋_GBK"/>
          <w:b w:val="0"/>
          <w:bCs w:val="0"/>
          <w:sz w:val="32"/>
          <w:szCs w:val="32"/>
        </w:rPr>
        <w:t>标核准：本项目招标范围、招标方式及招标组织形式严格按照《中华人民共和国招标投标法实施条例》</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《重庆市黔江区政府投资管理实施办法》</w:t>
      </w:r>
      <w:r>
        <w:rPr>
          <w:rFonts w:hint="eastAsia" w:ascii="方正仿宋_GBK" w:hAnsi="方正仿宋_GBK" w:eastAsia="方正仿宋_GBK" w:cs="方正仿宋_GBK"/>
          <w:b w:val="0"/>
          <w:bCs w:val="0"/>
          <w:sz w:val="32"/>
          <w:szCs w:val="32"/>
          <w:lang w:eastAsia="zh-CN"/>
        </w:rPr>
        <w:t>和农业领域推广以工代赈项目建设模式的</w:t>
      </w:r>
      <w:r>
        <w:rPr>
          <w:rFonts w:hint="eastAsia" w:ascii="方正仿宋_GBK" w:hAnsi="方正仿宋_GBK" w:eastAsia="方正仿宋_GBK" w:cs="方正仿宋_GBK"/>
          <w:b w:val="0"/>
          <w:bCs w:val="0"/>
          <w:sz w:val="32"/>
          <w:szCs w:val="32"/>
        </w:rPr>
        <w:t>有关规定组织实施。</w:t>
      </w:r>
    </w:p>
    <w:p w14:paraId="15EC88C5">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九、有关要求:</w:t>
      </w:r>
    </w:p>
    <w:p w14:paraId="64F71AB9">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eastAsia="zh-CN"/>
        </w:rPr>
        <w:t>一</w:t>
      </w:r>
      <w:r>
        <w:rPr>
          <w:rFonts w:hint="eastAsia" w:ascii="方正仿宋_GBK" w:hAnsi="方正仿宋_GBK" w:eastAsia="方正仿宋_GBK" w:cs="方正仿宋_GBK"/>
          <w:b w:val="0"/>
          <w:bCs w:val="0"/>
          <w:sz w:val="32"/>
          <w:szCs w:val="32"/>
        </w:rPr>
        <w:t>）根据《关于印发村庄建设项目简易审批方案的通知》（黔江发改委</w:t>
      </w:r>
      <w:r>
        <w:rPr>
          <w:rFonts w:hint="default" w:ascii="Times New Roman" w:hAnsi="Times New Roman" w:eastAsia="方正仿宋_GBK" w:cs="Times New Roman"/>
          <w:b w:val="0"/>
          <w:bCs w:val="0"/>
          <w:sz w:val="32"/>
          <w:szCs w:val="32"/>
        </w:rPr>
        <w:t>发〔2022〕64号文）要</w:t>
      </w:r>
      <w:r>
        <w:rPr>
          <w:rFonts w:hint="eastAsia" w:ascii="方正仿宋_GBK" w:hAnsi="方正仿宋_GBK" w:eastAsia="方正仿宋_GBK" w:cs="方正仿宋_GBK"/>
          <w:b w:val="0"/>
          <w:bCs w:val="0"/>
          <w:sz w:val="32"/>
          <w:szCs w:val="32"/>
        </w:rPr>
        <w:t>求，本项目适用村庄建设项目简易审批程序。本批复中明确的项目投资估算为项目控制性投资，不再审批项目投资概算。</w:t>
      </w:r>
    </w:p>
    <w:p w14:paraId="1CC83DD1">
      <w:pPr>
        <w:spacing w:line="520" w:lineRule="exact"/>
        <w:ind w:firstLine="640" w:firstLineChars="200"/>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eastAsia="zh-CN"/>
        </w:rPr>
        <w:t>二</w:t>
      </w:r>
      <w:r>
        <w:rPr>
          <w:rFonts w:hint="eastAsia" w:ascii="方正仿宋_GBK" w:hAnsi="方正仿宋_GBK" w:eastAsia="方正仿宋_GBK" w:cs="方正仿宋_GBK"/>
          <w:b w:val="0"/>
          <w:bCs w:val="0"/>
          <w:sz w:val="32"/>
          <w:szCs w:val="32"/>
        </w:rPr>
        <w:t>）切实加强项目实施过程监管，严格执行推广以工代赈项目劳务用工和报酬发放有关规定，本项目实施过程中要最大限度吸纳当地农民工参与工程建设，项目累计用工人数不得少于</w:t>
      </w:r>
      <w:r>
        <w:rPr>
          <w:rFonts w:hint="default" w:ascii="Times New Roman" w:hAnsi="Times New Roman" w:eastAsia="方正仿宋_GBK" w:cs="Times New Roman"/>
          <w:b w:val="0"/>
          <w:bCs w:val="0"/>
          <w:sz w:val="32"/>
          <w:szCs w:val="32"/>
          <w:lang w:val="en-US" w:eastAsia="zh-CN"/>
        </w:rPr>
        <w:t>25</w:t>
      </w:r>
      <w:r>
        <w:rPr>
          <w:rFonts w:hint="default" w:ascii="Times New Roman" w:hAnsi="Times New Roman" w:eastAsia="方正仿宋_GBK" w:cs="Times New Roman"/>
          <w:b w:val="0"/>
          <w:bCs w:val="0"/>
          <w:sz w:val="32"/>
          <w:szCs w:val="32"/>
        </w:rPr>
        <w:t>人，发放劳务报酬金额不得低于</w:t>
      </w:r>
      <w:r>
        <w:rPr>
          <w:rFonts w:hint="default" w:ascii="Times New Roman" w:hAnsi="Times New Roman" w:eastAsia="方正仿宋_GBK" w:cs="Times New Roman"/>
          <w:b w:val="0"/>
          <w:bCs w:val="0"/>
          <w:sz w:val="32"/>
          <w:szCs w:val="32"/>
          <w:lang w:val="en-US" w:eastAsia="zh-CN"/>
        </w:rPr>
        <w:t>34.72</w:t>
      </w:r>
      <w:r>
        <w:rPr>
          <w:rFonts w:hint="default" w:ascii="Times New Roman" w:hAnsi="Times New Roman" w:eastAsia="方正仿宋_GBK" w:cs="Times New Roman"/>
          <w:b w:val="0"/>
          <w:bCs w:val="0"/>
          <w:sz w:val="32"/>
          <w:szCs w:val="32"/>
        </w:rPr>
        <w:t>万元。</w:t>
      </w:r>
    </w:p>
    <w:p w14:paraId="4AD7F43D">
      <w:pPr>
        <w:spacing w:line="520" w:lineRule="exact"/>
        <w:ind w:firstLine="640" w:firstLineChars="2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三）</w:t>
      </w:r>
      <w:r>
        <w:rPr>
          <w:rFonts w:hint="eastAsia" w:ascii="方正仿宋_GBK" w:hAnsi="方正仿宋_GBK" w:eastAsia="方正仿宋_GBK" w:cs="方正仿宋_GBK"/>
          <w:b w:val="0"/>
          <w:bCs w:val="0"/>
          <w:sz w:val="32"/>
          <w:szCs w:val="32"/>
        </w:rPr>
        <w:t>认真落实安全生产责任制,强化项目资金管理，切实控制投资，严控工程质量，加快推进项目实施，确保工程早日建成投用。</w:t>
      </w:r>
    </w:p>
    <w:p w14:paraId="468AB0DE">
      <w:pPr>
        <w:spacing w:line="520" w:lineRule="exact"/>
        <w:ind w:firstLine="640" w:firstLineChars="200"/>
        <w:rPr>
          <w:rFonts w:hint="eastAsia" w:ascii="方正仿宋_GBK" w:hAnsi="方正仿宋_GBK" w:eastAsia="方正仿宋_GBK" w:cs="方正仿宋_GBK"/>
          <w:b w:val="0"/>
          <w:bCs w:val="0"/>
          <w:sz w:val="32"/>
          <w:szCs w:val="32"/>
        </w:rPr>
      </w:pPr>
    </w:p>
    <w:p w14:paraId="33676D9B">
      <w:pPr>
        <w:spacing w:line="520" w:lineRule="exact"/>
        <w:ind w:left="1598" w:leftChars="304" w:hanging="960" w:hangingChars="30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附件：黔江区新华乡</w:t>
      </w:r>
      <w:r>
        <w:rPr>
          <w:rFonts w:hint="default" w:ascii="Times New Roman" w:hAnsi="Times New Roman" w:eastAsia="方正仿宋_GBK" w:cs="Times New Roman"/>
          <w:b w:val="0"/>
          <w:bCs w:val="0"/>
          <w:sz w:val="32"/>
          <w:szCs w:val="32"/>
        </w:rPr>
        <w:t>2026年第</w:t>
      </w:r>
      <w:r>
        <w:rPr>
          <w:rFonts w:hint="eastAsia" w:ascii="方正仿宋_GBK" w:hAnsi="方正仿宋_GBK" w:eastAsia="方正仿宋_GBK" w:cs="方正仿宋_GBK"/>
          <w:b w:val="0"/>
          <w:bCs w:val="0"/>
          <w:sz w:val="32"/>
          <w:szCs w:val="32"/>
        </w:rPr>
        <w:t>一批入户道路（村社便道）硬化项目投资估算表</w:t>
      </w:r>
    </w:p>
    <w:p w14:paraId="27383188">
      <w:pPr>
        <w:keepNext w:val="0"/>
        <w:keepLines w:val="0"/>
        <w:pageBreakBefore w:val="0"/>
        <w:widowControl w:val="0"/>
        <w:kinsoku/>
        <w:wordWrap/>
        <w:overflowPunct/>
        <w:topLinePunct w:val="0"/>
        <w:autoSpaceDE/>
        <w:autoSpaceDN/>
        <w:bidi w:val="0"/>
        <w:adjustRightInd/>
        <w:snapToGrid/>
        <w:spacing w:line="575" w:lineRule="exact"/>
        <w:ind w:firstLine="1600" w:firstLineChars="500"/>
        <w:textAlignment w:val="auto"/>
        <w:rPr>
          <w:rFonts w:hint="default" w:ascii="Times New Roman" w:hAnsi="Times New Roman" w:eastAsia="方正仿宋_GBK" w:cs="Times New Roman"/>
          <w:b w:val="0"/>
          <w:bCs w:val="0"/>
          <w:sz w:val="32"/>
          <w:szCs w:val="32"/>
        </w:rPr>
      </w:pPr>
    </w:p>
    <w:p w14:paraId="37A71F97">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eastAsia" w:ascii="Times New Roman" w:hAnsi="Times New Roman" w:eastAsia="方正仿宋_GBK" w:cs="Times New Roman"/>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方正黑体_GBK" w:hAnsi="方正黑体_GBK" w:eastAsia="方正黑体_GBK" w:cs="方正黑体_GBK"/>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20</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1A98E708">
      <w:pPr>
        <w:pStyle w:val="5"/>
        <w:spacing w:line="500" w:lineRule="exact"/>
        <w:rPr>
          <w:rFonts w:hint="eastAsia" w:ascii="方正黑体_GBK" w:hAnsi="方正黑体_GBK" w:eastAsia="方正黑体_GBK" w:cs="方正黑体_GBK"/>
          <w:sz w:val="32"/>
          <w:szCs w:val="32"/>
        </w:rPr>
      </w:pPr>
    </w:p>
    <w:p w14:paraId="78D2A757">
      <w:pPr>
        <w:pStyle w:val="5"/>
        <w:spacing w:line="500" w:lineRule="exact"/>
        <w:rPr>
          <w:rFonts w:hint="eastAsia" w:ascii="方正黑体_GBK" w:hAnsi="方正黑体_GBK" w:eastAsia="方正黑体_GBK" w:cs="方正黑体_GBK"/>
          <w:sz w:val="32"/>
          <w:szCs w:val="32"/>
        </w:rPr>
      </w:pPr>
    </w:p>
    <w:p w14:paraId="32055552">
      <w:pPr>
        <w:pStyle w:val="5"/>
        <w:spacing w:line="500" w:lineRule="exact"/>
        <w:rPr>
          <w:rFonts w:hint="eastAsia" w:ascii="方正黑体_GBK" w:hAnsi="方正黑体_GBK" w:eastAsia="方正黑体_GBK" w:cs="方正黑体_GBK"/>
          <w:sz w:val="32"/>
          <w:szCs w:val="32"/>
        </w:rPr>
      </w:pPr>
    </w:p>
    <w:p w14:paraId="2E8BC811">
      <w:pPr>
        <w:pStyle w:val="5"/>
        <w:spacing w:line="500" w:lineRule="exact"/>
        <w:rPr>
          <w:rFonts w:hint="eastAsia" w:ascii="方正黑体_GBK" w:hAnsi="方正黑体_GBK" w:eastAsia="方正黑体_GBK" w:cs="方正黑体_GBK"/>
          <w:sz w:val="32"/>
          <w:szCs w:val="32"/>
        </w:rPr>
      </w:pPr>
    </w:p>
    <w:p w14:paraId="1B003A74">
      <w:pPr>
        <w:pStyle w:val="5"/>
        <w:spacing w:line="500" w:lineRule="exact"/>
        <w:rPr>
          <w:rFonts w:hint="eastAsia" w:ascii="方正黑体_GBK" w:hAnsi="方正黑体_GBK" w:eastAsia="方正黑体_GBK" w:cs="方正黑体_GBK"/>
          <w:sz w:val="32"/>
          <w:szCs w:val="32"/>
        </w:rPr>
      </w:pPr>
    </w:p>
    <w:p w14:paraId="657A681B">
      <w:pPr>
        <w:pStyle w:val="5"/>
        <w:spacing w:line="500" w:lineRule="exact"/>
        <w:rPr>
          <w:rFonts w:hint="eastAsia" w:ascii="方正黑体_GBK" w:hAnsi="方正黑体_GBK" w:eastAsia="方正黑体_GBK" w:cs="方正黑体_GBK"/>
          <w:sz w:val="32"/>
          <w:szCs w:val="32"/>
        </w:rPr>
      </w:pPr>
    </w:p>
    <w:p w14:paraId="327FDB5E">
      <w:pPr>
        <w:pStyle w:val="5"/>
        <w:spacing w:line="500" w:lineRule="exact"/>
        <w:rPr>
          <w:rFonts w:hint="eastAsia" w:ascii="方正黑体_GBK" w:hAnsi="方正黑体_GBK" w:eastAsia="方正黑体_GBK" w:cs="方正黑体_GBK"/>
          <w:sz w:val="32"/>
          <w:szCs w:val="32"/>
        </w:rPr>
      </w:pPr>
    </w:p>
    <w:p w14:paraId="1F7D28E6">
      <w:pPr>
        <w:pStyle w:val="5"/>
        <w:spacing w:line="500" w:lineRule="exact"/>
        <w:rPr>
          <w:rFonts w:hint="eastAsia" w:ascii="方正黑体_GBK" w:hAnsi="方正黑体_GBK" w:eastAsia="方正黑体_GBK" w:cs="方正黑体_GBK"/>
          <w:sz w:val="32"/>
          <w:szCs w:val="32"/>
        </w:rPr>
      </w:pPr>
    </w:p>
    <w:p w14:paraId="59D98311">
      <w:pPr>
        <w:pStyle w:val="5"/>
        <w:spacing w:line="500" w:lineRule="exact"/>
        <w:rPr>
          <w:rFonts w:hint="eastAsia" w:ascii="方正黑体_GBK" w:hAnsi="方正黑体_GBK" w:eastAsia="方正黑体_GBK" w:cs="方正黑体_GBK"/>
          <w:sz w:val="32"/>
          <w:szCs w:val="32"/>
        </w:rPr>
      </w:pPr>
    </w:p>
    <w:p w14:paraId="1EC5300B">
      <w:pPr>
        <w:pStyle w:val="5"/>
        <w:spacing w:line="500" w:lineRule="exact"/>
        <w:rPr>
          <w:rFonts w:hint="eastAsia" w:ascii="方正黑体_GBK" w:hAnsi="方正黑体_GBK" w:eastAsia="方正黑体_GBK" w:cs="方正黑体_GBK"/>
          <w:sz w:val="32"/>
          <w:szCs w:val="32"/>
        </w:rPr>
      </w:pPr>
    </w:p>
    <w:p w14:paraId="66C9542E">
      <w:pPr>
        <w:pStyle w:val="5"/>
        <w:spacing w:line="500" w:lineRule="exact"/>
        <w:rPr>
          <w:rFonts w:hint="eastAsia" w:ascii="方正黑体_GBK" w:hAnsi="方正黑体_GBK" w:eastAsia="方正黑体_GBK" w:cs="方正黑体_GBK"/>
          <w:sz w:val="32"/>
          <w:szCs w:val="32"/>
        </w:rPr>
      </w:pPr>
    </w:p>
    <w:p w14:paraId="1C4F9DAF">
      <w:pPr>
        <w:pStyle w:val="5"/>
        <w:spacing w:line="500" w:lineRule="exact"/>
        <w:rPr>
          <w:rFonts w:hint="eastAsia" w:ascii="方正黑体_GBK" w:hAnsi="方正黑体_GBK" w:eastAsia="方正黑体_GBK" w:cs="方正黑体_GBK"/>
          <w:sz w:val="32"/>
          <w:szCs w:val="32"/>
        </w:rPr>
      </w:pPr>
    </w:p>
    <w:p w14:paraId="45A758C5">
      <w:pPr>
        <w:pStyle w:val="5"/>
        <w:spacing w:line="500" w:lineRule="exact"/>
        <w:rPr>
          <w:rFonts w:hint="eastAsia" w:ascii="方正黑体_GBK" w:hAnsi="方正黑体_GBK" w:eastAsia="方正黑体_GBK" w:cs="方正黑体_GBK"/>
          <w:sz w:val="32"/>
          <w:szCs w:val="32"/>
        </w:rPr>
      </w:pPr>
    </w:p>
    <w:p w14:paraId="26857E80">
      <w:pPr>
        <w:pStyle w:val="5"/>
        <w:spacing w:line="500" w:lineRule="exact"/>
        <w:rPr>
          <w:rFonts w:hint="eastAsia" w:ascii="方正黑体_GBK" w:hAnsi="方正黑体_GBK" w:eastAsia="方正黑体_GBK" w:cs="方正黑体_GBK"/>
          <w:sz w:val="32"/>
          <w:szCs w:val="32"/>
        </w:rPr>
      </w:pPr>
    </w:p>
    <w:p w14:paraId="3365349E">
      <w:pPr>
        <w:pStyle w:val="5"/>
        <w:spacing w:line="500" w:lineRule="exact"/>
        <w:rPr>
          <w:rFonts w:hint="eastAsia" w:ascii="方正黑体_GBK" w:hAnsi="方正黑体_GBK" w:eastAsia="方正黑体_GBK" w:cs="方正黑体_GBK"/>
          <w:sz w:val="32"/>
          <w:szCs w:val="32"/>
        </w:rPr>
      </w:pPr>
    </w:p>
    <w:p w14:paraId="1FBF8E1C">
      <w:pPr>
        <w:pStyle w:val="5"/>
        <w:spacing w:line="500" w:lineRule="exact"/>
        <w:rPr>
          <w:rFonts w:hint="eastAsia" w:ascii="方正黑体_GBK" w:hAnsi="方正黑体_GBK" w:eastAsia="方正黑体_GBK" w:cs="方正黑体_GBK"/>
          <w:sz w:val="32"/>
          <w:szCs w:val="32"/>
        </w:rPr>
      </w:pPr>
    </w:p>
    <w:p w14:paraId="453B6127">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spacing w:line="500" w:lineRule="exact"/>
        <w:rPr>
          <w:rFonts w:hint="eastAsia" w:ascii="方正黑体_GBK" w:hAnsi="方正黑体_GBK" w:eastAsia="方正黑体_GBK" w:cs="方正黑体_GBK"/>
          <w:sz w:val="32"/>
          <w:szCs w:val="32"/>
        </w:rPr>
      </w:pPr>
    </w:p>
    <w:p w14:paraId="6C3AB57E">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黔江区新华乡2026年第一批入户道路（村社便道）</w:t>
      </w: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硬化项目投资估算表</w:t>
      </w:r>
    </w:p>
    <w:p w14:paraId="675BE02D">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tbl>
      <w:tblPr>
        <w:tblStyle w:val="10"/>
        <w:tblW w:w="90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3"/>
        <w:gridCol w:w="4432"/>
        <w:gridCol w:w="1841"/>
        <w:gridCol w:w="1677"/>
      </w:tblGrid>
      <w:tr w14:paraId="2E76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D33B">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 号</w:t>
            </w:r>
          </w:p>
        </w:tc>
        <w:tc>
          <w:tcPr>
            <w:tcW w:w="4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CD1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工程或费用名称</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C8B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金额（万元）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DC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备注</w:t>
            </w:r>
          </w:p>
        </w:tc>
      </w:tr>
      <w:tr w14:paraId="52B7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A7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一</w:t>
            </w:r>
          </w:p>
        </w:tc>
        <w:tc>
          <w:tcPr>
            <w:tcW w:w="4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78B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工程费用</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7DA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81.71 </w:t>
            </w: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72C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项目实施过程中最大限度吸纳当地农民工参与工程建设，累计用工人数不得少于</w:t>
            </w:r>
            <w:r>
              <w:rPr>
                <w:rStyle w:val="29"/>
                <w:rFonts w:eastAsia="宋体"/>
                <w:lang w:val="en-US" w:eastAsia="zh-CN" w:bidi="ar"/>
              </w:rPr>
              <w:t>25</w:t>
            </w:r>
            <w:r>
              <w:rPr>
                <w:rFonts w:hint="eastAsia" w:ascii="方正仿宋_GBK" w:hAnsi="方正仿宋_GBK" w:eastAsia="方正仿宋_GBK" w:cs="方正仿宋_GBK"/>
                <w:i w:val="0"/>
                <w:iCs w:val="0"/>
                <w:color w:val="000000"/>
                <w:kern w:val="0"/>
                <w:sz w:val="28"/>
                <w:szCs w:val="28"/>
                <w:u w:val="none"/>
                <w:lang w:val="en-US" w:eastAsia="zh-CN" w:bidi="ar"/>
              </w:rPr>
              <w:t>人，发放劳务报酬金额不得低于</w:t>
            </w:r>
            <w:r>
              <w:rPr>
                <w:rStyle w:val="29"/>
                <w:rFonts w:eastAsia="宋体"/>
                <w:lang w:val="en-US" w:eastAsia="zh-CN" w:bidi="ar"/>
              </w:rPr>
              <w:t>34.72</w:t>
            </w:r>
            <w:r>
              <w:rPr>
                <w:rFonts w:hint="eastAsia" w:ascii="方正仿宋_GBK" w:hAnsi="方正仿宋_GBK" w:eastAsia="方正仿宋_GBK" w:cs="方正仿宋_GBK"/>
                <w:i w:val="0"/>
                <w:iCs w:val="0"/>
                <w:color w:val="000000"/>
                <w:kern w:val="0"/>
                <w:sz w:val="28"/>
                <w:szCs w:val="28"/>
                <w:u w:val="none"/>
                <w:lang w:val="en-US" w:eastAsia="zh-CN" w:bidi="ar"/>
              </w:rPr>
              <w:t>万元</w:t>
            </w:r>
          </w:p>
        </w:tc>
      </w:tr>
      <w:tr w14:paraId="0D8D7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E6D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E2AE2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黔江区新华乡</w:t>
            </w:r>
            <w:r>
              <w:rPr>
                <w:rFonts w:hint="default" w:ascii="Times New Roman" w:hAnsi="Times New Roman" w:eastAsia="宋体" w:cs="Times New Roman"/>
                <w:i w:val="0"/>
                <w:iCs w:val="0"/>
                <w:color w:val="000000"/>
                <w:kern w:val="0"/>
                <w:sz w:val="28"/>
                <w:szCs w:val="28"/>
                <w:u w:val="none"/>
                <w:lang w:val="en-US" w:eastAsia="zh-CN" w:bidi="ar"/>
              </w:rPr>
              <w:t>2026</w:t>
            </w:r>
            <w:r>
              <w:rPr>
                <w:rFonts w:hint="eastAsia" w:ascii="方正仿宋_GBK" w:hAnsi="方正仿宋_GBK" w:eastAsia="方正仿宋_GBK" w:cs="方正仿宋_GBK"/>
                <w:i w:val="0"/>
                <w:iCs w:val="0"/>
                <w:color w:val="000000"/>
                <w:kern w:val="0"/>
                <w:sz w:val="28"/>
                <w:szCs w:val="28"/>
                <w:u w:val="none"/>
                <w:lang w:val="en-US" w:eastAsia="zh-CN" w:bidi="ar"/>
              </w:rPr>
              <w:t>年第一批入户道路（村社便道）硬化项目</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CB69A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81.71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EB9E9">
            <w:pPr>
              <w:jc w:val="center"/>
              <w:rPr>
                <w:rFonts w:hint="default" w:ascii="Times New Roman" w:hAnsi="Times New Roman" w:eastAsia="宋体" w:cs="Times New Roman"/>
                <w:i w:val="0"/>
                <w:iCs w:val="0"/>
                <w:color w:val="000000"/>
                <w:sz w:val="28"/>
                <w:szCs w:val="28"/>
                <w:u w:val="none"/>
              </w:rPr>
            </w:pPr>
          </w:p>
        </w:tc>
      </w:tr>
      <w:tr w14:paraId="2360B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BF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二</w:t>
            </w:r>
          </w:p>
        </w:tc>
        <w:tc>
          <w:tcPr>
            <w:tcW w:w="4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3C7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工程建设其他费</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C0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3.75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E7A5F">
            <w:pPr>
              <w:jc w:val="center"/>
              <w:rPr>
                <w:rFonts w:hint="default" w:ascii="Times New Roman" w:hAnsi="Times New Roman" w:eastAsia="宋体" w:cs="Times New Roman"/>
                <w:i w:val="0"/>
                <w:iCs w:val="0"/>
                <w:color w:val="000000"/>
                <w:sz w:val="28"/>
                <w:szCs w:val="28"/>
                <w:u w:val="none"/>
              </w:rPr>
            </w:pPr>
          </w:p>
        </w:tc>
      </w:tr>
      <w:tr w14:paraId="3460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874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2C9B8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工程建设监理费</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95993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1.36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81CE9">
            <w:pPr>
              <w:jc w:val="center"/>
              <w:rPr>
                <w:rFonts w:hint="default" w:ascii="Times New Roman" w:hAnsi="Times New Roman" w:eastAsia="宋体" w:cs="Times New Roman"/>
                <w:i w:val="0"/>
                <w:iCs w:val="0"/>
                <w:color w:val="000000"/>
                <w:sz w:val="28"/>
                <w:szCs w:val="28"/>
                <w:u w:val="none"/>
              </w:rPr>
            </w:pPr>
          </w:p>
        </w:tc>
      </w:tr>
      <w:tr w14:paraId="5BA7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86B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C750A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建设项目前期工作费</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C5E45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2.00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7FCD5">
            <w:pPr>
              <w:jc w:val="center"/>
              <w:rPr>
                <w:rFonts w:hint="default" w:ascii="Times New Roman" w:hAnsi="Times New Roman" w:eastAsia="宋体" w:cs="Times New Roman"/>
                <w:i w:val="0"/>
                <w:iCs w:val="0"/>
                <w:color w:val="000000"/>
                <w:sz w:val="28"/>
                <w:szCs w:val="28"/>
                <w:u w:val="none"/>
              </w:rPr>
            </w:pPr>
          </w:p>
        </w:tc>
      </w:tr>
      <w:tr w14:paraId="08815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907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F06B3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设计文件审查费</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5E9AA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0.06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CFE8">
            <w:pPr>
              <w:jc w:val="center"/>
              <w:rPr>
                <w:rFonts w:hint="default" w:ascii="Times New Roman" w:hAnsi="Times New Roman" w:eastAsia="宋体" w:cs="Times New Roman"/>
                <w:i w:val="0"/>
                <w:iCs w:val="0"/>
                <w:color w:val="000000"/>
                <w:sz w:val="28"/>
                <w:szCs w:val="28"/>
                <w:u w:val="none"/>
              </w:rPr>
            </w:pPr>
          </w:p>
        </w:tc>
      </w:tr>
      <w:tr w14:paraId="29A5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DE1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12AE3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工程保险费</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E838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0.33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8AB9">
            <w:pPr>
              <w:jc w:val="center"/>
              <w:rPr>
                <w:rFonts w:hint="default" w:ascii="Times New Roman" w:hAnsi="Times New Roman" w:eastAsia="宋体" w:cs="Times New Roman"/>
                <w:i w:val="0"/>
                <w:iCs w:val="0"/>
                <w:color w:val="000000"/>
                <w:sz w:val="28"/>
                <w:szCs w:val="28"/>
                <w:u w:val="none"/>
              </w:rPr>
            </w:pPr>
          </w:p>
        </w:tc>
      </w:tr>
      <w:tr w14:paraId="4E702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A9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三</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4F845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基本预备费</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FE9D9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2.56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CD558">
            <w:pPr>
              <w:jc w:val="center"/>
              <w:rPr>
                <w:rFonts w:hint="default" w:ascii="Times New Roman" w:hAnsi="Times New Roman" w:eastAsia="宋体" w:cs="Times New Roman"/>
                <w:i w:val="0"/>
                <w:iCs w:val="0"/>
                <w:color w:val="000000"/>
                <w:sz w:val="28"/>
                <w:szCs w:val="28"/>
                <w:u w:val="none"/>
              </w:rPr>
            </w:pPr>
          </w:p>
        </w:tc>
      </w:tr>
      <w:tr w14:paraId="186C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8F2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四</w:t>
            </w:r>
          </w:p>
        </w:tc>
        <w:tc>
          <w:tcPr>
            <w:tcW w:w="4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C0731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建设项目总投资估算</w:t>
            </w:r>
          </w:p>
        </w:tc>
        <w:tc>
          <w:tcPr>
            <w:tcW w:w="184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25D2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88.02 </w:t>
            </w: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801C7">
            <w:pPr>
              <w:jc w:val="center"/>
              <w:rPr>
                <w:rFonts w:hint="default" w:ascii="Times New Roman" w:hAnsi="Times New Roman" w:eastAsia="宋体" w:cs="Times New Roman"/>
                <w:i w:val="0"/>
                <w:iCs w:val="0"/>
                <w:color w:val="000000"/>
                <w:sz w:val="28"/>
                <w:szCs w:val="28"/>
                <w:u w:val="none"/>
              </w:rPr>
            </w:pPr>
          </w:p>
        </w:tc>
      </w:tr>
    </w:tbl>
    <w:p w14:paraId="5CDE4B6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B84F35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DC7EAB2"/>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、区农业农村委</w:t>
      </w:r>
      <w:bookmarkStart w:id="0" w:name="_GoBack"/>
      <w:bookmarkEnd w:id="0"/>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7200F03D-5CC3-4000-82B8-156B0DDAEE33}"/>
  </w:font>
  <w:font w:name="方正仿宋_GBK">
    <w:panose1 w:val="03000509000000000000"/>
    <w:charset w:val="86"/>
    <w:family w:val="script"/>
    <w:pitch w:val="default"/>
    <w:sig w:usb0="00000001" w:usb1="080E0000" w:usb2="00000000" w:usb3="00000000" w:csb0="00040000" w:csb1="00000000"/>
    <w:embedRegular r:id="rId2" w:fontKey="{5FFCF3A8-549C-429C-A3D7-A655980E5FA8}"/>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EC409923-D942-4695-B7B4-EC421ECFBD16}"/>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1A2C9FAD-3FDB-4857-81FC-4AA8583F79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DB6B5E"/>
    <w:rsid w:val="04BB474E"/>
    <w:rsid w:val="05A00EFD"/>
    <w:rsid w:val="09FA769E"/>
    <w:rsid w:val="0AA56432"/>
    <w:rsid w:val="0B3E2722"/>
    <w:rsid w:val="0B7A378A"/>
    <w:rsid w:val="0C443D5D"/>
    <w:rsid w:val="0C4A4FFD"/>
    <w:rsid w:val="0CFC0645"/>
    <w:rsid w:val="0D37421D"/>
    <w:rsid w:val="0E090617"/>
    <w:rsid w:val="0E4532A6"/>
    <w:rsid w:val="119A3908"/>
    <w:rsid w:val="13286CF2"/>
    <w:rsid w:val="14CA633F"/>
    <w:rsid w:val="15636F5B"/>
    <w:rsid w:val="175C5702"/>
    <w:rsid w:val="181B2628"/>
    <w:rsid w:val="193E59D1"/>
    <w:rsid w:val="1A261065"/>
    <w:rsid w:val="1C330A15"/>
    <w:rsid w:val="1F013809"/>
    <w:rsid w:val="1F950368"/>
    <w:rsid w:val="208F215E"/>
    <w:rsid w:val="250D18ED"/>
    <w:rsid w:val="254A0970"/>
    <w:rsid w:val="25F50CB6"/>
    <w:rsid w:val="27F93F48"/>
    <w:rsid w:val="28D139F4"/>
    <w:rsid w:val="29A30A29"/>
    <w:rsid w:val="2AD46A97"/>
    <w:rsid w:val="2D23435A"/>
    <w:rsid w:val="2F7B047E"/>
    <w:rsid w:val="31A87524"/>
    <w:rsid w:val="320E382B"/>
    <w:rsid w:val="335A484E"/>
    <w:rsid w:val="35C004C6"/>
    <w:rsid w:val="367B5207"/>
    <w:rsid w:val="39705D78"/>
    <w:rsid w:val="397671E0"/>
    <w:rsid w:val="3E011B99"/>
    <w:rsid w:val="3E5254F1"/>
    <w:rsid w:val="3EF47EDA"/>
    <w:rsid w:val="407C1648"/>
    <w:rsid w:val="40A351EE"/>
    <w:rsid w:val="43654AFE"/>
    <w:rsid w:val="44BC36CE"/>
    <w:rsid w:val="469D4D26"/>
    <w:rsid w:val="47DB5B06"/>
    <w:rsid w:val="48147269"/>
    <w:rsid w:val="487D33E1"/>
    <w:rsid w:val="4E1C4335"/>
    <w:rsid w:val="4F735634"/>
    <w:rsid w:val="4FFB4CF6"/>
    <w:rsid w:val="5130612A"/>
    <w:rsid w:val="534E1E00"/>
    <w:rsid w:val="5726180C"/>
    <w:rsid w:val="57A8352A"/>
    <w:rsid w:val="57C97313"/>
    <w:rsid w:val="57D810AF"/>
    <w:rsid w:val="5A6A3D0A"/>
    <w:rsid w:val="5A6C60F1"/>
    <w:rsid w:val="5BA34735"/>
    <w:rsid w:val="5F75634D"/>
    <w:rsid w:val="5FFE1A79"/>
    <w:rsid w:val="616F605C"/>
    <w:rsid w:val="61882403"/>
    <w:rsid w:val="61ED04B8"/>
    <w:rsid w:val="653B0AE4"/>
    <w:rsid w:val="66560D21"/>
    <w:rsid w:val="67566091"/>
    <w:rsid w:val="678D70A8"/>
    <w:rsid w:val="6A424672"/>
    <w:rsid w:val="6A6C1DE8"/>
    <w:rsid w:val="6AF30A16"/>
    <w:rsid w:val="6BAE6A0F"/>
    <w:rsid w:val="6C0B6505"/>
    <w:rsid w:val="6C68355C"/>
    <w:rsid w:val="6CE440E0"/>
    <w:rsid w:val="6DAE50AD"/>
    <w:rsid w:val="6EF61234"/>
    <w:rsid w:val="6F321C00"/>
    <w:rsid w:val="72141C90"/>
    <w:rsid w:val="74BA4923"/>
    <w:rsid w:val="764E6BC5"/>
    <w:rsid w:val="77672662"/>
    <w:rsid w:val="77A15B74"/>
    <w:rsid w:val="78624336"/>
    <w:rsid w:val="798F3B70"/>
    <w:rsid w:val="7AED1855"/>
    <w:rsid w:val="7D496A92"/>
    <w:rsid w:val="7E3E411D"/>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 w:type="character" w:customStyle="1" w:styleId="29">
    <w:name w:val="font31"/>
    <w:basedOn w:val="11"/>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1055</Words>
  <Characters>1177</Characters>
  <Lines>11</Lines>
  <Paragraphs>3</Paragraphs>
  <TotalTime>14</TotalTime>
  <ScaleCrop>false</ScaleCrop>
  <LinksUpToDate>false</LinksUpToDate>
  <CharactersWithSpaces>1282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2026-08-14T08:55:00Z</cp:lastPrinted>
  <dcterms:modified xsi:type="dcterms:W3CDTF">2026-08-21T01:20:28Z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