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jc w:val="righ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</w:rPr>
        <w:pict>
          <v:shape id="_x0000_s1027" o:spid="_x0000_s1027" o:spt="136" type="#_x0000_t136" style="position:absolute;left:0pt;margin-left:86.75pt;margin-top:73.4pt;height:52.45pt;width:425.2pt;mso-position-horizontal-relative:page;mso-position-vertical-relative:page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aspectratio="f"/>
            <v:textpath on="t" fitshape="t" fitpath="t" trim="t" xscale="f" string="重庆市黔江区发展和改革委员会" style="font-family:方正小标宋_GBK;font-size:36pt;font-weight:bold;v-rotate-letters:f;v-same-letter-heights:f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20" w:lineRule="exact"/>
        <w:jc w:val="righ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20" w:lineRule="exact"/>
        <w:jc w:val="righ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1908175</wp:posOffset>
                </wp:positionV>
                <wp:extent cx="6120130" cy="0"/>
                <wp:effectExtent l="0" t="38100" r="13970" b="3810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150.25pt;height:0pt;width:481.9pt;mso-position-horizontal:center;mso-position-horizontal-relative:page;mso-position-vertical-relative:page;z-index:251661312;mso-width-relative:page;mso-height-relative:page;" filled="f" stroked="t" coordsize="21600,21600" o:gfxdata="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rNllNYAAAAIAQAADwAAAAAAAAABACAAAAAi&#10;AAAAZHJzL2Rvd25yZXYueG1sUEsBAhQAFAAAAAgAh07iQBjU3mjTAQAAlAMAAA4AAAAAAAAAAQAg&#10;AAAAJQEAAGRycy9lMm9Eb2MueG1sUEsFBgAAAAAGAAYAWQEAAGoFAAAAAA==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20" w:lineRule="exact"/>
        <w:jc w:val="right"/>
        <w:textAlignment w:val="auto"/>
        <w:rPr>
          <w:rFonts w:hint="default" w:ascii="Times New Roman" w:hAnsi="Times New Roman" w:eastAsia="方正楷体_GBK" w:cs="Times New Roman"/>
          <w:spacing w:val="-10"/>
          <w:szCs w:val="32"/>
        </w:rPr>
      </w:pPr>
      <w:r>
        <w:rPr>
          <w:rFonts w:hint="default" w:ascii="Times New Roman" w:hAnsi="Times New Roman" w:cs="Times New Roman"/>
          <w:szCs w:val="32"/>
        </w:rPr>
        <w:t>黔江发改委函〔202</w:t>
      </w:r>
      <w:r>
        <w:rPr>
          <w:rFonts w:hint="default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cs="Times New Roman"/>
          <w:szCs w:val="32"/>
          <w:lang w:val="en-US" w:eastAsia="zh-CN"/>
        </w:rPr>
        <w:t>438</w:t>
      </w:r>
      <w:r>
        <w:rPr>
          <w:rFonts w:hint="default" w:ascii="Times New Roman" w:hAnsi="Times New Roman" w:cs="Times New Roman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eastAsia="方正楷体_GBK" w:cs="Times New Roman"/>
          <w:bCs/>
          <w:color w:val="000000"/>
          <w:szCs w:val="32"/>
        </w:rPr>
      </w:pPr>
    </w:p>
    <w:tbl>
      <w:tblPr>
        <w:tblStyle w:val="8"/>
        <w:tblW w:w="6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0"/>
      </w:tblGrid>
      <w:tr>
        <w:tblPrEx>
          <w:tblLayout w:type="fixed"/>
        </w:tblPrEx>
        <w:trPr>
          <w:trHeight w:val="535" w:hRule="atLeast"/>
          <w:jc w:val="center"/>
        </w:trPr>
        <w:tc>
          <w:tcPr>
            <w:tcW w:w="64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distribute"/>
              <w:textAlignment w:val="auto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重庆市黔江区发展和改革委员会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神龟峡景区旅游基础设施项目（船舶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部分）投资概算的批复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2"/>
          <w:highlight w:val="none"/>
          <w:lang w:val="zh-CN"/>
        </w:rPr>
      </w:pP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重庆峡谷城文旅集团有限公司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Times New Roman" w:hAnsi="Times New Roman" w:cs="Times New Roman"/>
          <w:color w:val="auto"/>
          <w:szCs w:val="22"/>
          <w:highlight w:val="none"/>
          <w:lang w:val="en-US" w:eastAsia="zh-CN"/>
        </w:rPr>
      </w:pP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你单位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《关于审查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神龟峡景区旅游基础设施（船舶部分）投资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概算的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请示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》（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峡谷城文旅文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〔202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〕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212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号）收悉，经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会同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区政府投资评审中心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评审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，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结合重庆市船舶检验中心有限公司出具的审图意见书，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同意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en-US" w:eastAsia="zh-CN"/>
        </w:rPr>
        <w:t>实施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神龟峡景区旅游基础设施项目（船舶部分）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（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2209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en-US" w:eastAsia="zh-CN"/>
        </w:rPr>
        <w:t>-500114-04-01-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619138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zh-CN" w:eastAsia="zh-CN"/>
        </w:rPr>
        <w:t>），</w:t>
      </w:r>
      <w:r>
        <w:rPr>
          <w:rFonts w:hint="default" w:ascii="Times New Roman" w:hAnsi="Times New Roman" w:cs="Times New Roman"/>
          <w:color w:val="auto"/>
          <w:szCs w:val="22"/>
          <w:highlight w:val="none"/>
          <w:lang w:val="en-US" w:eastAsia="zh-CN"/>
        </w:rPr>
        <w:t>现将投资概算批复如下：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20" w:firstLineChars="196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一、原则同意工程概算编制原则和标准。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cs="Times New Roman"/>
          <w:color w:val="auto"/>
          <w:szCs w:val="2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二、建设规模及主要建设内容：</w:t>
      </w:r>
      <w:r>
        <w:rPr>
          <w:rFonts w:hint="eastAsia" w:cs="Times New Roman"/>
          <w:color w:val="auto"/>
          <w:szCs w:val="22"/>
          <w:highlight w:val="none"/>
          <w:lang w:val="en-US" w:eastAsia="zh-CN"/>
        </w:rPr>
        <w:t>设计建造2艘船舶，船舶长分别为18米和25米，船舶为单底、单甲板、横骨架式单体，具备巡逻、应急救援及救援指挥等功能。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9973310</wp:posOffset>
                </wp:positionV>
                <wp:extent cx="6120130" cy="0"/>
                <wp:effectExtent l="0" t="38100" r="13970" b="3810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762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6.7pt;margin-top:785.3pt;height:0pt;width:481.9pt;mso-position-horizontal-relative:page;mso-position-vertical-relative:page;z-index:251664384;mso-width-relative:page;mso-height-relative:page;" filled="f" stroked="t" coordsize="21600,21600" o:gfxdata="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x5ZWjWAAAADgEAAA8AAAAAAAAAAQAgAAAA&#10;IgAAAGRycy9kb3ducmV2LnhtbFBLAQIUABQAAAAIAIdO4kB5i2NA1AEAAJQDAAAOAAAAAAAAAAEA&#10;IAAAACUBAABkcnMvZTJvRG9jLnhtbFBLBQYAAAAABgAGAFkBAABrBQAAAAA=&#10;">
                <v:fill on="f" focussize="0,0"/>
                <v:stroke weight="6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32" w:firstLineChars="200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三、概算总投资及资金来源：</w:t>
      </w:r>
      <w:r>
        <w:rPr>
          <w:rFonts w:hint="default" w:ascii="Times New Roman" w:hAnsi="Times New Roman" w:cs="Times New Roman"/>
          <w:color w:val="auto"/>
          <w:highlight w:val="none"/>
        </w:rPr>
        <w:t>总投资为</w:t>
      </w:r>
      <w:r>
        <w:rPr>
          <w:rFonts w:hint="eastAsia" w:cs="Times New Roman"/>
          <w:color w:val="auto"/>
          <w:highlight w:val="none"/>
          <w:lang w:val="en-US" w:eastAsia="zh-CN"/>
        </w:rPr>
        <w:t>533.51</w:t>
      </w:r>
      <w:r>
        <w:rPr>
          <w:rFonts w:hint="default" w:ascii="Times New Roman" w:hAnsi="Times New Roman" w:cs="Times New Roman"/>
          <w:color w:val="auto"/>
          <w:highlight w:val="none"/>
        </w:rPr>
        <w:t>万元，其中：</w:t>
      </w:r>
      <w:r>
        <w:rPr>
          <w:rFonts w:hint="eastAsia" w:cs="Times New Roman"/>
          <w:color w:val="auto"/>
          <w:highlight w:val="none"/>
          <w:lang w:val="en-US" w:eastAsia="zh-CN"/>
        </w:rPr>
        <w:t>直接</w:t>
      </w:r>
      <w:r>
        <w:rPr>
          <w:rFonts w:hint="default" w:ascii="Times New Roman" w:hAnsi="Times New Roman" w:cs="Times New Roman"/>
          <w:color w:val="auto"/>
          <w:highlight w:val="none"/>
        </w:rPr>
        <w:t>费用</w:t>
      </w:r>
      <w:r>
        <w:rPr>
          <w:rFonts w:hint="eastAsia" w:cs="Times New Roman"/>
          <w:color w:val="auto"/>
          <w:highlight w:val="none"/>
          <w:lang w:val="en-US" w:eastAsia="zh-CN"/>
        </w:rPr>
        <w:t>423.42</w:t>
      </w:r>
      <w:r>
        <w:rPr>
          <w:rFonts w:hint="default" w:ascii="Times New Roman" w:hAnsi="Times New Roman" w:cs="Times New Roman"/>
          <w:color w:val="auto"/>
          <w:highlight w:val="none"/>
        </w:rPr>
        <w:t>万元，</w:t>
      </w:r>
      <w:r>
        <w:rPr>
          <w:rFonts w:hint="eastAsia" w:cs="Times New Roman"/>
          <w:color w:val="auto"/>
          <w:highlight w:val="none"/>
          <w:lang w:val="en-US" w:eastAsia="zh-CN"/>
        </w:rPr>
        <w:t>其他费用110.09万元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资金来源为“十四五”时期文化保护传承利用工程中央预算内资金3200万元，不足资金业主自筹。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四、请</w:t>
      </w:r>
      <w:r>
        <w:rPr>
          <w:rFonts w:hint="eastAsia" w:cs="Times New Roman"/>
          <w:bCs/>
          <w:color w:val="auto"/>
          <w:sz w:val="32"/>
          <w:szCs w:val="32"/>
          <w:highlight w:val="none"/>
          <w:lang w:val="en-US" w:eastAsia="zh-CN"/>
        </w:rPr>
        <w:t>严格按照重庆市船舶检验中心有限公司出具的审图意见书，按批复的建设内容、规模和标准等采购，项目预算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  <w:t>按照同口径控制在投资概算以内，并履行完善相关建设手续。要按照资金来源落实建设资金后开展下步工作，严禁新增政府隐性债务。要严格执行工程招投标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制，合同管理制，工程监理制，切实加强工程管理，确保工程质量、进度和投资有效控制。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：</w:t>
      </w:r>
      <w:bookmarkStart w:id="0" w:name="OLE_LINK1"/>
      <w:r>
        <w:rPr>
          <w:rFonts w:hint="eastAsia" w:cs="Times New Roman"/>
          <w:szCs w:val="22"/>
          <w:lang w:val="en-US" w:eastAsia="zh-CN"/>
        </w:rPr>
        <w:t>神龟峡景区旅游基础设施（船舶部分）</w:t>
      </w:r>
      <w:r>
        <w:rPr>
          <w:rFonts w:hint="default" w:ascii="Times New Roman" w:hAnsi="Times New Roman" w:eastAsia="方正仿宋_GBK" w:cs="Times New Roman"/>
          <w:bCs/>
          <w:spacing w:val="-7"/>
          <w:sz w:val="32"/>
          <w:szCs w:val="32"/>
        </w:rPr>
        <w:t>投资概算表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5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50" w:lineRule="exact"/>
        <w:ind w:left="0" w:leftChars="0" w:right="0" w:rightChars="0" w:firstLine="3792" w:firstLineChars="1200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50" w:lineRule="exact"/>
        <w:ind w:left="0" w:leftChars="0" w:right="0" w:rightChars="0" w:firstLine="3792" w:firstLineChars="1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重庆市黔江区发展和改革委员会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50" w:lineRule="exact"/>
        <w:ind w:left="0" w:leftChars="0" w:right="0" w:rightChars="0" w:firstLine="643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</w:rPr>
        <w:t xml:space="preserve"> 202</w:t>
      </w:r>
      <w:r>
        <w:rPr>
          <w:rFonts w:hint="default" w:ascii="Times New Roman" w:hAnsi="Times New Roman" w:eastAsia="方正仿宋_GBK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eastAsia" w:eastAsia="方正仿宋_GBK" w:cs="Times New Roman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eastAsia="方正仿宋_GBK" w:cs="Times New Roman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20" w:lineRule="exact"/>
        <w:textAlignment w:val="auto"/>
        <w:rPr>
          <w:rFonts w:hint="default" w:ascii="Times New Roman" w:hAnsi="Times New Roman" w:cs="Times New Roman"/>
          <w:kern w:val="0"/>
          <w:sz w:val="28"/>
          <w:szCs w:val="28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587" w:right="1417" w:bottom="1417" w:left="1701" w:header="851" w:footer="1474" w:gutter="0"/>
          <w:pgNumType w:fmt="numberInDash"/>
          <w:cols w:space="720" w:num="1"/>
          <w:docGrid w:type="linesAndChars" w:linePitch="579" w:charSpace="-842"/>
        </w:sect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>抄送：区纪委监委、区财政局、区审计局。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6998" w:leftChars="218" w:hanging="6300" w:hangingChars="1800"/>
        <w:jc w:val="both"/>
        <w:textAlignment w:val="auto"/>
        <w:rPr>
          <w:rFonts w:hint="default" w:ascii="Times New Roman" w:hAnsi="Times New Roman" w:eastAsia="方正小标宋_GBK" w:cs="Times New Roman"/>
          <w:kern w:val="0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kern w:val="0"/>
          <w:sz w:val="35"/>
          <w:szCs w:val="35"/>
          <w:lang w:val="en-US" w:eastAsia="zh-CN"/>
        </w:rPr>
        <w:t>神龟峡景区旅游基础设施（船舶部分）</w:t>
      </w:r>
      <w:r>
        <w:rPr>
          <w:rFonts w:hint="default" w:ascii="Times New Roman" w:hAnsi="Times New Roman" w:eastAsia="方正小标宋_GBK" w:cs="Times New Roman"/>
          <w:kern w:val="0"/>
          <w:sz w:val="35"/>
          <w:szCs w:val="35"/>
          <w:lang w:val="zh-CN"/>
        </w:rPr>
        <w:t xml:space="preserve">投资概算表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 xml:space="preserve">   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 xml:space="preserve">                         </w:t>
      </w:r>
      <w:r>
        <w:rPr>
          <w:rFonts w:hint="default" w:ascii="Times New Roman" w:hAnsi="Times New Roman" w:eastAsia="方正小标宋_GBK" w:cs="Times New Roman"/>
          <w:kern w:val="0"/>
          <w:sz w:val="24"/>
          <w:szCs w:val="24"/>
        </w:rPr>
        <w:t xml:space="preserve">  </w:t>
      </w:r>
      <w:r>
        <w:rPr>
          <w:rFonts w:hint="default" w:ascii="Times New Roman" w:hAnsi="Times New Roman" w:eastAsia="方正小标宋_GBK" w:cs="Times New Roman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单位：万元</w:t>
      </w:r>
    </w:p>
    <w:tbl>
      <w:tblPr>
        <w:tblStyle w:val="8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924"/>
        <w:gridCol w:w="1246"/>
        <w:gridCol w:w="1425"/>
        <w:gridCol w:w="1449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866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2924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  <w:t>名   称</w:t>
            </w:r>
          </w:p>
        </w:tc>
        <w:tc>
          <w:tcPr>
            <w:tcW w:w="1246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  <w:t>单位</w:t>
            </w:r>
          </w:p>
        </w:tc>
        <w:tc>
          <w:tcPr>
            <w:tcW w:w="1425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  <w:t>规模</w:t>
            </w:r>
          </w:p>
        </w:tc>
        <w:tc>
          <w:tcPr>
            <w:tcW w:w="1449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  <w:t>经济指标</w:t>
            </w:r>
          </w:p>
        </w:tc>
        <w:tc>
          <w:tcPr>
            <w:tcW w:w="1428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0"/>
                <w:szCs w:val="30"/>
              </w:rPr>
              <w:t>审核金额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top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一</w:t>
            </w:r>
          </w:p>
        </w:tc>
        <w:tc>
          <w:tcPr>
            <w:tcW w:w="2924" w:type="dxa"/>
            <w:vAlign w:val="top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直接费用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9" w:type="dxa"/>
            <w:vAlign w:val="top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423.42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924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18米船舶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16.102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" w:name="OLE_LINK2" w:colFirst="5" w:colLast="5"/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1.1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船体材料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轮机管路附件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1.3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舾装设备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1.4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消防设备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1.5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救生设备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1.6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航行信号设备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1.7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轮机设备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1.8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电气设备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1.9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线缆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1.10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舾装材料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1.11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耗材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1.12</w:t>
            </w:r>
          </w:p>
        </w:tc>
        <w:tc>
          <w:tcPr>
            <w:tcW w:w="29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其他材料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cs="Times New Roman" w:eastAsiaTheme="minorEastAsia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25米船舶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5" w:type="dxa"/>
            <w:vAlign w:val="top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2.1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船体材料</w:t>
            </w:r>
          </w:p>
        </w:tc>
        <w:tc>
          <w:tcPr>
            <w:tcW w:w="1246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43.674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.2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轮机管路附件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舾装设备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消防设备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救生设备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航行信号设备</w:t>
            </w:r>
          </w:p>
        </w:tc>
        <w:tc>
          <w:tcPr>
            <w:tcW w:w="1246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轮机设备</w:t>
            </w:r>
          </w:p>
        </w:tc>
        <w:tc>
          <w:tcPr>
            <w:tcW w:w="1246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电气设备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线缆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2.10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轮机工具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2.11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舾装材料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41.53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2.12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耗材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2.13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其他材料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专项费用</w:t>
            </w:r>
          </w:p>
        </w:tc>
        <w:tc>
          <w:tcPr>
            <w:tcW w:w="1246" w:type="dxa"/>
            <w:vAlign w:val="top"/>
          </w:tcPr>
          <w:p>
            <w:pPr>
              <w:pStyle w:val="4"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425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二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其他费用</w:t>
            </w:r>
          </w:p>
        </w:tc>
        <w:tc>
          <w:tcPr>
            <w:tcW w:w="1246" w:type="dxa"/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管理费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利润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税费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66" w:type="dxa"/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三</w:t>
            </w:r>
          </w:p>
        </w:tc>
        <w:tc>
          <w:tcPr>
            <w:tcW w:w="2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tabs>
                <w:tab w:val="left" w:pos="594"/>
              </w:tabs>
              <w:spacing w:line="440" w:lineRule="exact"/>
              <w:jc w:val="center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533.51</w:t>
            </w:r>
          </w:p>
        </w:tc>
      </w:tr>
    </w:tbl>
    <w:p>
      <w:pPr>
        <w:rPr>
          <w:rFonts w:hint="default"/>
          <w:lang w:eastAsia="zh-CN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s&#10;9Jd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e&#10;U1DK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83820"/>
    <w:rsid w:val="07B94271"/>
    <w:rsid w:val="0BF478BF"/>
    <w:rsid w:val="15C12E8D"/>
    <w:rsid w:val="19046F8F"/>
    <w:rsid w:val="22C96F0F"/>
    <w:rsid w:val="280A51EF"/>
    <w:rsid w:val="29ED3A6F"/>
    <w:rsid w:val="34183820"/>
    <w:rsid w:val="36B92C7E"/>
    <w:rsid w:val="412E7BDF"/>
    <w:rsid w:val="42FC373F"/>
    <w:rsid w:val="4EBA2413"/>
    <w:rsid w:val="53485431"/>
    <w:rsid w:val="546E581B"/>
    <w:rsid w:val="5BED35CC"/>
    <w:rsid w:val="7B0411CE"/>
    <w:rsid w:val="DFBB20F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Body Text Indent"/>
    <w:basedOn w:val="1"/>
    <w:qFormat/>
    <w:uiPriority w:val="0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2024-12-27T16:33:00Z</dcterms:created>
  <dc:creator>李一苇</dc:creator>
  <cp:lastModifiedBy>董丽莉</cp:lastModifiedBy>
  <dcterms:modified xsi:type="dcterms:W3CDTF">2025-01-03T02:06:29Z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