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0B6A65" w14:textId="77777777" w:rsidR="00C779D5" w:rsidRDefault="00F87595">
      <w:pPr>
        <w:jc w:val="center"/>
        <w:rPr>
          <w:rFonts w:ascii="Times New Roman" w:eastAsia="方正小标宋_GBK" w:hAnsi="Times New Roman" w:cs="Times New Roman"/>
          <w:color w:val="FF0000"/>
          <w:sz w:val="44"/>
          <w:szCs w:val="44"/>
          <w:u w:val="single"/>
        </w:rPr>
      </w:pPr>
      <w:r>
        <w:rPr>
          <w:rFonts w:ascii="Times New Roman" w:eastAsia="方正小标宋_GBK" w:hAnsi="Times New Roman" w:cs="Times New Roman" w:hint="eastAsia"/>
          <w:color w:val="FF0000"/>
          <w:sz w:val="44"/>
          <w:szCs w:val="44"/>
        </w:rPr>
        <w:t>探矿权出让成交确认书</w:t>
      </w:r>
    </w:p>
    <w:p w14:paraId="3DCD864C" w14:textId="77777777" w:rsidR="00C779D5" w:rsidRDefault="00F87595" w:rsidP="00834C2F">
      <w:pPr>
        <w:spacing w:beforeLines="50" w:before="156" w:afterLines="50" w:after="156"/>
        <w:jc w:val="center"/>
        <w:rPr>
          <w:rFonts w:ascii="Times New Roman" w:eastAsia="方正仿宋_GBK" w:hAnsi="Times New Roman" w:cs="Times New Roman"/>
          <w:sz w:val="32"/>
          <w:szCs w:val="32"/>
        </w:rPr>
      </w:pPr>
      <w:proofErr w:type="gramStart"/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渝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矿探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公出〔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20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〕</w:t>
      </w:r>
      <w:r>
        <w:rPr>
          <w:rFonts w:ascii="Times New Roman" w:hAnsi="Times New Roman" w:cs="Times New Roman"/>
          <w:color w:val="262626" w:themeColor="text1" w:themeTint="D9"/>
          <w:sz w:val="22"/>
          <w:u w:val="single"/>
        </w:rPr>
        <w:t xml:space="preserve">  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号</w:t>
      </w:r>
    </w:p>
    <w:p w14:paraId="6522D6AE" w14:textId="6C2E3447" w:rsidR="00C779D5" w:rsidRDefault="00F87595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  <w:u w:val="single"/>
        </w:rPr>
      </w:pPr>
      <w:r>
        <w:rPr>
          <w:rFonts w:ascii="Times New Roman" w:eastAsia="方正仿宋_GBK" w:hAnsi="Times New Roman" w:cs="Times New Roman"/>
          <w:i/>
          <w:sz w:val="32"/>
          <w:szCs w:val="32"/>
          <w:u w:val="single"/>
        </w:rPr>
        <w:t xml:space="preserve">20  </w:t>
      </w:r>
      <w:r>
        <w:rPr>
          <w:rFonts w:ascii="Times New Roman" w:eastAsia="方正仿宋_GBK" w:hAnsi="Times New Roman" w:cs="Times New Roman" w:hint="eastAsia"/>
          <w:i/>
          <w:sz w:val="32"/>
          <w:szCs w:val="32"/>
          <w:u w:val="single"/>
        </w:rPr>
        <w:t>年</w:t>
      </w:r>
      <w:r>
        <w:rPr>
          <w:rFonts w:ascii="Times New Roman" w:eastAsia="方正仿宋_GBK" w:hAnsi="Times New Roman" w:cs="Times New Roman" w:hint="eastAsia"/>
          <w:i/>
          <w:sz w:val="32"/>
          <w:szCs w:val="32"/>
          <w:u w:val="single"/>
        </w:rPr>
        <w:t xml:space="preserve"> </w:t>
      </w:r>
      <w:r>
        <w:rPr>
          <w:rFonts w:ascii="Times New Roman" w:eastAsia="方正仿宋_GBK" w:hAnsi="Times New Roman" w:cs="Times New Roman" w:hint="eastAsia"/>
          <w:i/>
          <w:sz w:val="32"/>
          <w:szCs w:val="32"/>
          <w:u w:val="single"/>
        </w:rPr>
        <w:t>月</w:t>
      </w:r>
      <w:r>
        <w:rPr>
          <w:rFonts w:ascii="Times New Roman" w:eastAsia="方正仿宋_GBK" w:hAnsi="Times New Roman" w:cs="Times New Roman" w:hint="eastAsia"/>
          <w:i/>
          <w:sz w:val="32"/>
          <w:szCs w:val="32"/>
          <w:u w:val="single"/>
        </w:rPr>
        <w:t xml:space="preserve"> </w:t>
      </w:r>
      <w:r>
        <w:rPr>
          <w:rFonts w:ascii="Times New Roman" w:eastAsia="方正仿宋_GBK" w:hAnsi="Times New Roman" w:cs="Times New Roman" w:hint="eastAsia"/>
          <w:i/>
          <w:sz w:val="32"/>
          <w:szCs w:val="32"/>
          <w:u w:val="single"/>
        </w:rPr>
        <w:t>日</w:t>
      </w:r>
      <w:r>
        <w:rPr>
          <w:rFonts w:ascii="Times New Roman" w:eastAsia="方正仿宋_GBK" w:hAnsi="Times New Roman" w:cs="Times New Roman" w:hint="eastAsia"/>
          <w:i/>
          <w:sz w:val="32"/>
          <w:szCs w:val="32"/>
        </w:rPr>
        <w:t>，</w:t>
      </w:r>
      <w:bookmarkStart w:id="0" w:name="_GoBack"/>
      <w:r w:rsidR="00834C2F" w:rsidRPr="00F87595">
        <w:rPr>
          <w:rFonts w:ascii="Times New Roman" w:eastAsia="方正仿宋_GBK" w:hAnsi="Times New Roman" w:cs="Times New Roman" w:hint="eastAsia"/>
          <w:sz w:val="32"/>
          <w:szCs w:val="32"/>
        </w:rPr>
        <w:t>重庆市公共资源交易中心</w:t>
      </w:r>
      <w:r w:rsidRPr="00F87595">
        <w:rPr>
          <w:rFonts w:ascii="Times New Roman" w:eastAsia="方正仿宋_GBK" w:hAnsi="Times New Roman" w:cs="Times New Roman" w:hint="eastAsia"/>
          <w:sz w:val="32"/>
          <w:szCs w:val="32"/>
        </w:rPr>
        <w:t>在</w:t>
      </w:r>
      <w:r w:rsidR="00834C2F" w:rsidRPr="00F87595">
        <w:rPr>
          <w:rFonts w:ascii="Times New Roman" w:eastAsia="方正仿宋_GBK" w:hAnsi="Times New Roman" w:cs="Times New Roman" w:hint="eastAsia"/>
          <w:sz w:val="32"/>
          <w:szCs w:val="32"/>
        </w:rPr>
        <w:t>重庆市国有建设用地使用权和矿业权交易系统</w:t>
      </w:r>
      <w:r w:rsidRPr="00F87595">
        <w:rPr>
          <w:rFonts w:ascii="Times New Roman" w:eastAsia="方正仿宋_GBK" w:hAnsi="Times New Roman" w:cs="Times New Roman" w:hint="eastAsia"/>
          <w:sz w:val="32"/>
          <w:szCs w:val="32"/>
        </w:rPr>
        <w:t>举办的探矿权</w:t>
      </w:r>
      <w:r w:rsidRPr="00F87595">
        <w:rPr>
          <w:rFonts w:ascii="Times New Roman" w:eastAsia="方正仿宋_GBK" w:hAnsi="Times New Roman" w:cs="Times New Roman" w:hint="eastAsia"/>
          <w:sz w:val="32"/>
          <w:szCs w:val="32"/>
        </w:rPr>
        <w:t>拍卖</w:t>
      </w:r>
      <w:r w:rsidRPr="00F87595">
        <w:rPr>
          <w:rFonts w:ascii="Times New Roman" w:eastAsia="方正仿宋_GBK" w:hAnsi="Times New Roman" w:cs="Times New Roman" w:hint="eastAsia"/>
          <w:sz w:val="32"/>
          <w:szCs w:val="32"/>
        </w:rPr>
        <w:t>出让</w:t>
      </w:r>
      <w:bookmarkEnd w:id="0"/>
      <w:r>
        <w:rPr>
          <w:rFonts w:ascii="Times New Roman" w:eastAsia="方正仿宋_GBK" w:hAnsi="Times New Roman" w:cs="Times New Roman" w:hint="eastAsia"/>
          <w:sz w:val="32"/>
          <w:szCs w:val="32"/>
        </w:rPr>
        <w:t>活动中，由</w:t>
      </w:r>
      <w:r>
        <w:rPr>
          <w:rFonts w:ascii="Times New Roman" w:eastAsia="方正仿宋_GBK" w:hAnsi="Times New Roman" w:cs="Times New Roman" w:hint="eastAsia"/>
          <w:i/>
          <w:sz w:val="32"/>
          <w:szCs w:val="32"/>
          <w:u w:val="single"/>
        </w:rPr>
        <w:t>（竞得人名称）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获得</w:t>
      </w:r>
      <w:r w:rsidR="00240DDF" w:rsidRPr="00240DDF">
        <w:rPr>
          <w:rFonts w:ascii="Times New Roman" w:eastAsia="方正仿宋_GBK" w:hAnsi="Times New Roman" w:cs="Times New Roman" w:hint="eastAsia"/>
          <w:sz w:val="32"/>
          <w:szCs w:val="32"/>
        </w:rPr>
        <w:t>黔江</w:t>
      </w:r>
      <w:proofErr w:type="gramStart"/>
      <w:r w:rsidR="00240DDF" w:rsidRPr="00240DDF">
        <w:rPr>
          <w:rFonts w:ascii="Times New Roman" w:eastAsia="方正仿宋_GBK" w:hAnsi="Times New Roman" w:cs="Times New Roman" w:hint="eastAsia"/>
          <w:sz w:val="32"/>
          <w:szCs w:val="32"/>
        </w:rPr>
        <w:t>区舟白</w:t>
      </w:r>
      <w:proofErr w:type="gramEnd"/>
      <w:r w:rsidR="00240DDF" w:rsidRPr="00240DDF">
        <w:rPr>
          <w:rFonts w:ascii="Times New Roman" w:eastAsia="方正仿宋_GBK" w:hAnsi="Times New Roman" w:cs="Times New Roman" w:hint="eastAsia"/>
          <w:sz w:val="32"/>
          <w:szCs w:val="32"/>
        </w:rPr>
        <w:t>街道丛山饰面用灰岩详查探矿权</w:t>
      </w:r>
      <w:r>
        <w:rPr>
          <w:rFonts w:ascii="Times New Roman" w:eastAsia="方正仿宋_GBK" w:hAnsi="Times New Roman" w:cs="Times New Roman" w:hint="eastAsia"/>
          <w:w w:val="99"/>
          <w:sz w:val="32"/>
          <w:szCs w:val="32"/>
        </w:rPr>
        <w:t>（公告序号：</w:t>
      </w:r>
      <w:r w:rsidR="00240DDF" w:rsidRPr="00240DDF">
        <w:rPr>
          <w:rFonts w:ascii="Times New Roman" w:eastAsia="方正仿宋_GBK" w:hAnsi="Times New Roman" w:cs="Times New Roman"/>
          <w:w w:val="99"/>
          <w:sz w:val="32"/>
          <w:szCs w:val="32"/>
        </w:rPr>
        <w:t>QJGT202502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）。现将相关事项确认如下：</w:t>
      </w:r>
    </w:p>
    <w:p w14:paraId="20A22043" w14:textId="77777777" w:rsidR="00C779D5" w:rsidRDefault="00F87595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一、出让探矿权基本情况：</w:t>
      </w:r>
    </w:p>
    <w:p w14:paraId="345AF8A1" w14:textId="77777777" w:rsidR="00C779D5" w:rsidRDefault="00F87595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（一）探矿权名称（暂定名）：</w:t>
      </w:r>
      <w:r>
        <w:rPr>
          <w:rFonts w:ascii="Times New Roman" w:eastAsia="方正仿宋_GBK" w:hAnsi="Times New Roman" w:cs="Times New Roman"/>
          <w:sz w:val="32"/>
          <w:szCs w:val="32"/>
        </w:rPr>
        <w:t>黔江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区舟白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街道丛山饰面用灰岩详查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；</w:t>
      </w:r>
    </w:p>
    <w:p w14:paraId="0F1E9FCC" w14:textId="77777777" w:rsidR="00C779D5" w:rsidRDefault="00F87595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（二）地理位置：</w:t>
      </w:r>
      <w:r>
        <w:rPr>
          <w:rFonts w:ascii="Times New Roman" w:eastAsia="方正仿宋_GBK" w:hAnsi="Times New Roman" w:cs="Times New Roman"/>
          <w:sz w:val="32"/>
          <w:szCs w:val="32"/>
        </w:rPr>
        <w:t>重庆市黔江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区舟白街道丛山村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一组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；</w:t>
      </w:r>
    </w:p>
    <w:p w14:paraId="5193680B" w14:textId="77777777" w:rsidR="00C779D5" w:rsidRDefault="00F87595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（三）勘查面积：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0.1134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平方公里；</w:t>
      </w:r>
    </w:p>
    <w:p w14:paraId="1756FF61" w14:textId="77777777" w:rsidR="00C779D5" w:rsidRDefault="00F87595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（四）地质工作程度：</w:t>
      </w:r>
      <w:r>
        <w:rPr>
          <w:rFonts w:ascii="Times New Roman" w:eastAsia="方正仿宋_GBK" w:hAnsi="Times New Roman" w:cs="Times New Roman"/>
          <w:sz w:val="32"/>
          <w:szCs w:val="32"/>
        </w:rPr>
        <w:t>草根阶段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；</w:t>
      </w:r>
    </w:p>
    <w:p w14:paraId="3060ECCF" w14:textId="77777777" w:rsidR="00C779D5" w:rsidRDefault="00F87595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（五）勘查矿种：</w:t>
      </w:r>
      <w:r>
        <w:rPr>
          <w:rFonts w:ascii="Times New Roman" w:eastAsia="方正仿宋_GBK" w:hAnsi="Times New Roman" w:cs="Times New Roman"/>
          <w:sz w:val="32"/>
          <w:szCs w:val="32"/>
        </w:rPr>
        <w:t>饰面用灰岩、建筑石料用灰岩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；</w:t>
      </w:r>
    </w:p>
    <w:p w14:paraId="1F79AF7B" w14:textId="77777777" w:rsidR="00C779D5" w:rsidRDefault="00F87595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（六）出让年限：</w:t>
      </w:r>
      <w:r>
        <w:rPr>
          <w:rFonts w:ascii="Times New Roman" w:eastAsia="方正仿宋_GBK" w:hAnsi="Times New Roman" w:cs="Times New Roman"/>
          <w:sz w:val="32"/>
          <w:szCs w:val="32"/>
        </w:rPr>
        <w:t>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年；</w:t>
      </w:r>
    </w:p>
    <w:p w14:paraId="03644662" w14:textId="77777777" w:rsidR="00C779D5" w:rsidRDefault="00F87595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（七）勘查范围坐标（</w:t>
      </w:r>
      <w:r>
        <w:rPr>
          <w:rFonts w:ascii="Times New Roman" w:eastAsia="方正仿宋_GBK" w:hAnsi="Times New Roman" w:cs="Times New Roman"/>
          <w:sz w:val="32"/>
          <w:szCs w:val="32"/>
        </w:rPr>
        <w:t>2000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坐标系）：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6"/>
        <w:gridCol w:w="2796"/>
        <w:gridCol w:w="2796"/>
      </w:tblGrid>
      <w:tr w:rsidR="00C779D5" w14:paraId="1DD48DB4" w14:textId="77777777">
        <w:trPr>
          <w:cantSplit/>
          <w:trHeight w:hRule="exact" w:val="482"/>
          <w:jc w:val="center"/>
        </w:trPr>
        <w:tc>
          <w:tcPr>
            <w:tcW w:w="1596" w:type="dxa"/>
            <w:vAlign w:val="center"/>
          </w:tcPr>
          <w:p w14:paraId="47B3A6DD" w14:textId="77777777" w:rsidR="00C779D5" w:rsidRDefault="00F8759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序号</w:t>
            </w:r>
          </w:p>
        </w:tc>
        <w:tc>
          <w:tcPr>
            <w:tcW w:w="2796" w:type="dxa"/>
            <w:vAlign w:val="center"/>
          </w:tcPr>
          <w:p w14:paraId="52874DA5" w14:textId="77777777" w:rsidR="00C779D5" w:rsidRDefault="00F8759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经度</w:t>
            </w:r>
          </w:p>
        </w:tc>
        <w:tc>
          <w:tcPr>
            <w:tcW w:w="2796" w:type="dxa"/>
            <w:vAlign w:val="center"/>
          </w:tcPr>
          <w:p w14:paraId="3CA3CF1A" w14:textId="77777777" w:rsidR="00C779D5" w:rsidRDefault="00F8759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纬度</w:t>
            </w:r>
          </w:p>
        </w:tc>
      </w:tr>
      <w:tr w:rsidR="00C779D5" w14:paraId="0A56BFDA" w14:textId="77777777">
        <w:trPr>
          <w:trHeight w:hRule="exact" w:val="482"/>
          <w:jc w:val="center"/>
        </w:trPr>
        <w:tc>
          <w:tcPr>
            <w:tcW w:w="1596" w:type="dxa"/>
            <w:vAlign w:val="center"/>
          </w:tcPr>
          <w:p w14:paraId="291A41E9" w14:textId="77777777" w:rsidR="00C779D5" w:rsidRDefault="00F8759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262626" w:themeColor="text1" w:themeTint="D9"/>
                <w:kern w:val="0"/>
                <w:szCs w:val="21"/>
              </w:rPr>
              <w:t>1</w:t>
            </w:r>
          </w:p>
        </w:tc>
        <w:tc>
          <w:tcPr>
            <w:tcW w:w="2796" w:type="dxa"/>
            <w:vAlign w:val="center"/>
          </w:tcPr>
          <w:p w14:paraId="0BD83008" w14:textId="77777777" w:rsidR="00C779D5" w:rsidRDefault="00F8759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108°52′15.726″</w:t>
            </w:r>
          </w:p>
        </w:tc>
        <w:tc>
          <w:tcPr>
            <w:tcW w:w="2796" w:type="dxa"/>
            <w:vAlign w:val="center"/>
          </w:tcPr>
          <w:p w14:paraId="45CBC911" w14:textId="77777777" w:rsidR="00C779D5" w:rsidRDefault="00F8759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29°30′13.819″</w:t>
            </w:r>
          </w:p>
        </w:tc>
      </w:tr>
      <w:tr w:rsidR="00C779D5" w14:paraId="1A200817" w14:textId="77777777">
        <w:trPr>
          <w:trHeight w:hRule="exact" w:val="482"/>
          <w:jc w:val="center"/>
        </w:trPr>
        <w:tc>
          <w:tcPr>
            <w:tcW w:w="1596" w:type="dxa"/>
            <w:vAlign w:val="center"/>
          </w:tcPr>
          <w:p w14:paraId="4AD68B85" w14:textId="77777777" w:rsidR="00C779D5" w:rsidRDefault="00F8759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262626" w:themeColor="text1" w:themeTint="D9"/>
                <w:kern w:val="0"/>
                <w:szCs w:val="21"/>
              </w:rPr>
              <w:t>2</w:t>
            </w:r>
          </w:p>
        </w:tc>
        <w:tc>
          <w:tcPr>
            <w:tcW w:w="2796" w:type="dxa"/>
            <w:vAlign w:val="center"/>
          </w:tcPr>
          <w:p w14:paraId="696EC71F" w14:textId="77777777" w:rsidR="00C779D5" w:rsidRDefault="00F8759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108°52′18.141″</w:t>
            </w:r>
          </w:p>
        </w:tc>
        <w:tc>
          <w:tcPr>
            <w:tcW w:w="2796" w:type="dxa"/>
            <w:vAlign w:val="center"/>
          </w:tcPr>
          <w:p w14:paraId="0F65C2C0" w14:textId="77777777" w:rsidR="00C779D5" w:rsidRDefault="00F8759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29°30′09.193″</w:t>
            </w:r>
          </w:p>
        </w:tc>
      </w:tr>
      <w:tr w:rsidR="00C779D5" w14:paraId="6606E067" w14:textId="77777777">
        <w:trPr>
          <w:trHeight w:hRule="exact" w:val="482"/>
          <w:jc w:val="center"/>
        </w:trPr>
        <w:tc>
          <w:tcPr>
            <w:tcW w:w="1596" w:type="dxa"/>
            <w:vAlign w:val="center"/>
          </w:tcPr>
          <w:p w14:paraId="23D018DA" w14:textId="77777777" w:rsidR="00C779D5" w:rsidRDefault="00F8759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262626" w:themeColor="text1" w:themeTint="D9"/>
                <w:kern w:val="0"/>
                <w:szCs w:val="21"/>
              </w:rPr>
              <w:t>3</w:t>
            </w:r>
          </w:p>
        </w:tc>
        <w:tc>
          <w:tcPr>
            <w:tcW w:w="2796" w:type="dxa"/>
            <w:vAlign w:val="center"/>
          </w:tcPr>
          <w:p w14:paraId="3C99C5CD" w14:textId="77777777" w:rsidR="00C779D5" w:rsidRDefault="00F8759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108°52′22.830″</w:t>
            </w:r>
          </w:p>
        </w:tc>
        <w:tc>
          <w:tcPr>
            <w:tcW w:w="2796" w:type="dxa"/>
            <w:vAlign w:val="center"/>
          </w:tcPr>
          <w:p w14:paraId="5E0B0551" w14:textId="77777777" w:rsidR="00C779D5" w:rsidRDefault="00F8759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29°30′08.007″</w:t>
            </w:r>
          </w:p>
        </w:tc>
      </w:tr>
      <w:tr w:rsidR="00C779D5" w14:paraId="4D07D0C2" w14:textId="77777777">
        <w:trPr>
          <w:trHeight w:hRule="exact" w:val="482"/>
          <w:jc w:val="center"/>
        </w:trPr>
        <w:tc>
          <w:tcPr>
            <w:tcW w:w="1596" w:type="dxa"/>
            <w:vAlign w:val="center"/>
          </w:tcPr>
          <w:p w14:paraId="58DB187C" w14:textId="77777777" w:rsidR="00C779D5" w:rsidRDefault="00F8759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262626" w:themeColor="text1" w:themeTint="D9"/>
                <w:kern w:val="0"/>
                <w:szCs w:val="21"/>
              </w:rPr>
              <w:t>4</w:t>
            </w:r>
          </w:p>
        </w:tc>
        <w:tc>
          <w:tcPr>
            <w:tcW w:w="2796" w:type="dxa"/>
            <w:vAlign w:val="center"/>
          </w:tcPr>
          <w:p w14:paraId="778EB2E9" w14:textId="77777777" w:rsidR="00C779D5" w:rsidRDefault="00F8759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108°52′29.685″</w:t>
            </w:r>
          </w:p>
        </w:tc>
        <w:tc>
          <w:tcPr>
            <w:tcW w:w="2796" w:type="dxa"/>
            <w:vAlign w:val="center"/>
          </w:tcPr>
          <w:p w14:paraId="1CDFC2F0" w14:textId="77777777" w:rsidR="00C779D5" w:rsidRDefault="00F8759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29°30′07.819″</w:t>
            </w:r>
          </w:p>
        </w:tc>
      </w:tr>
      <w:tr w:rsidR="00C779D5" w14:paraId="02786B0D" w14:textId="77777777">
        <w:trPr>
          <w:trHeight w:hRule="exact" w:val="482"/>
          <w:jc w:val="center"/>
        </w:trPr>
        <w:tc>
          <w:tcPr>
            <w:tcW w:w="1596" w:type="dxa"/>
            <w:vAlign w:val="center"/>
          </w:tcPr>
          <w:p w14:paraId="584D31D4" w14:textId="77777777" w:rsidR="00C779D5" w:rsidRDefault="00F8759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262626" w:themeColor="text1" w:themeTint="D9"/>
                <w:kern w:val="0"/>
                <w:szCs w:val="21"/>
              </w:rPr>
              <w:t>5</w:t>
            </w:r>
          </w:p>
        </w:tc>
        <w:tc>
          <w:tcPr>
            <w:tcW w:w="2796" w:type="dxa"/>
            <w:vAlign w:val="center"/>
          </w:tcPr>
          <w:p w14:paraId="633EFBAD" w14:textId="77777777" w:rsidR="00C779D5" w:rsidRDefault="00F8759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108°52′31.587″</w:t>
            </w:r>
          </w:p>
        </w:tc>
        <w:tc>
          <w:tcPr>
            <w:tcW w:w="2796" w:type="dxa"/>
            <w:vAlign w:val="center"/>
          </w:tcPr>
          <w:p w14:paraId="23B83019" w14:textId="77777777" w:rsidR="00C779D5" w:rsidRDefault="00F8759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29°30′09.985″</w:t>
            </w:r>
          </w:p>
        </w:tc>
      </w:tr>
      <w:tr w:rsidR="00C779D5" w14:paraId="29AE6659" w14:textId="77777777">
        <w:trPr>
          <w:trHeight w:hRule="exact" w:val="482"/>
          <w:jc w:val="center"/>
        </w:trPr>
        <w:tc>
          <w:tcPr>
            <w:tcW w:w="1596" w:type="dxa"/>
            <w:vAlign w:val="center"/>
          </w:tcPr>
          <w:p w14:paraId="50A3674D" w14:textId="77777777" w:rsidR="00C779D5" w:rsidRDefault="00F8759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262626" w:themeColor="text1" w:themeTint="D9"/>
                <w:kern w:val="0"/>
                <w:szCs w:val="21"/>
              </w:rPr>
              <w:t>6</w:t>
            </w:r>
          </w:p>
        </w:tc>
        <w:tc>
          <w:tcPr>
            <w:tcW w:w="2796" w:type="dxa"/>
            <w:vAlign w:val="center"/>
          </w:tcPr>
          <w:p w14:paraId="15EE890C" w14:textId="77777777" w:rsidR="00C779D5" w:rsidRDefault="00F8759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108°52′25.935″</w:t>
            </w:r>
          </w:p>
        </w:tc>
        <w:tc>
          <w:tcPr>
            <w:tcW w:w="2796" w:type="dxa"/>
            <w:vAlign w:val="center"/>
          </w:tcPr>
          <w:p w14:paraId="6ECA73F2" w14:textId="77777777" w:rsidR="00C779D5" w:rsidRDefault="00F8759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29°30′18.991″</w:t>
            </w:r>
          </w:p>
        </w:tc>
      </w:tr>
      <w:tr w:rsidR="00C779D5" w14:paraId="2F24E157" w14:textId="77777777">
        <w:trPr>
          <w:trHeight w:hRule="exact" w:val="482"/>
          <w:jc w:val="center"/>
        </w:trPr>
        <w:tc>
          <w:tcPr>
            <w:tcW w:w="1596" w:type="dxa"/>
            <w:vAlign w:val="center"/>
          </w:tcPr>
          <w:p w14:paraId="1AD3FBBF" w14:textId="77777777" w:rsidR="00C779D5" w:rsidRDefault="00F8759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262626" w:themeColor="text1" w:themeTint="D9"/>
                <w:kern w:val="0"/>
                <w:szCs w:val="21"/>
              </w:rPr>
              <w:lastRenderedPageBreak/>
              <w:t>7</w:t>
            </w:r>
          </w:p>
        </w:tc>
        <w:tc>
          <w:tcPr>
            <w:tcW w:w="2796" w:type="dxa"/>
            <w:vAlign w:val="center"/>
          </w:tcPr>
          <w:p w14:paraId="625C0BA1" w14:textId="77777777" w:rsidR="00C779D5" w:rsidRDefault="00F8759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108°52′16.315″</w:t>
            </w:r>
          </w:p>
        </w:tc>
        <w:tc>
          <w:tcPr>
            <w:tcW w:w="2796" w:type="dxa"/>
            <w:vAlign w:val="center"/>
          </w:tcPr>
          <w:p w14:paraId="7AD63361" w14:textId="77777777" w:rsidR="00C779D5" w:rsidRDefault="00F8759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29°30′19.334″</w:t>
            </w:r>
          </w:p>
        </w:tc>
      </w:tr>
    </w:tbl>
    <w:p w14:paraId="2C1E44E5" w14:textId="77777777" w:rsidR="00C779D5" w:rsidRDefault="00F87595" w:rsidP="00834C2F">
      <w:pPr>
        <w:spacing w:beforeLines="50" w:before="156" w:line="600" w:lineRule="exact"/>
        <w:ind w:firstLineChars="220" w:firstLine="707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/>
          <w:bCs/>
          <w:sz w:val="32"/>
          <w:szCs w:val="32"/>
        </w:rPr>
        <w:t>二、交易双方基本情况</w:t>
      </w:r>
    </w:p>
    <w:p w14:paraId="28E2CA4E" w14:textId="77777777" w:rsidR="00C779D5" w:rsidRDefault="00F87595">
      <w:pPr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（一）出让人：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重庆市黔江区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规划和自然资源局，</w:t>
      </w:r>
    </w:p>
    <w:p w14:paraId="22D8B1CE" w14:textId="77777777" w:rsidR="00C779D5" w:rsidRDefault="00F87595">
      <w:pPr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住所：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重庆市黔江区城西街道文体路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9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号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14:paraId="0CFA70C6" w14:textId="77777777" w:rsidR="00C779D5" w:rsidRDefault="00F87595">
      <w:pPr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（二）竞得人：</w:t>
      </w:r>
      <w:r>
        <w:rPr>
          <w:rFonts w:ascii="Times New Roman" w:hAnsi="Times New Roman" w:cs="Times New Roman"/>
          <w:color w:val="262626" w:themeColor="text1" w:themeTint="D9"/>
          <w:sz w:val="22"/>
          <w:u w:val="single"/>
        </w:rPr>
        <w:t xml:space="preserve">    </w:t>
      </w:r>
      <w:r>
        <w:rPr>
          <w:rFonts w:ascii="宋体" w:eastAsia="宋体" w:hAnsi="宋体" w:cs="宋体" w:hint="eastAsia"/>
          <w:sz w:val="32"/>
        </w:rPr>
        <w:t>；</w:t>
      </w:r>
    </w:p>
    <w:p w14:paraId="38ACCA5C" w14:textId="77777777" w:rsidR="00C779D5" w:rsidRDefault="00F87595">
      <w:pPr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住所：</w:t>
      </w:r>
      <w:r>
        <w:rPr>
          <w:rFonts w:ascii="Times New Roman" w:hAnsi="Times New Roman" w:cs="Times New Roman"/>
          <w:color w:val="262626" w:themeColor="text1" w:themeTint="D9"/>
          <w:sz w:val="22"/>
          <w:u w:val="single"/>
        </w:rPr>
        <w:t xml:space="preserve">    </w:t>
      </w:r>
      <w:r>
        <w:rPr>
          <w:rFonts w:ascii="Times New Roman" w:hAnsi="Times New Roman" w:cs="Times New Roman" w:hint="eastAsia"/>
          <w:color w:val="262626" w:themeColor="text1" w:themeTint="D9"/>
          <w:sz w:val="22"/>
          <w:u w:val="single"/>
        </w:rPr>
        <w:t xml:space="preserve">      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14:paraId="690FD1EE" w14:textId="77777777" w:rsidR="00C779D5" w:rsidRDefault="00F87595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三、该宗探矿权出让收益成交价为人民币小写（大写：）；</w:t>
      </w:r>
      <w:r>
        <w:rPr>
          <w:rFonts w:ascii="Times New Roman" w:eastAsia="方正仿宋_GBK" w:hAnsi="Times New Roman" w:cs="Times New Roman" w:hint="eastAsia"/>
          <w:i/>
          <w:iCs/>
          <w:sz w:val="32"/>
          <w:szCs w:val="32"/>
        </w:rPr>
        <w:t>出让收益率（仅用于出让收益率征收的矿种）。</w:t>
      </w:r>
    </w:p>
    <w:p w14:paraId="5F475C5B" w14:textId="77777777" w:rsidR="00C779D5" w:rsidRDefault="00F87595">
      <w:pPr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  <w:u w:val="single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四、</w:t>
      </w:r>
      <w:r>
        <w:rPr>
          <w:rFonts w:ascii="Times New Roman" w:eastAsia="方正仿宋_GBK" w:hAnsi="Times New Roman" w:cs="Times New Roman" w:hint="eastAsia"/>
          <w:sz w:val="32"/>
          <w:szCs w:val="32"/>
          <w:u w:val="single"/>
        </w:rPr>
        <w:t>竞得人应在取得成交确认书后的</w:t>
      </w:r>
      <w:r>
        <w:rPr>
          <w:rFonts w:ascii="Times New Roman" w:eastAsia="方正仿宋_GBK" w:hAnsi="Times New Roman" w:cs="Times New Roman"/>
          <w:sz w:val="32"/>
          <w:szCs w:val="32"/>
          <w:u w:val="single"/>
        </w:rPr>
        <w:t>15</w:t>
      </w:r>
      <w:r>
        <w:rPr>
          <w:rFonts w:ascii="Times New Roman" w:eastAsia="方正仿宋_GBK" w:hAnsi="Times New Roman" w:cs="Times New Roman" w:hint="eastAsia"/>
          <w:sz w:val="32"/>
          <w:szCs w:val="32"/>
          <w:u w:val="single"/>
        </w:rPr>
        <w:t>个工作日内，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  <w:u w:val="single"/>
        </w:rPr>
        <w:t>持成交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  <w:u w:val="single"/>
        </w:rPr>
        <w:t>确认书、合同签订申请书及其他相关资料向出让人申请签订《重庆市探矿权出让合同》。成交结果公示期满无异议的，竞得人应于年月日前（取得成交确认书后的</w:t>
      </w:r>
      <w:r>
        <w:rPr>
          <w:rFonts w:ascii="Times New Roman" w:eastAsia="方正仿宋_GBK" w:hAnsi="Times New Roman" w:cs="Times New Roman"/>
          <w:sz w:val="32"/>
          <w:szCs w:val="32"/>
          <w:u w:val="single"/>
        </w:rPr>
        <w:t>30</w:t>
      </w:r>
      <w:r>
        <w:rPr>
          <w:rFonts w:ascii="Times New Roman" w:eastAsia="方正仿宋_GBK" w:hAnsi="Times New Roman" w:cs="Times New Roman" w:hint="eastAsia"/>
          <w:sz w:val="32"/>
          <w:szCs w:val="32"/>
          <w:u w:val="single"/>
        </w:rPr>
        <w:t>个工作日内）与出让人完成合同签订。若逾期未申请或拒不完成合同签订的，则视为竞得人自动放弃竞得资格，出让人不予退还竞买保证金并有权另行出让该宗探矿权。</w:t>
      </w:r>
    </w:p>
    <w:p w14:paraId="3E8E258A" w14:textId="77777777" w:rsidR="00C779D5" w:rsidRDefault="00F87595">
      <w:pPr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五、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本成交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确认书一式四份，双方各持两份，签字盖章后生效。</w:t>
      </w:r>
    </w:p>
    <w:p w14:paraId="04982302" w14:textId="77777777" w:rsidR="00C779D5" w:rsidRDefault="00C779D5">
      <w:pPr>
        <w:snapToGrid w:val="0"/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04795EB3" w14:textId="77777777" w:rsidR="00C779D5" w:rsidRDefault="00F87595">
      <w:pPr>
        <w:snapToGrid w:val="0"/>
        <w:spacing w:line="6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交易平台：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竞得人：</w:t>
      </w:r>
    </w:p>
    <w:p w14:paraId="098D4068" w14:textId="77777777" w:rsidR="00C779D5" w:rsidRDefault="00C779D5" w:rsidP="00834C2F">
      <w:pPr>
        <w:snapToGrid w:val="0"/>
        <w:spacing w:line="600" w:lineRule="exact"/>
        <w:ind w:firstLineChars="499" w:firstLine="1597"/>
        <w:rPr>
          <w:rFonts w:ascii="Times New Roman" w:eastAsia="仿宋_GB2312" w:hAnsi="Times New Roman" w:cs="Times New Roman"/>
          <w:sz w:val="32"/>
          <w:szCs w:val="32"/>
        </w:rPr>
      </w:pPr>
    </w:p>
    <w:p w14:paraId="23423074" w14:textId="77777777" w:rsidR="00C779D5" w:rsidRDefault="00F87595" w:rsidP="00834C2F">
      <w:pPr>
        <w:snapToGrid w:val="0"/>
        <w:spacing w:line="600" w:lineRule="exact"/>
        <w:ind w:firstLineChars="499" w:firstLine="1597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法定代表人（受托人）：</w:t>
      </w:r>
    </w:p>
    <w:p w14:paraId="1E2A2A0C" w14:textId="77777777" w:rsidR="00C779D5" w:rsidRDefault="00C779D5" w:rsidP="00834C2F">
      <w:pPr>
        <w:snapToGrid w:val="0"/>
        <w:spacing w:line="600" w:lineRule="exact"/>
        <w:ind w:firstLineChars="499" w:firstLine="1597"/>
        <w:rPr>
          <w:rFonts w:ascii="Times New Roman" w:eastAsia="仿宋_GB2312" w:hAnsi="Times New Roman" w:cs="Times New Roman"/>
          <w:sz w:val="32"/>
          <w:szCs w:val="32"/>
        </w:rPr>
      </w:pPr>
    </w:p>
    <w:p w14:paraId="6799EFEC" w14:textId="77777777" w:rsidR="00C779D5" w:rsidRDefault="00F87595">
      <w:pPr>
        <w:spacing w:line="600" w:lineRule="exact"/>
        <w:ind w:rightChars="600" w:right="1260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p w14:paraId="6E232C92" w14:textId="77777777" w:rsidR="00C779D5" w:rsidRDefault="00C779D5"/>
    <w:sectPr w:rsidR="00C779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NzVkNTQ2ZDBmNDgzNmVlYTU5MDkxZmUwYjcyYTIifQ=="/>
  </w:docVars>
  <w:rsids>
    <w:rsidRoot w:val="005842F2"/>
    <w:rsid w:val="00006332"/>
    <w:rsid w:val="00012632"/>
    <w:rsid w:val="00017831"/>
    <w:rsid w:val="0002355A"/>
    <w:rsid w:val="00027C83"/>
    <w:rsid w:val="000A4734"/>
    <w:rsid w:val="000D5692"/>
    <w:rsid w:val="000E0B84"/>
    <w:rsid w:val="000E2120"/>
    <w:rsid w:val="000E4B06"/>
    <w:rsid w:val="000F7E83"/>
    <w:rsid w:val="00120D76"/>
    <w:rsid w:val="0013278C"/>
    <w:rsid w:val="001577C2"/>
    <w:rsid w:val="0016311A"/>
    <w:rsid w:val="001C594B"/>
    <w:rsid w:val="001C760F"/>
    <w:rsid w:val="001F0D4A"/>
    <w:rsid w:val="00226CD3"/>
    <w:rsid w:val="00240DDF"/>
    <w:rsid w:val="002772D8"/>
    <w:rsid w:val="00284DBE"/>
    <w:rsid w:val="00292FEB"/>
    <w:rsid w:val="002959C8"/>
    <w:rsid w:val="002A6DC1"/>
    <w:rsid w:val="002B50CE"/>
    <w:rsid w:val="002C2699"/>
    <w:rsid w:val="002C59CD"/>
    <w:rsid w:val="0030584E"/>
    <w:rsid w:val="00316A30"/>
    <w:rsid w:val="003958CB"/>
    <w:rsid w:val="003B5834"/>
    <w:rsid w:val="003E1992"/>
    <w:rsid w:val="00422465"/>
    <w:rsid w:val="00427D8E"/>
    <w:rsid w:val="00481D66"/>
    <w:rsid w:val="00491E7C"/>
    <w:rsid w:val="00493D47"/>
    <w:rsid w:val="004B020E"/>
    <w:rsid w:val="004B698A"/>
    <w:rsid w:val="004C4D2D"/>
    <w:rsid w:val="004E704E"/>
    <w:rsid w:val="005842F2"/>
    <w:rsid w:val="005C193E"/>
    <w:rsid w:val="005D684A"/>
    <w:rsid w:val="00630EE8"/>
    <w:rsid w:val="0065780D"/>
    <w:rsid w:val="00657CC8"/>
    <w:rsid w:val="006B71BC"/>
    <w:rsid w:val="006C1C31"/>
    <w:rsid w:val="006F3D99"/>
    <w:rsid w:val="00726AA9"/>
    <w:rsid w:val="0078698B"/>
    <w:rsid w:val="007935A0"/>
    <w:rsid w:val="008107BF"/>
    <w:rsid w:val="00817740"/>
    <w:rsid w:val="00834C2F"/>
    <w:rsid w:val="008621F6"/>
    <w:rsid w:val="00880D83"/>
    <w:rsid w:val="00884413"/>
    <w:rsid w:val="00896F51"/>
    <w:rsid w:val="008A2FD2"/>
    <w:rsid w:val="008C3AAC"/>
    <w:rsid w:val="008E06A6"/>
    <w:rsid w:val="009071FE"/>
    <w:rsid w:val="0091367E"/>
    <w:rsid w:val="00937C0D"/>
    <w:rsid w:val="009416BF"/>
    <w:rsid w:val="00956C22"/>
    <w:rsid w:val="0095740F"/>
    <w:rsid w:val="009658B9"/>
    <w:rsid w:val="00996647"/>
    <w:rsid w:val="009B6741"/>
    <w:rsid w:val="009D5DFD"/>
    <w:rsid w:val="00A37E50"/>
    <w:rsid w:val="00A770A2"/>
    <w:rsid w:val="00AD2881"/>
    <w:rsid w:val="00AE1059"/>
    <w:rsid w:val="00B24518"/>
    <w:rsid w:val="00B877DE"/>
    <w:rsid w:val="00B94A7F"/>
    <w:rsid w:val="00BB45B6"/>
    <w:rsid w:val="00BC76FA"/>
    <w:rsid w:val="00BD423A"/>
    <w:rsid w:val="00BF2C86"/>
    <w:rsid w:val="00BF6B1B"/>
    <w:rsid w:val="00C35549"/>
    <w:rsid w:val="00C47789"/>
    <w:rsid w:val="00C609C9"/>
    <w:rsid w:val="00C779D5"/>
    <w:rsid w:val="00C9012A"/>
    <w:rsid w:val="00D35E7D"/>
    <w:rsid w:val="00D84B57"/>
    <w:rsid w:val="00D95C33"/>
    <w:rsid w:val="00DF1445"/>
    <w:rsid w:val="00E01B9C"/>
    <w:rsid w:val="00E0410C"/>
    <w:rsid w:val="00E04EA3"/>
    <w:rsid w:val="00E74CB9"/>
    <w:rsid w:val="00E85B8A"/>
    <w:rsid w:val="00EF1A4C"/>
    <w:rsid w:val="00F021A4"/>
    <w:rsid w:val="00F0464E"/>
    <w:rsid w:val="00F21D1F"/>
    <w:rsid w:val="00F615DA"/>
    <w:rsid w:val="00F64D29"/>
    <w:rsid w:val="00F73007"/>
    <w:rsid w:val="00F87595"/>
    <w:rsid w:val="00F94D9F"/>
    <w:rsid w:val="00FB1CFB"/>
    <w:rsid w:val="0D7605AE"/>
    <w:rsid w:val="13453F01"/>
    <w:rsid w:val="29C66B72"/>
    <w:rsid w:val="2C203603"/>
    <w:rsid w:val="3705201C"/>
    <w:rsid w:val="3C831719"/>
    <w:rsid w:val="48B64B42"/>
    <w:rsid w:val="529C2490"/>
    <w:rsid w:val="733C4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142</Words>
  <Characters>811</Characters>
  <Application>Microsoft Office Word</Application>
  <DocSecurity>0</DocSecurity>
  <Lines>6</Lines>
  <Paragraphs>1</Paragraphs>
  <ScaleCrop>false</ScaleCrop>
  <Company>HP Inc.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国土资源</dc:creator>
  <cp:lastModifiedBy>hp</cp:lastModifiedBy>
  <cp:revision>94</cp:revision>
  <cp:lastPrinted>2025-08-28T08:13:00Z</cp:lastPrinted>
  <dcterms:created xsi:type="dcterms:W3CDTF">2023-02-15T02:11:00Z</dcterms:created>
  <dcterms:modified xsi:type="dcterms:W3CDTF">2025-08-28T08:13:00Z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4A9BBDF3572844C9A964FB66DDEBC6DB_13</vt:lpwstr>
  </property>
  <property fmtid="{D5CDD505-2E9C-101B-9397-08002B2CF9AE}" pid="4" name="KSOTemplateDocerSaveRecord">
    <vt:lpwstr>eyJoZGlkIjoiZWUzMmIxY2IyMzlhZTBjY2M2NjcwYzljNDRlMjExZDgiLCJ1c2VySWQiOiIxMzE2NDg1Njk0In0=</vt:lpwstr>
  </property>
</Properties>
</file>