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pPr>
        <w:spacing w:line="780" w:lineRule="exact"/>
        <w:jc w:val="center"/>
        <w:rPr>
          <w:rFonts w:ascii="方正小标宋_GBK" w:hAnsi="方正小标宋_GBK" w:eastAsia="方正小标宋_GBK" w:cs="方正小标宋_GBK"/>
          <w:sz w:val="52"/>
          <w:szCs w:val="52"/>
        </w:rPr>
      </w:pPr>
    </w:p>
    <w:p>
      <w:pPr>
        <w:spacing w:line="780" w:lineRule="exact"/>
        <w:jc w:val="center"/>
        <w:rPr>
          <w:rFonts w:ascii="方正小标宋_GBK" w:hAnsi="方正小标宋_GBK" w:eastAsia="方正小标宋_GBK" w:cs="方正小标宋_GBK"/>
          <w:sz w:val="52"/>
          <w:szCs w:val="52"/>
        </w:rPr>
      </w:pPr>
      <w:bookmarkStart w:id="0" w:name="_Toc8646"/>
      <w:r>
        <w:rPr>
          <w:rFonts w:hint="eastAsia" w:ascii="方正小标宋_GBK" w:hAnsi="方正小标宋_GBK" w:eastAsia="方正小标宋_GBK" w:cs="方正小标宋_GBK"/>
          <w:sz w:val="52"/>
          <w:szCs w:val="52"/>
        </w:rPr>
        <w:t>黔江区国土空间生态保护修复规划</w:t>
      </w:r>
      <w:bookmarkEnd w:id="0"/>
    </w:p>
    <w:p>
      <w:pPr>
        <w:spacing w:line="780" w:lineRule="exact"/>
        <w:jc w:val="center"/>
        <w:rPr>
          <w:rFonts w:ascii="方正小标宋_GBK" w:hAnsi="方正小标宋_GBK" w:eastAsia="方正小标宋_GBK" w:cs="方正小标宋_GBK"/>
          <w:sz w:val="52"/>
          <w:szCs w:val="52"/>
        </w:rPr>
      </w:pPr>
      <w:bookmarkStart w:id="1" w:name="_Toc1245"/>
      <w:r>
        <w:rPr>
          <w:rFonts w:hint="eastAsia" w:ascii="方正小标宋_GBK" w:hAnsi="方正小标宋_GBK" w:eastAsia="方正小标宋_GBK" w:cs="方正小标宋_GBK"/>
          <w:sz w:val="52"/>
          <w:szCs w:val="52"/>
        </w:rPr>
        <w:t>（2021-2035年）</w:t>
      </w:r>
      <w:bookmarkEnd w:id="1"/>
    </w:p>
    <w:p>
      <w:pPr>
        <w:spacing w:line="780" w:lineRule="exact"/>
        <w:jc w:val="center"/>
        <w:rPr>
          <w:rFonts w:ascii="方正小标宋_GBK" w:hAnsi="方正小标宋_GBK" w:eastAsia="方正小标宋_GBK" w:cs="方正小标宋_GBK"/>
          <w:sz w:val="52"/>
          <w:szCs w:val="52"/>
        </w:rPr>
      </w:pPr>
    </w:p>
    <w:p>
      <w:pPr>
        <w:spacing w:line="780" w:lineRule="exact"/>
        <w:jc w:val="center"/>
        <w:rPr>
          <w:rFonts w:ascii="方正小标宋_GBK" w:hAnsi="方正小标宋_GBK" w:eastAsia="方正小标宋_GBK" w:cs="方正小标宋_GBK"/>
          <w:sz w:val="52"/>
          <w:szCs w:val="52"/>
        </w:rPr>
      </w:pPr>
    </w:p>
    <w:p>
      <w:pPr>
        <w:spacing w:line="780" w:lineRule="exact"/>
        <w:jc w:val="center"/>
        <w:rPr>
          <w:rFonts w:ascii="方正小标宋_GBK" w:hAnsi="方正小标宋_GBK" w:eastAsia="方正小标宋_GBK" w:cs="方正小标宋_GBK"/>
          <w:sz w:val="52"/>
          <w:szCs w:val="52"/>
        </w:rPr>
      </w:pPr>
      <w:bookmarkStart w:id="311" w:name="_GoBack"/>
      <w:bookmarkEnd w:id="311"/>
    </w:p>
    <w:p>
      <w:pPr>
        <w:spacing w:line="780" w:lineRule="exact"/>
        <w:jc w:val="center"/>
        <w:rPr>
          <w:rFonts w:ascii="方正小标宋_GBK" w:hAnsi="方正小标宋_GBK" w:eastAsia="方正小标宋_GBK" w:cs="方正小标宋_GBK"/>
          <w:sz w:val="52"/>
          <w:szCs w:val="52"/>
        </w:rPr>
      </w:pPr>
    </w:p>
    <w:p>
      <w:pPr>
        <w:spacing w:line="780" w:lineRule="exact"/>
        <w:jc w:val="center"/>
        <w:rPr>
          <w:rFonts w:ascii="方正小标宋_GBK" w:hAnsi="方正小标宋_GBK" w:eastAsia="方正小标宋_GBK" w:cs="方正小标宋_GBK"/>
          <w:sz w:val="52"/>
          <w:szCs w:val="52"/>
        </w:rPr>
      </w:pPr>
    </w:p>
    <w:p>
      <w:pPr>
        <w:spacing w:line="780" w:lineRule="exact"/>
        <w:jc w:val="center"/>
        <w:rPr>
          <w:rFonts w:ascii="方正小标宋_GBK" w:hAnsi="方正小标宋_GBK" w:eastAsia="方正小标宋_GBK" w:cs="方正小标宋_GBK"/>
          <w:sz w:val="52"/>
          <w:szCs w:val="52"/>
        </w:rPr>
      </w:pPr>
    </w:p>
    <w:p>
      <w:pPr>
        <w:spacing w:line="780" w:lineRule="exact"/>
        <w:jc w:val="center"/>
        <w:rPr>
          <w:rFonts w:ascii="方正小标宋_GBK" w:hAnsi="方正小标宋_GBK" w:eastAsia="方正小标宋_GBK" w:cs="方正小标宋_GBK"/>
          <w:sz w:val="52"/>
          <w:szCs w:val="52"/>
        </w:rPr>
      </w:pPr>
    </w:p>
    <w:p>
      <w:pPr>
        <w:spacing w:line="780" w:lineRule="exact"/>
        <w:jc w:val="center"/>
        <w:rPr>
          <w:rFonts w:ascii="方正小标宋_GBK" w:hAnsi="方正小标宋_GBK" w:eastAsia="方正小标宋_GBK" w:cs="方正小标宋_GBK"/>
          <w:sz w:val="52"/>
          <w:szCs w:val="52"/>
        </w:rPr>
      </w:pPr>
    </w:p>
    <w:p>
      <w:pPr>
        <w:spacing w:line="780" w:lineRule="exact"/>
        <w:jc w:val="center"/>
        <w:rPr>
          <w:rFonts w:ascii="方正小标宋_GBK" w:hAnsi="方正小标宋_GBK" w:eastAsia="方正小标宋_GBK" w:cs="方正小标宋_GBK"/>
          <w:sz w:val="52"/>
          <w:szCs w:val="52"/>
        </w:rPr>
      </w:pPr>
    </w:p>
    <w:p>
      <w:pPr>
        <w:spacing w:line="500" w:lineRule="exact"/>
        <w:jc w:val="center"/>
        <w:rPr>
          <w:rFonts w:ascii="方正黑体_GBK" w:hAnsi="方正黑体_GBK" w:eastAsia="方正黑体_GBK" w:cs="方正黑体_GBK"/>
          <w:sz w:val="28"/>
          <w:szCs w:val="28"/>
        </w:rPr>
      </w:pPr>
      <w:bookmarkStart w:id="2" w:name="_Toc28604"/>
      <w:r>
        <w:rPr>
          <w:rFonts w:hint="eastAsia" w:ascii="方正黑体_GBK" w:hAnsi="方正黑体_GBK" w:eastAsia="方正黑体_GBK" w:cs="方正黑体_GBK"/>
          <w:sz w:val="28"/>
          <w:szCs w:val="28"/>
        </w:rPr>
        <w:t>重庆市黔江区规划和自然资源局</w:t>
      </w:r>
    </w:p>
    <w:p>
      <w:pPr>
        <w:spacing w:line="500" w:lineRule="exact"/>
        <w:jc w:val="center"/>
        <w:rPr>
          <w:rFonts w:ascii="方正黑体_GBK" w:hAnsi="方正黑体_GBK" w:eastAsia="方正黑体_GBK" w:cs="方正黑体_GBK"/>
          <w:sz w:val="28"/>
          <w:szCs w:val="28"/>
        </w:rPr>
        <w:sectPr>
          <w:footerReference r:id="rId3" w:type="default"/>
          <w:pgSz w:w="11906" w:h="16838"/>
          <w:pgMar w:top="1701" w:right="1474" w:bottom="1440" w:left="1587" w:header="851" w:footer="992" w:gutter="0"/>
          <w:cols w:space="0" w:num="1"/>
          <w:titlePg/>
          <w:docGrid w:type="lines" w:linePitch="312" w:charSpace="0"/>
        </w:sectPr>
      </w:pPr>
      <w:r>
        <w:rPr>
          <w:rFonts w:hint="eastAsia" w:ascii="方正黑体_GBK" w:hAnsi="方正黑体_GBK" w:eastAsia="方正黑体_GBK" w:cs="方正黑体_GBK"/>
          <w:sz w:val="28"/>
          <w:szCs w:val="28"/>
        </w:rPr>
        <w:t>2023年1</w:t>
      </w:r>
      <w:r>
        <w:rPr>
          <w:rFonts w:ascii="方正黑体_GBK" w:hAnsi="方正黑体_GBK" w:eastAsia="方正黑体_GBK" w:cs="方正黑体_GBK"/>
          <w:sz w:val="28"/>
          <w:szCs w:val="28"/>
        </w:rPr>
        <w:t>2</w:t>
      </w:r>
      <w:r>
        <w:rPr>
          <w:rFonts w:hint="eastAsia" w:ascii="方正黑体_GBK" w:hAnsi="方正黑体_GBK" w:eastAsia="方正黑体_GBK" w:cs="方正黑体_GBK"/>
          <w:sz w:val="28"/>
          <w:szCs w:val="28"/>
        </w:rPr>
        <w:t>月</w:t>
      </w:r>
      <w:bookmarkEnd w:id="2"/>
    </w:p>
    <w:p>
      <w:pPr>
        <w:spacing w:line="600" w:lineRule="exact"/>
        <w:jc w:val="center"/>
        <w:outlineLvl w:val="0"/>
        <w:rPr>
          <w:rFonts w:ascii="方正小标宋_GBK" w:hAnsi="方正小标宋_GBK" w:eastAsia="方正小标宋_GBK" w:cs="方正小标宋_GBK"/>
          <w:sz w:val="44"/>
          <w:szCs w:val="44"/>
        </w:rPr>
      </w:pPr>
      <w:bookmarkStart w:id="3" w:name="_Toc29523"/>
      <w:bookmarkStart w:id="4" w:name="_Toc4996"/>
      <w:bookmarkStart w:id="5" w:name="_Toc28291"/>
      <w:bookmarkStart w:id="6" w:name="_Toc15585"/>
      <w:bookmarkStart w:id="7" w:name="_Toc17109"/>
      <w:bookmarkStart w:id="8" w:name="_Toc31667"/>
      <w:r>
        <w:rPr>
          <w:rFonts w:hint="eastAsia" w:ascii="方正小标宋_GBK" w:hAnsi="方正小标宋_GBK" w:eastAsia="方正小标宋_GBK" w:cs="方正小标宋_GBK"/>
          <w:sz w:val="44"/>
          <w:szCs w:val="44"/>
        </w:rPr>
        <w:t>前  言</w:t>
      </w:r>
      <w:bookmarkEnd w:id="3"/>
      <w:bookmarkEnd w:id="4"/>
      <w:bookmarkEnd w:id="5"/>
      <w:bookmarkEnd w:id="6"/>
      <w:bookmarkEnd w:id="7"/>
      <w:bookmarkEnd w:id="8"/>
    </w:p>
    <w:p>
      <w:pPr>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国土空间生态修复规划是实施生态修复、推进生态文明建设的纲领性文件之一，对维护区域生态安全，提升生态环境质量起到重要作用。党的十八大以来，以习近平同志为核心的党中央大力部署生态文明建设工作，为新时期推进国土空间生态保护修复提出指引方向。党的二十大进一步强调中国式现代化是人与自然和谐共生的现代化，</w:t>
      </w:r>
      <w:r>
        <w:rPr>
          <w:rFonts w:ascii="Times New Roman" w:hAnsi="Times New Roman" w:eastAsia="方正仿宋_GBK" w:cs="Times New Roman"/>
          <w:sz w:val="32"/>
          <w:szCs w:val="32"/>
        </w:rPr>
        <w:t>牢固树立和践行</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绿水青山就是金山银山</w:t>
      </w:r>
      <w:r>
        <w:rPr>
          <w:rFonts w:hint="eastAsia" w:ascii="Times New Roman" w:hAnsi="Times New Roman" w:eastAsia="方正仿宋_GBK" w:cs="Times New Roman"/>
          <w:sz w:val="32"/>
          <w:szCs w:val="32"/>
        </w:rPr>
        <w:t>”的</w:t>
      </w:r>
      <w:r>
        <w:rPr>
          <w:rFonts w:ascii="Times New Roman" w:hAnsi="Times New Roman" w:eastAsia="方正仿宋_GBK" w:cs="Times New Roman"/>
          <w:sz w:val="32"/>
          <w:szCs w:val="32"/>
        </w:rPr>
        <w:t>理念，坚持山水林田湖草沙一体化保护和系统治理</w:t>
      </w:r>
      <w:r>
        <w:rPr>
          <w:rFonts w:hint="eastAsia" w:ascii="Times New Roman" w:hAnsi="Times New Roman" w:eastAsia="方正仿宋_GBK" w:cs="Times New Roman"/>
          <w:sz w:val="32"/>
          <w:szCs w:val="32"/>
        </w:rPr>
        <w:t>，提升生态系统多样性、稳定性和持续性，实施国土空间生态修复是新时期推进生态文明建设的重大举措。</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黔江区</w:t>
      </w:r>
      <w:r>
        <w:rPr>
          <w:rFonts w:hint="eastAsia" w:ascii="Times New Roman" w:hAnsi="Times New Roman" w:eastAsia="方正仿宋_GBK" w:cs="Times New Roman"/>
          <w:sz w:val="32"/>
          <w:szCs w:val="32"/>
        </w:rPr>
        <w:t>位于武陵山区生物多样性保护与水源涵养重要区，</w:t>
      </w:r>
      <w:r>
        <w:rPr>
          <w:rFonts w:ascii="Times New Roman" w:hAnsi="Times New Roman" w:eastAsia="方正仿宋_GBK" w:cs="Times New Roman"/>
          <w:sz w:val="32"/>
          <w:szCs w:val="32"/>
        </w:rPr>
        <w:t>具有鲜明的民族文化特色和优良生态环境</w:t>
      </w:r>
      <w:r>
        <w:rPr>
          <w:rFonts w:hint="eastAsia" w:ascii="Times New Roman" w:hAnsi="Times New Roman" w:eastAsia="方正仿宋_GBK" w:cs="Times New Roman"/>
          <w:sz w:val="32"/>
          <w:szCs w:val="32"/>
        </w:rPr>
        <w:t>，承担着建设高质量“中国峡谷城·武陵会客厅”的重要责任。党的十八大以来，在市委市政府的坚强领导下，黔江区开展了一系列生态保护修复工作，生态环境质量明显改善。但人口与社会对生态环境所造成的潜在压力和风险仍然存在，生态基础设施支持城市持续发展的动力不足，黔江区生态保护修复工作依旧艰巨。</w:t>
      </w:r>
    </w:p>
    <w:p>
      <w:pPr>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为深入贯彻落实习近平生态文明思想，统筹谋划黔江区国土空间生态保护修复工作，科学推进山水林田湖草沙一体化保护修复，按照《重庆市规划和自然资源局关于开展区县级国土空间生态保护修复规划编制工作的通知》（渝规资〔2022〕161号）要求，黔江区规划和自然资源局组织编制了《黔江区国土空间生态保护修复规划（2</w:t>
      </w:r>
      <w:r>
        <w:rPr>
          <w:rFonts w:ascii="Times New Roman" w:hAnsi="Times New Roman" w:eastAsia="方正仿宋_GBK" w:cs="Times New Roman"/>
          <w:sz w:val="32"/>
          <w:szCs w:val="32"/>
        </w:rPr>
        <w:t>021-2035</w:t>
      </w:r>
      <w:r>
        <w:rPr>
          <w:rFonts w:hint="eastAsia" w:ascii="Times New Roman" w:hAnsi="Times New Roman" w:eastAsia="方正仿宋_GBK" w:cs="Times New Roman"/>
          <w:sz w:val="32"/>
          <w:szCs w:val="32"/>
        </w:rPr>
        <w:t>年）》（以下简称《规划》）。《规划》充分衔接了《重庆市国土空间生态保护修复规划（2021-2035年）》《重庆黔江区国土空间总体规划（2021-2035年）（在编）等相关规划，以区域“自然资源本底-生态系统现状-主要生态问题”为链条，</w:t>
      </w:r>
      <w:r>
        <w:rPr>
          <w:rFonts w:ascii="Times New Roman" w:hAnsi="Times New Roman" w:eastAsia="方正仿宋_GBK" w:cs="Times New Roman"/>
          <w:sz w:val="32"/>
          <w:szCs w:val="32"/>
        </w:rPr>
        <w:t>系统诊断黔江区国土空间生态系统整体状况和关键问</w:t>
      </w:r>
      <w:r>
        <w:rPr>
          <w:rFonts w:hint="eastAsia" w:ascii="方正仿宋_GBK" w:hAnsi="方正仿宋_GBK" w:eastAsia="方正仿宋_GBK" w:cs="方正仿宋_GBK"/>
          <w:sz w:val="32"/>
          <w:szCs w:val="32"/>
        </w:rPr>
        <w:t>题，构建了“一屏三带三区多绿核”的生态</w:t>
      </w:r>
      <w:r>
        <w:rPr>
          <w:rFonts w:ascii="Times New Roman" w:hAnsi="Times New Roman" w:eastAsia="方正仿宋_GBK" w:cs="Times New Roman"/>
          <w:sz w:val="32"/>
          <w:szCs w:val="32"/>
        </w:rPr>
        <w:t>安全格局</w:t>
      </w:r>
      <w:r>
        <w:rPr>
          <w:rFonts w:hint="eastAsia" w:ascii="Times New Roman" w:hAnsi="Times New Roman" w:eastAsia="方正仿宋_GBK" w:cs="Times New Roman"/>
          <w:sz w:val="32"/>
          <w:szCs w:val="32"/>
        </w:rPr>
        <w:t>，形成了</w:t>
      </w:r>
      <w:r>
        <w:rPr>
          <w:rFonts w:ascii="Times New Roman" w:hAnsi="Times New Roman" w:eastAsia="方正仿宋_GBK" w:cs="Times New Roman"/>
          <w:sz w:val="32"/>
          <w:szCs w:val="32"/>
        </w:rPr>
        <w:t>黔江河城市品质提升区、阿蓬江-灰千梁子生态屏障区、小南海水源涵养与生物多样性保护区、郁江-九曲河农业生态提升区、黔西</w:t>
      </w:r>
      <w:r>
        <w:rPr>
          <w:rFonts w:hint="eastAsia" w:ascii="方正仿宋_GBK" w:hAnsi="方正仿宋_GBK" w:eastAsia="方正仿宋_GBK" w:cs="方正仿宋_GBK"/>
          <w:sz w:val="32"/>
          <w:szCs w:val="32"/>
        </w:rPr>
        <w:t>乡村人居环境品质提升区等“五大片区”，</w:t>
      </w:r>
      <w:r>
        <w:rPr>
          <w:rFonts w:ascii="Times New Roman" w:hAnsi="Times New Roman" w:eastAsia="方正仿宋_GBK" w:cs="Times New Roman"/>
          <w:sz w:val="32"/>
          <w:szCs w:val="32"/>
        </w:rPr>
        <w:t>统筹安排了国土空间生态修复</w:t>
      </w:r>
      <w:r>
        <w:rPr>
          <w:rFonts w:hint="eastAsia" w:ascii="Times New Roman" w:hAnsi="Times New Roman" w:eastAsia="方正仿宋_GBK" w:cs="Times New Roman"/>
          <w:sz w:val="32"/>
          <w:szCs w:val="32"/>
        </w:rPr>
        <w:t>6</w:t>
      </w:r>
      <w:r>
        <w:rPr>
          <w:rFonts w:ascii="Times New Roman" w:hAnsi="Times New Roman" w:eastAsia="方正仿宋_GBK" w:cs="Times New Roman"/>
          <w:sz w:val="32"/>
          <w:szCs w:val="32"/>
        </w:rPr>
        <w:t>大重点任务、7大重点工程和1</w:t>
      </w:r>
      <w:r>
        <w:rPr>
          <w:rFonts w:hint="eastAsia" w:ascii="Times New Roman" w:hAnsi="Times New Roman" w:eastAsia="方正仿宋_GBK" w:cs="Times New Roman"/>
          <w:sz w:val="32"/>
          <w:szCs w:val="32"/>
        </w:rPr>
        <w:t>5</w:t>
      </w:r>
      <w:r>
        <w:rPr>
          <w:rFonts w:ascii="Times New Roman" w:hAnsi="Times New Roman" w:eastAsia="方正仿宋_GBK" w:cs="Times New Roman"/>
          <w:sz w:val="32"/>
          <w:szCs w:val="32"/>
        </w:rPr>
        <w:t>个重点项目，并提出了规划实施的保障措施。</w:t>
      </w:r>
    </w:p>
    <w:p>
      <w:pPr>
        <w:spacing w:line="600" w:lineRule="exact"/>
        <w:ind w:firstLine="640" w:firstLineChars="200"/>
        <w:rPr>
          <w:rFonts w:ascii="Times New Roman" w:hAnsi="Times New Roman" w:eastAsia="方正仿宋_GBK" w:cs="Times New Roman"/>
          <w:sz w:val="32"/>
          <w:szCs w:val="32"/>
        </w:rPr>
      </w:pPr>
      <w:r>
        <w:rPr>
          <w:rFonts w:hint="eastAsia" w:ascii="方正仿宋_GBK" w:hAnsi="方正仿宋_GBK" w:eastAsia="方正仿宋_GBK" w:cs="方正仿宋_GBK"/>
          <w:sz w:val="32"/>
          <w:szCs w:val="32"/>
        </w:rPr>
        <w:t>《规划》是《重庆市黔江区国土空间总体规划（2021-2035）》的重要专项规划，是“十四五”期间和今后一段时期黔江区国土空间生态保护修复任务的总纲和空间指引，是争取各级生态保护修复专项资金和政策支持的依据。</w:t>
      </w:r>
    </w:p>
    <w:p>
      <w:pPr>
        <w:adjustRightInd w:val="0"/>
        <w:snapToGrid w:val="0"/>
        <w:spacing w:line="560" w:lineRule="exact"/>
        <w:ind w:firstLine="640" w:firstLineChars="200"/>
        <w:rPr>
          <w:rFonts w:ascii="方正仿宋_GBK" w:eastAsia="方正仿宋_GBK" w:cs="仿宋"/>
          <w:sz w:val="32"/>
          <w:szCs w:val="32"/>
        </w:rPr>
      </w:pPr>
    </w:p>
    <w:p>
      <w:pPr>
        <w:spacing w:line="500" w:lineRule="exact"/>
        <w:jc w:val="center"/>
        <w:rPr>
          <w:rFonts w:ascii="方正小标宋_GBK" w:hAnsi="方正小标宋_GBK" w:eastAsia="方正小标宋_GBK" w:cs="方正小标宋_GBK"/>
          <w:sz w:val="32"/>
          <w:szCs w:val="32"/>
        </w:rPr>
      </w:pPr>
    </w:p>
    <w:p>
      <w:pPr>
        <w:spacing w:line="500" w:lineRule="exact"/>
        <w:jc w:val="center"/>
        <w:rPr>
          <w:rFonts w:ascii="方正小标宋_GBK" w:hAnsi="方正小标宋_GBK" w:eastAsia="方正小标宋_GBK" w:cs="方正小标宋_GBK"/>
          <w:sz w:val="32"/>
          <w:szCs w:val="32"/>
        </w:rPr>
        <w:sectPr>
          <w:pgSz w:w="11906" w:h="16838"/>
          <w:pgMar w:top="1701" w:right="1474" w:bottom="1440" w:left="1587" w:header="851" w:footer="992" w:gutter="0"/>
          <w:pgNumType w:fmt="upperRoman" w:start="1"/>
          <w:cols w:space="0" w:num="1"/>
          <w:docGrid w:type="lines" w:linePitch="312" w:charSpace="0"/>
        </w:sectPr>
      </w:pPr>
    </w:p>
    <w:p>
      <w:pPr>
        <w:spacing w:line="50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目  录</w:t>
      </w:r>
    </w:p>
    <w:p>
      <w:pPr>
        <w:spacing w:line="500" w:lineRule="exact"/>
        <w:jc w:val="center"/>
        <w:rPr>
          <w:rFonts w:ascii="Times New Roman" w:hAnsi="Times New Roman" w:eastAsia="方正小标宋_GBK" w:cs="Times New Roman"/>
          <w:sz w:val="44"/>
          <w:szCs w:val="44"/>
        </w:rPr>
      </w:pPr>
    </w:p>
    <w:p>
      <w:pPr>
        <w:pStyle w:val="14"/>
        <w:tabs>
          <w:tab w:val="right" w:leader="dot" w:pos="8845"/>
        </w:tabs>
        <w:spacing w:line="520" w:lineRule="exact"/>
        <w:rPr>
          <w:sz w:val="28"/>
          <w:szCs w:val="28"/>
        </w:rPr>
      </w:pPr>
      <w:r>
        <w:rPr>
          <w:rFonts w:ascii="Times New Roman" w:hAnsi="Times New Roman" w:eastAsia="方正小标宋_GBK" w:cs="Times New Roman"/>
          <w:sz w:val="48"/>
          <w:szCs w:val="48"/>
        </w:rPr>
        <w:fldChar w:fldCharType="begin"/>
      </w:r>
      <w:r>
        <w:rPr>
          <w:rFonts w:ascii="Times New Roman" w:hAnsi="Times New Roman" w:eastAsia="方正小标宋_GBK" w:cs="Times New Roman"/>
          <w:sz w:val="48"/>
          <w:szCs w:val="48"/>
        </w:rPr>
        <w:instrText xml:space="preserve">TOC \o "1-3" \h \u </w:instrText>
      </w:r>
      <w:r>
        <w:rPr>
          <w:rFonts w:ascii="Times New Roman" w:hAnsi="Times New Roman" w:eastAsia="方正小标宋_GBK" w:cs="Times New Roman"/>
          <w:sz w:val="48"/>
          <w:szCs w:val="48"/>
        </w:rPr>
        <w:fldChar w:fldCharType="separate"/>
      </w:r>
      <w:r>
        <w:fldChar w:fldCharType="begin"/>
      </w:r>
      <w:r>
        <w:instrText xml:space="preserve"> HYPERLINK \l "_Toc17109" </w:instrText>
      </w:r>
      <w:r>
        <w:fldChar w:fldCharType="separate"/>
      </w:r>
      <w:r>
        <w:rPr>
          <w:rFonts w:hint="eastAsia" w:ascii="方正小标宋_GBK" w:hAnsi="方正小标宋_GBK" w:eastAsia="方正小标宋_GBK" w:cs="方正小标宋_GBK"/>
          <w:sz w:val="28"/>
          <w:szCs w:val="28"/>
        </w:rPr>
        <w:t>前</w:t>
      </w:r>
      <w:r>
        <w:rPr>
          <w:rFonts w:ascii="方正小标宋_GBK" w:hAnsi="方正小标宋_GBK" w:eastAsia="方正小标宋_GBK" w:cs="方正小标宋_GBK"/>
          <w:sz w:val="28"/>
          <w:szCs w:val="28"/>
        </w:rPr>
        <w:t xml:space="preserve">  </w:t>
      </w:r>
      <w:r>
        <w:rPr>
          <w:rFonts w:hint="eastAsia" w:ascii="方正小标宋_GBK" w:hAnsi="方正小标宋_GBK" w:eastAsia="方正小标宋_GBK" w:cs="方正小标宋_GBK"/>
          <w:sz w:val="28"/>
          <w:szCs w:val="28"/>
        </w:rPr>
        <w:t>言</w:t>
      </w:r>
      <w:r>
        <w:rPr>
          <w:sz w:val="28"/>
          <w:szCs w:val="28"/>
        </w:rPr>
        <w:tab/>
      </w:r>
      <w:r>
        <w:rPr>
          <w:sz w:val="28"/>
          <w:szCs w:val="28"/>
        </w:rPr>
        <w:fldChar w:fldCharType="begin"/>
      </w:r>
      <w:r>
        <w:rPr>
          <w:sz w:val="28"/>
          <w:szCs w:val="28"/>
        </w:rPr>
        <w:instrText xml:space="preserve"> PAGEREF _Toc17109 \h </w:instrText>
      </w:r>
      <w:r>
        <w:rPr>
          <w:sz w:val="28"/>
          <w:szCs w:val="28"/>
        </w:rPr>
        <w:fldChar w:fldCharType="separate"/>
      </w:r>
      <w:r>
        <w:rPr>
          <w:sz w:val="28"/>
          <w:szCs w:val="28"/>
        </w:rPr>
        <w:t>I</w:t>
      </w:r>
      <w:r>
        <w:rPr>
          <w:sz w:val="28"/>
          <w:szCs w:val="28"/>
        </w:rPr>
        <w:fldChar w:fldCharType="end"/>
      </w:r>
      <w:r>
        <w:rPr>
          <w:sz w:val="28"/>
          <w:szCs w:val="28"/>
        </w:rPr>
        <w:fldChar w:fldCharType="end"/>
      </w:r>
    </w:p>
    <w:p>
      <w:pPr>
        <w:pStyle w:val="14"/>
        <w:tabs>
          <w:tab w:val="right" w:leader="dot" w:pos="8845"/>
        </w:tabs>
        <w:spacing w:line="520" w:lineRule="exact"/>
        <w:rPr>
          <w:sz w:val="28"/>
          <w:szCs w:val="28"/>
        </w:rPr>
      </w:pPr>
      <w:r>
        <w:fldChar w:fldCharType="begin"/>
      </w:r>
      <w:r>
        <w:instrText xml:space="preserve"> HYPERLINK \l "_Toc14566" </w:instrText>
      </w:r>
      <w:r>
        <w:fldChar w:fldCharType="separate"/>
      </w:r>
      <w:r>
        <w:rPr>
          <w:rFonts w:hint="eastAsia" w:ascii="方正小标宋_GBK" w:hAnsi="方正小标宋_GBK" w:eastAsia="方正小标宋_GBK" w:cs="方正小标宋_GBK"/>
          <w:sz w:val="28"/>
          <w:szCs w:val="28"/>
        </w:rPr>
        <w:t>第一章</w:t>
      </w:r>
      <w:r>
        <w:rPr>
          <w:rFonts w:ascii="方正小标宋_GBK" w:hAnsi="方正小标宋_GBK" w:eastAsia="方正小标宋_GBK" w:cs="方正小标宋_GBK"/>
          <w:sz w:val="28"/>
          <w:szCs w:val="28"/>
        </w:rPr>
        <w:t xml:space="preserve"> </w:t>
      </w:r>
      <w:r>
        <w:rPr>
          <w:rFonts w:hint="eastAsia" w:ascii="方正小标宋_GBK" w:hAnsi="方正小标宋_GBK" w:eastAsia="方正小标宋_GBK" w:cs="方正小标宋_GBK"/>
          <w:sz w:val="28"/>
          <w:szCs w:val="28"/>
        </w:rPr>
        <w:t>基础分析与形势研判</w:t>
      </w:r>
      <w:r>
        <w:rPr>
          <w:sz w:val="28"/>
          <w:szCs w:val="28"/>
        </w:rPr>
        <w:tab/>
      </w:r>
      <w:r>
        <w:rPr>
          <w:sz w:val="28"/>
          <w:szCs w:val="28"/>
        </w:rPr>
        <w:fldChar w:fldCharType="begin"/>
      </w:r>
      <w:r>
        <w:rPr>
          <w:sz w:val="28"/>
          <w:szCs w:val="28"/>
        </w:rPr>
        <w:instrText xml:space="preserve"> PAGEREF _Toc14566 \h </w:instrText>
      </w:r>
      <w:r>
        <w:rPr>
          <w:sz w:val="28"/>
          <w:szCs w:val="28"/>
        </w:rPr>
        <w:fldChar w:fldCharType="separate"/>
      </w:r>
      <w:r>
        <w:rPr>
          <w:sz w:val="28"/>
          <w:szCs w:val="28"/>
        </w:rPr>
        <w:t>1</w:t>
      </w:r>
      <w:r>
        <w:rPr>
          <w:sz w:val="28"/>
          <w:szCs w:val="28"/>
        </w:rPr>
        <w:fldChar w:fldCharType="end"/>
      </w:r>
      <w:r>
        <w:rPr>
          <w:sz w:val="28"/>
          <w:szCs w:val="28"/>
        </w:rPr>
        <w:fldChar w:fldCharType="end"/>
      </w:r>
    </w:p>
    <w:p>
      <w:pPr>
        <w:pStyle w:val="16"/>
        <w:tabs>
          <w:tab w:val="right" w:leader="dot" w:pos="8845"/>
        </w:tabs>
        <w:spacing w:line="520" w:lineRule="exact"/>
        <w:rPr>
          <w:rFonts w:ascii="方正仿宋_GBK" w:hAnsi="方正仿宋_GBK" w:eastAsia="方正仿宋_GBK" w:cs="方正仿宋_GBK"/>
          <w:sz w:val="28"/>
          <w:szCs w:val="28"/>
        </w:rPr>
      </w:pPr>
      <w:r>
        <w:fldChar w:fldCharType="begin"/>
      </w:r>
      <w:r>
        <w:instrText xml:space="preserve"> HYPERLINK \l "_Toc1972" </w:instrText>
      </w:r>
      <w:r>
        <w:fldChar w:fldCharType="separate"/>
      </w:r>
      <w:r>
        <w:rPr>
          <w:rFonts w:hint="eastAsia" w:ascii="方正仿宋_GBK" w:hAnsi="方正仿宋_GBK" w:eastAsia="方正仿宋_GBK" w:cs="方正仿宋_GBK"/>
          <w:sz w:val="28"/>
          <w:szCs w:val="28"/>
        </w:rPr>
        <w:t>第一节</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自然资源状况</w:t>
      </w:r>
      <w:r>
        <w:rPr>
          <w:rFonts w:ascii="方正仿宋_GBK" w:hAnsi="方正仿宋_GBK" w:eastAsia="方正仿宋_GBK" w:cs="方正仿宋_GBK"/>
          <w:sz w:val="28"/>
          <w:szCs w:val="28"/>
        </w:rPr>
        <w:tab/>
      </w:r>
      <w:r>
        <w:rPr>
          <w:rFonts w:ascii="方正仿宋_GBK" w:hAnsi="方正仿宋_GBK" w:eastAsia="方正仿宋_GBK" w:cs="方正仿宋_GBK"/>
          <w:sz w:val="28"/>
          <w:szCs w:val="28"/>
        </w:rPr>
        <w:fldChar w:fldCharType="begin"/>
      </w:r>
      <w:r>
        <w:rPr>
          <w:rFonts w:ascii="方正仿宋_GBK" w:hAnsi="方正仿宋_GBK" w:eastAsia="方正仿宋_GBK" w:cs="方正仿宋_GBK"/>
          <w:sz w:val="28"/>
          <w:szCs w:val="28"/>
        </w:rPr>
        <w:instrText xml:space="preserve"> PAGEREF _Toc1972 \h </w:instrText>
      </w:r>
      <w:r>
        <w:rPr>
          <w:rFonts w:ascii="方正仿宋_GBK" w:hAnsi="方正仿宋_GBK" w:eastAsia="方正仿宋_GBK" w:cs="方正仿宋_GBK"/>
          <w:sz w:val="28"/>
          <w:szCs w:val="28"/>
        </w:rPr>
        <w:fldChar w:fldCharType="separate"/>
      </w:r>
      <w:r>
        <w:rPr>
          <w:rFonts w:ascii="方正仿宋_GBK" w:hAnsi="方正仿宋_GBK" w:eastAsia="方正仿宋_GBK" w:cs="方正仿宋_GBK"/>
          <w:sz w:val="28"/>
          <w:szCs w:val="28"/>
        </w:rPr>
        <w:t>1</w:t>
      </w:r>
      <w:r>
        <w:rPr>
          <w:rFonts w:ascii="方正仿宋_GBK" w:hAnsi="方正仿宋_GBK" w:eastAsia="方正仿宋_GBK" w:cs="方正仿宋_GBK"/>
          <w:sz w:val="28"/>
          <w:szCs w:val="28"/>
        </w:rPr>
        <w:fldChar w:fldCharType="end"/>
      </w:r>
      <w:r>
        <w:rPr>
          <w:rFonts w:ascii="方正仿宋_GBK" w:hAnsi="方正仿宋_GBK" w:eastAsia="方正仿宋_GBK" w:cs="方正仿宋_GBK"/>
          <w:sz w:val="28"/>
          <w:szCs w:val="28"/>
        </w:rPr>
        <w:fldChar w:fldCharType="end"/>
      </w:r>
    </w:p>
    <w:p>
      <w:pPr>
        <w:pStyle w:val="16"/>
        <w:tabs>
          <w:tab w:val="right" w:leader="dot" w:pos="8845"/>
        </w:tabs>
        <w:spacing w:line="520" w:lineRule="exact"/>
        <w:rPr>
          <w:rFonts w:ascii="方正仿宋_GBK" w:hAnsi="方正仿宋_GBK" w:eastAsia="方正仿宋_GBK" w:cs="方正仿宋_GBK"/>
          <w:sz w:val="28"/>
          <w:szCs w:val="28"/>
        </w:rPr>
      </w:pPr>
      <w:r>
        <w:fldChar w:fldCharType="begin"/>
      </w:r>
      <w:r>
        <w:instrText xml:space="preserve"> HYPERLINK \l "_Toc12842" </w:instrText>
      </w:r>
      <w:r>
        <w:fldChar w:fldCharType="separate"/>
      </w:r>
      <w:r>
        <w:rPr>
          <w:rFonts w:hint="eastAsia" w:ascii="方正仿宋_GBK" w:hAnsi="方正仿宋_GBK" w:eastAsia="方正仿宋_GBK" w:cs="方正仿宋_GBK"/>
          <w:sz w:val="28"/>
          <w:szCs w:val="28"/>
        </w:rPr>
        <w:t>第二节</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综合评价</w:t>
      </w:r>
      <w:r>
        <w:rPr>
          <w:rFonts w:ascii="方正仿宋_GBK" w:hAnsi="方正仿宋_GBK" w:eastAsia="方正仿宋_GBK" w:cs="方正仿宋_GBK"/>
          <w:sz w:val="28"/>
          <w:szCs w:val="28"/>
        </w:rPr>
        <w:tab/>
      </w:r>
      <w:r>
        <w:rPr>
          <w:rFonts w:ascii="方正仿宋_GBK" w:hAnsi="方正仿宋_GBK" w:eastAsia="方正仿宋_GBK" w:cs="方正仿宋_GBK"/>
          <w:sz w:val="28"/>
          <w:szCs w:val="28"/>
        </w:rPr>
        <w:fldChar w:fldCharType="begin"/>
      </w:r>
      <w:r>
        <w:rPr>
          <w:rFonts w:ascii="方正仿宋_GBK" w:hAnsi="方正仿宋_GBK" w:eastAsia="方正仿宋_GBK" w:cs="方正仿宋_GBK"/>
          <w:sz w:val="28"/>
          <w:szCs w:val="28"/>
        </w:rPr>
        <w:instrText xml:space="preserve"> PAGEREF _Toc12842 \h </w:instrText>
      </w:r>
      <w:r>
        <w:rPr>
          <w:rFonts w:ascii="方正仿宋_GBK" w:hAnsi="方正仿宋_GBK" w:eastAsia="方正仿宋_GBK" w:cs="方正仿宋_GBK"/>
          <w:sz w:val="28"/>
          <w:szCs w:val="28"/>
        </w:rPr>
        <w:fldChar w:fldCharType="separate"/>
      </w:r>
      <w:r>
        <w:rPr>
          <w:rFonts w:ascii="方正仿宋_GBK" w:hAnsi="方正仿宋_GBK" w:eastAsia="方正仿宋_GBK" w:cs="方正仿宋_GBK"/>
          <w:sz w:val="28"/>
          <w:szCs w:val="28"/>
        </w:rPr>
        <w:t>5</w:t>
      </w:r>
      <w:r>
        <w:rPr>
          <w:rFonts w:ascii="方正仿宋_GBK" w:hAnsi="方正仿宋_GBK" w:eastAsia="方正仿宋_GBK" w:cs="方正仿宋_GBK"/>
          <w:sz w:val="28"/>
          <w:szCs w:val="28"/>
        </w:rPr>
        <w:fldChar w:fldCharType="end"/>
      </w:r>
      <w:r>
        <w:rPr>
          <w:rFonts w:ascii="方正仿宋_GBK" w:hAnsi="方正仿宋_GBK" w:eastAsia="方正仿宋_GBK" w:cs="方正仿宋_GBK"/>
          <w:sz w:val="28"/>
          <w:szCs w:val="28"/>
        </w:rPr>
        <w:fldChar w:fldCharType="end"/>
      </w:r>
    </w:p>
    <w:p>
      <w:pPr>
        <w:pStyle w:val="16"/>
        <w:tabs>
          <w:tab w:val="right" w:leader="dot" w:pos="8845"/>
        </w:tabs>
        <w:spacing w:line="520" w:lineRule="exact"/>
        <w:rPr>
          <w:rFonts w:ascii="方正仿宋_GBK" w:hAnsi="方正仿宋_GBK" w:eastAsia="方正仿宋_GBK" w:cs="方正仿宋_GBK"/>
          <w:sz w:val="28"/>
          <w:szCs w:val="28"/>
        </w:rPr>
      </w:pPr>
      <w:r>
        <w:fldChar w:fldCharType="begin"/>
      </w:r>
      <w:r>
        <w:instrText xml:space="preserve"> HYPERLINK \l "_Toc23712" </w:instrText>
      </w:r>
      <w:r>
        <w:fldChar w:fldCharType="separate"/>
      </w:r>
      <w:r>
        <w:rPr>
          <w:rFonts w:hint="eastAsia" w:ascii="方正仿宋_GBK" w:hAnsi="方正仿宋_GBK" w:eastAsia="方正仿宋_GBK" w:cs="方正仿宋_GBK"/>
          <w:sz w:val="28"/>
          <w:szCs w:val="28"/>
        </w:rPr>
        <w:t>第三节</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主要生态问题</w:t>
      </w:r>
      <w:r>
        <w:rPr>
          <w:rFonts w:ascii="方正仿宋_GBK" w:hAnsi="方正仿宋_GBK" w:eastAsia="方正仿宋_GBK" w:cs="方正仿宋_GBK"/>
          <w:sz w:val="28"/>
          <w:szCs w:val="28"/>
        </w:rPr>
        <w:tab/>
      </w:r>
      <w:r>
        <w:rPr>
          <w:rFonts w:ascii="方正仿宋_GBK" w:hAnsi="方正仿宋_GBK" w:eastAsia="方正仿宋_GBK" w:cs="方正仿宋_GBK"/>
          <w:sz w:val="28"/>
          <w:szCs w:val="28"/>
        </w:rPr>
        <w:fldChar w:fldCharType="begin"/>
      </w:r>
      <w:r>
        <w:rPr>
          <w:rFonts w:ascii="方正仿宋_GBK" w:hAnsi="方正仿宋_GBK" w:eastAsia="方正仿宋_GBK" w:cs="方正仿宋_GBK"/>
          <w:sz w:val="28"/>
          <w:szCs w:val="28"/>
        </w:rPr>
        <w:instrText xml:space="preserve"> PAGEREF _Toc23712 \h </w:instrText>
      </w:r>
      <w:r>
        <w:rPr>
          <w:rFonts w:ascii="方正仿宋_GBK" w:hAnsi="方正仿宋_GBK" w:eastAsia="方正仿宋_GBK" w:cs="方正仿宋_GBK"/>
          <w:sz w:val="28"/>
          <w:szCs w:val="28"/>
        </w:rPr>
        <w:fldChar w:fldCharType="separate"/>
      </w:r>
      <w:r>
        <w:rPr>
          <w:rFonts w:ascii="方正仿宋_GBK" w:hAnsi="方正仿宋_GBK" w:eastAsia="方正仿宋_GBK" w:cs="方正仿宋_GBK"/>
          <w:sz w:val="28"/>
          <w:szCs w:val="28"/>
        </w:rPr>
        <w:t>8</w:t>
      </w:r>
      <w:r>
        <w:rPr>
          <w:rFonts w:ascii="方正仿宋_GBK" w:hAnsi="方正仿宋_GBK" w:eastAsia="方正仿宋_GBK" w:cs="方正仿宋_GBK"/>
          <w:sz w:val="28"/>
          <w:szCs w:val="28"/>
        </w:rPr>
        <w:fldChar w:fldCharType="end"/>
      </w:r>
      <w:r>
        <w:rPr>
          <w:rFonts w:ascii="方正仿宋_GBK" w:hAnsi="方正仿宋_GBK" w:eastAsia="方正仿宋_GBK" w:cs="方正仿宋_GBK"/>
          <w:sz w:val="28"/>
          <w:szCs w:val="28"/>
        </w:rPr>
        <w:fldChar w:fldCharType="end"/>
      </w:r>
    </w:p>
    <w:p>
      <w:pPr>
        <w:pStyle w:val="16"/>
        <w:tabs>
          <w:tab w:val="right" w:leader="dot" w:pos="8845"/>
        </w:tabs>
        <w:spacing w:line="520" w:lineRule="exact"/>
        <w:rPr>
          <w:rFonts w:ascii="方正仿宋_GBK" w:hAnsi="方正仿宋_GBK" w:eastAsia="方正仿宋_GBK" w:cs="方正仿宋_GBK"/>
          <w:sz w:val="28"/>
          <w:szCs w:val="28"/>
        </w:rPr>
      </w:pPr>
      <w:r>
        <w:fldChar w:fldCharType="begin"/>
      </w:r>
      <w:r>
        <w:instrText xml:space="preserve"> HYPERLINK \l "_Toc32058" </w:instrText>
      </w:r>
      <w:r>
        <w:fldChar w:fldCharType="separate"/>
      </w:r>
      <w:r>
        <w:rPr>
          <w:rFonts w:hint="eastAsia" w:ascii="方正仿宋_GBK" w:hAnsi="方正仿宋_GBK" w:eastAsia="方正仿宋_GBK" w:cs="方正仿宋_GBK"/>
          <w:sz w:val="28"/>
          <w:szCs w:val="28"/>
        </w:rPr>
        <w:t>第四节</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生态保护修复工作成效</w:t>
      </w:r>
      <w:r>
        <w:rPr>
          <w:rFonts w:ascii="方正仿宋_GBK" w:hAnsi="方正仿宋_GBK" w:eastAsia="方正仿宋_GBK" w:cs="方正仿宋_GBK"/>
          <w:sz w:val="28"/>
          <w:szCs w:val="28"/>
        </w:rPr>
        <w:tab/>
      </w:r>
      <w:r>
        <w:rPr>
          <w:rFonts w:ascii="方正仿宋_GBK" w:hAnsi="方正仿宋_GBK" w:eastAsia="方正仿宋_GBK" w:cs="方正仿宋_GBK"/>
          <w:sz w:val="28"/>
          <w:szCs w:val="28"/>
        </w:rPr>
        <w:fldChar w:fldCharType="begin"/>
      </w:r>
      <w:r>
        <w:rPr>
          <w:rFonts w:ascii="方正仿宋_GBK" w:hAnsi="方正仿宋_GBK" w:eastAsia="方正仿宋_GBK" w:cs="方正仿宋_GBK"/>
          <w:sz w:val="28"/>
          <w:szCs w:val="28"/>
        </w:rPr>
        <w:instrText xml:space="preserve"> PAGEREF _Toc32058 \h </w:instrText>
      </w:r>
      <w:r>
        <w:rPr>
          <w:rFonts w:ascii="方正仿宋_GBK" w:hAnsi="方正仿宋_GBK" w:eastAsia="方正仿宋_GBK" w:cs="方正仿宋_GBK"/>
          <w:sz w:val="28"/>
          <w:szCs w:val="28"/>
        </w:rPr>
        <w:fldChar w:fldCharType="separate"/>
      </w:r>
      <w:r>
        <w:rPr>
          <w:rFonts w:ascii="方正仿宋_GBK" w:hAnsi="方正仿宋_GBK" w:eastAsia="方正仿宋_GBK" w:cs="方正仿宋_GBK"/>
          <w:sz w:val="28"/>
          <w:szCs w:val="28"/>
        </w:rPr>
        <w:t>11</w:t>
      </w:r>
      <w:r>
        <w:rPr>
          <w:rFonts w:ascii="方正仿宋_GBK" w:hAnsi="方正仿宋_GBK" w:eastAsia="方正仿宋_GBK" w:cs="方正仿宋_GBK"/>
          <w:sz w:val="28"/>
          <w:szCs w:val="28"/>
        </w:rPr>
        <w:fldChar w:fldCharType="end"/>
      </w:r>
      <w:r>
        <w:rPr>
          <w:rFonts w:ascii="方正仿宋_GBK" w:hAnsi="方正仿宋_GBK" w:eastAsia="方正仿宋_GBK" w:cs="方正仿宋_GBK"/>
          <w:sz w:val="28"/>
          <w:szCs w:val="28"/>
        </w:rPr>
        <w:fldChar w:fldCharType="end"/>
      </w:r>
    </w:p>
    <w:p>
      <w:pPr>
        <w:pStyle w:val="16"/>
        <w:tabs>
          <w:tab w:val="right" w:leader="dot" w:pos="8845"/>
        </w:tabs>
        <w:spacing w:line="520" w:lineRule="exact"/>
        <w:rPr>
          <w:rFonts w:ascii="方正仿宋_GBK" w:hAnsi="方正仿宋_GBK" w:eastAsia="方正仿宋_GBK" w:cs="方正仿宋_GBK"/>
          <w:sz w:val="28"/>
          <w:szCs w:val="28"/>
        </w:rPr>
      </w:pPr>
      <w:r>
        <w:fldChar w:fldCharType="begin"/>
      </w:r>
      <w:r>
        <w:instrText xml:space="preserve"> HYPERLINK \l "_Toc15889" </w:instrText>
      </w:r>
      <w:r>
        <w:fldChar w:fldCharType="separate"/>
      </w:r>
      <w:r>
        <w:rPr>
          <w:rFonts w:hint="eastAsia" w:ascii="方正仿宋_GBK" w:hAnsi="方正仿宋_GBK" w:eastAsia="方正仿宋_GBK" w:cs="方正仿宋_GBK"/>
          <w:sz w:val="28"/>
          <w:szCs w:val="28"/>
        </w:rPr>
        <w:t>第五节</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机遇与挑战</w:t>
      </w:r>
      <w:r>
        <w:rPr>
          <w:rFonts w:ascii="方正仿宋_GBK" w:hAnsi="方正仿宋_GBK" w:eastAsia="方正仿宋_GBK" w:cs="方正仿宋_GBK"/>
          <w:sz w:val="28"/>
          <w:szCs w:val="28"/>
        </w:rPr>
        <w:tab/>
      </w:r>
      <w:r>
        <w:rPr>
          <w:rFonts w:ascii="方正仿宋_GBK" w:hAnsi="方正仿宋_GBK" w:eastAsia="方正仿宋_GBK" w:cs="方正仿宋_GBK"/>
          <w:sz w:val="28"/>
          <w:szCs w:val="28"/>
        </w:rPr>
        <w:fldChar w:fldCharType="begin"/>
      </w:r>
      <w:r>
        <w:rPr>
          <w:rFonts w:ascii="方正仿宋_GBK" w:hAnsi="方正仿宋_GBK" w:eastAsia="方正仿宋_GBK" w:cs="方正仿宋_GBK"/>
          <w:sz w:val="28"/>
          <w:szCs w:val="28"/>
        </w:rPr>
        <w:instrText xml:space="preserve"> PAGEREF _Toc15889 \h </w:instrText>
      </w:r>
      <w:r>
        <w:rPr>
          <w:rFonts w:ascii="方正仿宋_GBK" w:hAnsi="方正仿宋_GBK" w:eastAsia="方正仿宋_GBK" w:cs="方正仿宋_GBK"/>
          <w:sz w:val="28"/>
          <w:szCs w:val="28"/>
        </w:rPr>
        <w:fldChar w:fldCharType="separate"/>
      </w:r>
      <w:r>
        <w:rPr>
          <w:rFonts w:ascii="方正仿宋_GBK" w:hAnsi="方正仿宋_GBK" w:eastAsia="方正仿宋_GBK" w:cs="方正仿宋_GBK"/>
          <w:sz w:val="28"/>
          <w:szCs w:val="28"/>
        </w:rPr>
        <w:t>13</w:t>
      </w:r>
      <w:r>
        <w:rPr>
          <w:rFonts w:ascii="方正仿宋_GBK" w:hAnsi="方正仿宋_GBK" w:eastAsia="方正仿宋_GBK" w:cs="方正仿宋_GBK"/>
          <w:sz w:val="28"/>
          <w:szCs w:val="28"/>
        </w:rPr>
        <w:fldChar w:fldCharType="end"/>
      </w:r>
      <w:r>
        <w:rPr>
          <w:rFonts w:ascii="方正仿宋_GBK" w:hAnsi="方正仿宋_GBK" w:eastAsia="方正仿宋_GBK" w:cs="方正仿宋_GBK"/>
          <w:sz w:val="28"/>
          <w:szCs w:val="28"/>
        </w:rPr>
        <w:fldChar w:fldCharType="end"/>
      </w:r>
    </w:p>
    <w:p>
      <w:pPr>
        <w:pStyle w:val="14"/>
        <w:tabs>
          <w:tab w:val="right" w:leader="dot" w:pos="8845"/>
        </w:tabs>
        <w:spacing w:line="520" w:lineRule="exact"/>
        <w:rPr>
          <w:sz w:val="28"/>
          <w:szCs w:val="28"/>
        </w:rPr>
      </w:pPr>
      <w:r>
        <w:fldChar w:fldCharType="begin"/>
      </w:r>
      <w:r>
        <w:instrText xml:space="preserve"> HYPERLINK \l "_Toc21136" </w:instrText>
      </w:r>
      <w:r>
        <w:fldChar w:fldCharType="separate"/>
      </w:r>
      <w:r>
        <w:rPr>
          <w:rFonts w:hint="eastAsia" w:ascii="方正小标宋_GBK" w:hAnsi="方正小标宋_GBK" w:eastAsia="方正小标宋_GBK" w:cs="方正小标宋_GBK"/>
          <w:sz w:val="28"/>
          <w:szCs w:val="28"/>
        </w:rPr>
        <w:t>第二章</w:t>
      </w:r>
      <w:r>
        <w:rPr>
          <w:rFonts w:ascii="方正小标宋_GBK" w:hAnsi="方正小标宋_GBK" w:eastAsia="方正小标宋_GBK" w:cs="方正小标宋_GBK"/>
          <w:sz w:val="28"/>
          <w:szCs w:val="28"/>
        </w:rPr>
        <w:t xml:space="preserve"> </w:t>
      </w:r>
      <w:r>
        <w:rPr>
          <w:rFonts w:hint="eastAsia" w:ascii="方正小标宋_GBK" w:hAnsi="方正小标宋_GBK" w:eastAsia="方正小标宋_GBK" w:cs="方正小标宋_GBK"/>
          <w:sz w:val="28"/>
          <w:szCs w:val="28"/>
        </w:rPr>
        <w:t>总体要求</w:t>
      </w:r>
      <w:r>
        <w:rPr>
          <w:sz w:val="28"/>
          <w:szCs w:val="28"/>
        </w:rPr>
        <w:tab/>
      </w:r>
      <w:r>
        <w:rPr>
          <w:sz w:val="28"/>
          <w:szCs w:val="28"/>
        </w:rPr>
        <w:fldChar w:fldCharType="begin"/>
      </w:r>
      <w:r>
        <w:rPr>
          <w:sz w:val="28"/>
          <w:szCs w:val="28"/>
        </w:rPr>
        <w:instrText xml:space="preserve"> PAGEREF _Toc21136 \h </w:instrText>
      </w:r>
      <w:r>
        <w:rPr>
          <w:sz w:val="28"/>
          <w:szCs w:val="28"/>
        </w:rPr>
        <w:fldChar w:fldCharType="separate"/>
      </w:r>
      <w:r>
        <w:rPr>
          <w:sz w:val="28"/>
          <w:szCs w:val="28"/>
        </w:rPr>
        <w:t>17</w:t>
      </w:r>
      <w:r>
        <w:rPr>
          <w:sz w:val="28"/>
          <w:szCs w:val="28"/>
        </w:rPr>
        <w:fldChar w:fldCharType="end"/>
      </w:r>
      <w:r>
        <w:rPr>
          <w:sz w:val="28"/>
          <w:szCs w:val="28"/>
        </w:rPr>
        <w:fldChar w:fldCharType="end"/>
      </w:r>
    </w:p>
    <w:p>
      <w:pPr>
        <w:pStyle w:val="16"/>
        <w:tabs>
          <w:tab w:val="right" w:leader="dot" w:pos="8845"/>
        </w:tabs>
        <w:spacing w:line="520" w:lineRule="exact"/>
        <w:rPr>
          <w:rFonts w:ascii="方正仿宋_GBK" w:hAnsi="方正仿宋_GBK" w:eastAsia="方正仿宋_GBK" w:cs="方正仿宋_GBK"/>
          <w:sz w:val="28"/>
          <w:szCs w:val="28"/>
        </w:rPr>
      </w:pPr>
      <w:r>
        <w:fldChar w:fldCharType="begin"/>
      </w:r>
      <w:r>
        <w:instrText xml:space="preserve"> HYPERLINK \l "_Toc12429" </w:instrText>
      </w:r>
      <w:r>
        <w:fldChar w:fldCharType="separate"/>
      </w:r>
      <w:r>
        <w:rPr>
          <w:rFonts w:hint="eastAsia" w:ascii="方正仿宋_GBK" w:hAnsi="方正仿宋_GBK" w:eastAsia="方正仿宋_GBK" w:cs="方正仿宋_GBK"/>
          <w:sz w:val="28"/>
          <w:szCs w:val="28"/>
        </w:rPr>
        <w:t>第一节</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指导思想</w:t>
      </w:r>
      <w:r>
        <w:rPr>
          <w:rFonts w:ascii="方正仿宋_GBK" w:hAnsi="方正仿宋_GBK" w:eastAsia="方正仿宋_GBK" w:cs="方正仿宋_GBK"/>
          <w:sz w:val="28"/>
          <w:szCs w:val="28"/>
        </w:rPr>
        <w:tab/>
      </w:r>
      <w:r>
        <w:rPr>
          <w:rFonts w:ascii="方正仿宋_GBK" w:hAnsi="方正仿宋_GBK" w:eastAsia="方正仿宋_GBK" w:cs="方正仿宋_GBK"/>
          <w:sz w:val="28"/>
          <w:szCs w:val="28"/>
        </w:rPr>
        <w:fldChar w:fldCharType="begin"/>
      </w:r>
      <w:r>
        <w:rPr>
          <w:rFonts w:ascii="方正仿宋_GBK" w:hAnsi="方正仿宋_GBK" w:eastAsia="方正仿宋_GBK" w:cs="方正仿宋_GBK"/>
          <w:sz w:val="28"/>
          <w:szCs w:val="28"/>
        </w:rPr>
        <w:instrText xml:space="preserve"> PAGEREF _Toc12429 \h </w:instrText>
      </w:r>
      <w:r>
        <w:rPr>
          <w:rFonts w:ascii="方正仿宋_GBK" w:hAnsi="方正仿宋_GBK" w:eastAsia="方正仿宋_GBK" w:cs="方正仿宋_GBK"/>
          <w:sz w:val="28"/>
          <w:szCs w:val="28"/>
        </w:rPr>
        <w:fldChar w:fldCharType="separate"/>
      </w:r>
      <w:r>
        <w:rPr>
          <w:rFonts w:ascii="方正仿宋_GBK" w:hAnsi="方正仿宋_GBK" w:eastAsia="方正仿宋_GBK" w:cs="方正仿宋_GBK"/>
          <w:sz w:val="28"/>
          <w:szCs w:val="28"/>
        </w:rPr>
        <w:t>17</w:t>
      </w:r>
      <w:r>
        <w:rPr>
          <w:rFonts w:ascii="方正仿宋_GBK" w:hAnsi="方正仿宋_GBK" w:eastAsia="方正仿宋_GBK" w:cs="方正仿宋_GBK"/>
          <w:sz w:val="28"/>
          <w:szCs w:val="28"/>
        </w:rPr>
        <w:fldChar w:fldCharType="end"/>
      </w:r>
      <w:r>
        <w:rPr>
          <w:rFonts w:ascii="方正仿宋_GBK" w:hAnsi="方正仿宋_GBK" w:eastAsia="方正仿宋_GBK" w:cs="方正仿宋_GBK"/>
          <w:sz w:val="28"/>
          <w:szCs w:val="28"/>
        </w:rPr>
        <w:fldChar w:fldCharType="end"/>
      </w:r>
    </w:p>
    <w:p>
      <w:pPr>
        <w:pStyle w:val="16"/>
        <w:tabs>
          <w:tab w:val="right" w:leader="dot" w:pos="8845"/>
        </w:tabs>
        <w:spacing w:line="520" w:lineRule="exact"/>
        <w:rPr>
          <w:rFonts w:ascii="方正仿宋_GBK" w:hAnsi="方正仿宋_GBK" w:eastAsia="方正仿宋_GBK" w:cs="方正仿宋_GBK"/>
          <w:sz w:val="28"/>
          <w:szCs w:val="28"/>
        </w:rPr>
      </w:pPr>
      <w:r>
        <w:fldChar w:fldCharType="begin"/>
      </w:r>
      <w:r>
        <w:instrText xml:space="preserve"> HYPERLINK \l "_Toc29209" </w:instrText>
      </w:r>
      <w:r>
        <w:fldChar w:fldCharType="separate"/>
      </w:r>
      <w:r>
        <w:rPr>
          <w:rFonts w:hint="eastAsia" w:ascii="方正仿宋_GBK" w:hAnsi="方正仿宋_GBK" w:eastAsia="方正仿宋_GBK" w:cs="方正仿宋_GBK"/>
          <w:sz w:val="28"/>
          <w:szCs w:val="28"/>
        </w:rPr>
        <w:t>第二节</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规划原则</w:t>
      </w:r>
      <w:r>
        <w:rPr>
          <w:rFonts w:ascii="方正仿宋_GBK" w:hAnsi="方正仿宋_GBK" w:eastAsia="方正仿宋_GBK" w:cs="方正仿宋_GBK"/>
          <w:sz w:val="28"/>
          <w:szCs w:val="28"/>
        </w:rPr>
        <w:tab/>
      </w:r>
      <w:r>
        <w:rPr>
          <w:rFonts w:ascii="方正仿宋_GBK" w:hAnsi="方正仿宋_GBK" w:eastAsia="方正仿宋_GBK" w:cs="方正仿宋_GBK"/>
          <w:sz w:val="28"/>
          <w:szCs w:val="28"/>
        </w:rPr>
        <w:fldChar w:fldCharType="begin"/>
      </w:r>
      <w:r>
        <w:rPr>
          <w:rFonts w:ascii="方正仿宋_GBK" w:hAnsi="方正仿宋_GBK" w:eastAsia="方正仿宋_GBK" w:cs="方正仿宋_GBK"/>
          <w:sz w:val="28"/>
          <w:szCs w:val="28"/>
        </w:rPr>
        <w:instrText xml:space="preserve"> PAGEREF _Toc29209 \h </w:instrText>
      </w:r>
      <w:r>
        <w:rPr>
          <w:rFonts w:ascii="方正仿宋_GBK" w:hAnsi="方正仿宋_GBK" w:eastAsia="方正仿宋_GBK" w:cs="方正仿宋_GBK"/>
          <w:sz w:val="28"/>
          <w:szCs w:val="28"/>
        </w:rPr>
        <w:fldChar w:fldCharType="separate"/>
      </w:r>
      <w:r>
        <w:rPr>
          <w:rFonts w:ascii="方正仿宋_GBK" w:hAnsi="方正仿宋_GBK" w:eastAsia="方正仿宋_GBK" w:cs="方正仿宋_GBK"/>
          <w:sz w:val="28"/>
          <w:szCs w:val="28"/>
        </w:rPr>
        <w:t>17</w:t>
      </w:r>
      <w:r>
        <w:rPr>
          <w:rFonts w:ascii="方正仿宋_GBK" w:hAnsi="方正仿宋_GBK" w:eastAsia="方正仿宋_GBK" w:cs="方正仿宋_GBK"/>
          <w:sz w:val="28"/>
          <w:szCs w:val="28"/>
        </w:rPr>
        <w:fldChar w:fldCharType="end"/>
      </w:r>
      <w:r>
        <w:rPr>
          <w:rFonts w:ascii="方正仿宋_GBK" w:hAnsi="方正仿宋_GBK" w:eastAsia="方正仿宋_GBK" w:cs="方正仿宋_GBK"/>
          <w:sz w:val="28"/>
          <w:szCs w:val="28"/>
        </w:rPr>
        <w:fldChar w:fldCharType="end"/>
      </w:r>
    </w:p>
    <w:p>
      <w:pPr>
        <w:pStyle w:val="16"/>
        <w:tabs>
          <w:tab w:val="right" w:leader="dot" w:pos="8845"/>
        </w:tabs>
        <w:spacing w:line="520" w:lineRule="exact"/>
        <w:rPr>
          <w:rFonts w:ascii="方正仿宋_GBK" w:hAnsi="方正仿宋_GBK" w:eastAsia="方正仿宋_GBK" w:cs="方正仿宋_GBK"/>
          <w:sz w:val="28"/>
          <w:szCs w:val="28"/>
        </w:rPr>
      </w:pPr>
      <w:r>
        <w:fldChar w:fldCharType="begin"/>
      </w:r>
      <w:r>
        <w:instrText xml:space="preserve"> HYPERLINK \l "_Toc20319" </w:instrText>
      </w:r>
      <w:r>
        <w:fldChar w:fldCharType="separate"/>
      </w:r>
      <w:r>
        <w:rPr>
          <w:rFonts w:hint="eastAsia" w:ascii="方正仿宋_GBK" w:hAnsi="方正仿宋_GBK" w:eastAsia="方正仿宋_GBK" w:cs="方正仿宋_GBK"/>
          <w:sz w:val="28"/>
          <w:szCs w:val="28"/>
        </w:rPr>
        <w:t>第三节</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规划目标</w:t>
      </w:r>
      <w:r>
        <w:rPr>
          <w:rFonts w:ascii="方正仿宋_GBK" w:hAnsi="方正仿宋_GBK" w:eastAsia="方正仿宋_GBK" w:cs="方正仿宋_GBK"/>
          <w:sz w:val="28"/>
          <w:szCs w:val="28"/>
        </w:rPr>
        <w:tab/>
      </w:r>
      <w:r>
        <w:rPr>
          <w:rFonts w:ascii="方正仿宋_GBK" w:hAnsi="方正仿宋_GBK" w:eastAsia="方正仿宋_GBK" w:cs="方正仿宋_GBK"/>
          <w:sz w:val="28"/>
          <w:szCs w:val="28"/>
        </w:rPr>
        <w:fldChar w:fldCharType="begin"/>
      </w:r>
      <w:r>
        <w:rPr>
          <w:rFonts w:ascii="方正仿宋_GBK" w:hAnsi="方正仿宋_GBK" w:eastAsia="方正仿宋_GBK" w:cs="方正仿宋_GBK"/>
          <w:sz w:val="28"/>
          <w:szCs w:val="28"/>
        </w:rPr>
        <w:instrText xml:space="preserve"> PAGEREF _Toc20319 \h </w:instrText>
      </w:r>
      <w:r>
        <w:rPr>
          <w:rFonts w:ascii="方正仿宋_GBK" w:hAnsi="方正仿宋_GBK" w:eastAsia="方正仿宋_GBK" w:cs="方正仿宋_GBK"/>
          <w:sz w:val="28"/>
          <w:szCs w:val="28"/>
        </w:rPr>
        <w:fldChar w:fldCharType="separate"/>
      </w:r>
      <w:r>
        <w:rPr>
          <w:rFonts w:ascii="方正仿宋_GBK" w:hAnsi="方正仿宋_GBK" w:eastAsia="方正仿宋_GBK" w:cs="方正仿宋_GBK"/>
          <w:sz w:val="28"/>
          <w:szCs w:val="28"/>
        </w:rPr>
        <w:t>19</w:t>
      </w:r>
      <w:r>
        <w:rPr>
          <w:rFonts w:ascii="方正仿宋_GBK" w:hAnsi="方正仿宋_GBK" w:eastAsia="方正仿宋_GBK" w:cs="方正仿宋_GBK"/>
          <w:sz w:val="28"/>
          <w:szCs w:val="28"/>
        </w:rPr>
        <w:fldChar w:fldCharType="end"/>
      </w:r>
      <w:r>
        <w:rPr>
          <w:rFonts w:ascii="方正仿宋_GBK" w:hAnsi="方正仿宋_GBK" w:eastAsia="方正仿宋_GBK" w:cs="方正仿宋_GBK"/>
          <w:sz w:val="28"/>
          <w:szCs w:val="28"/>
        </w:rPr>
        <w:fldChar w:fldCharType="end"/>
      </w:r>
    </w:p>
    <w:p>
      <w:pPr>
        <w:pStyle w:val="16"/>
        <w:tabs>
          <w:tab w:val="right" w:leader="dot" w:pos="8845"/>
        </w:tabs>
        <w:spacing w:line="520" w:lineRule="exact"/>
        <w:rPr>
          <w:rFonts w:ascii="方正仿宋_GBK" w:hAnsi="方正仿宋_GBK" w:eastAsia="方正仿宋_GBK" w:cs="方正仿宋_GBK"/>
          <w:sz w:val="28"/>
          <w:szCs w:val="28"/>
        </w:rPr>
      </w:pPr>
      <w:r>
        <w:fldChar w:fldCharType="begin"/>
      </w:r>
      <w:r>
        <w:instrText xml:space="preserve"> HYPERLINK \l "_Toc29826" </w:instrText>
      </w:r>
      <w:r>
        <w:fldChar w:fldCharType="separate"/>
      </w:r>
      <w:r>
        <w:rPr>
          <w:rFonts w:hint="eastAsia" w:ascii="方正仿宋_GBK" w:hAnsi="方正仿宋_GBK" w:eastAsia="方正仿宋_GBK" w:cs="方正仿宋_GBK"/>
          <w:sz w:val="28"/>
          <w:szCs w:val="28"/>
        </w:rPr>
        <w:t>第四节</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规划范围与期限</w:t>
      </w:r>
      <w:r>
        <w:rPr>
          <w:rFonts w:ascii="方正仿宋_GBK" w:hAnsi="方正仿宋_GBK" w:eastAsia="方正仿宋_GBK" w:cs="方正仿宋_GBK"/>
          <w:sz w:val="28"/>
          <w:szCs w:val="28"/>
        </w:rPr>
        <w:tab/>
      </w:r>
      <w:r>
        <w:rPr>
          <w:rFonts w:ascii="方正仿宋_GBK" w:hAnsi="方正仿宋_GBK" w:eastAsia="方正仿宋_GBK" w:cs="方正仿宋_GBK"/>
          <w:sz w:val="28"/>
          <w:szCs w:val="28"/>
        </w:rPr>
        <w:fldChar w:fldCharType="begin"/>
      </w:r>
      <w:r>
        <w:rPr>
          <w:rFonts w:ascii="方正仿宋_GBK" w:hAnsi="方正仿宋_GBK" w:eastAsia="方正仿宋_GBK" w:cs="方正仿宋_GBK"/>
          <w:sz w:val="28"/>
          <w:szCs w:val="28"/>
        </w:rPr>
        <w:instrText xml:space="preserve"> PAGEREF _Toc29826 \h </w:instrText>
      </w:r>
      <w:r>
        <w:rPr>
          <w:rFonts w:ascii="方正仿宋_GBK" w:hAnsi="方正仿宋_GBK" w:eastAsia="方正仿宋_GBK" w:cs="方正仿宋_GBK"/>
          <w:sz w:val="28"/>
          <w:szCs w:val="28"/>
        </w:rPr>
        <w:fldChar w:fldCharType="separate"/>
      </w:r>
      <w:r>
        <w:rPr>
          <w:rFonts w:ascii="方正仿宋_GBK" w:hAnsi="方正仿宋_GBK" w:eastAsia="方正仿宋_GBK" w:cs="方正仿宋_GBK"/>
          <w:sz w:val="28"/>
          <w:szCs w:val="28"/>
        </w:rPr>
        <w:t>21</w:t>
      </w:r>
      <w:r>
        <w:rPr>
          <w:rFonts w:ascii="方正仿宋_GBK" w:hAnsi="方正仿宋_GBK" w:eastAsia="方正仿宋_GBK" w:cs="方正仿宋_GBK"/>
          <w:sz w:val="28"/>
          <w:szCs w:val="28"/>
        </w:rPr>
        <w:fldChar w:fldCharType="end"/>
      </w:r>
      <w:r>
        <w:rPr>
          <w:rFonts w:ascii="方正仿宋_GBK" w:hAnsi="方正仿宋_GBK" w:eastAsia="方正仿宋_GBK" w:cs="方正仿宋_GBK"/>
          <w:sz w:val="28"/>
          <w:szCs w:val="28"/>
        </w:rPr>
        <w:fldChar w:fldCharType="end"/>
      </w:r>
    </w:p>
    <w:p>
      <w:pPr>
        <w:pStyle w:val="14"/>
        <w:tabs>
          <w:tab w:val="right" w:leader="dot" w:pos="8845"/>
        </w:tabs>
        <w:spacing w:line="520" w:lineRule="exact"/>
        <w:rPr>
          <w:sz w:val="28"/>
          <w:szCs w:val="28"/>
        </w:rPr>
      </w:pPr>
      <w:r>
        <w:fldChar w:fldCharType="begin"/>
      </w:r>
      <w:r>
        <w:instrText xml:space="preserve"> HYPERLINK \l "_Toc9768" </w:instrText>
      </w:r>
      <w:r>
        <w:fldChar w:fldCharType="separate"/>
      </w:r>
      <w:r>
        <w:rPr>
          <w:rFonts w:hint="eastAsia" w:ascii="方正小标宋_GBK" w:hAnsi="方正小标宋_GBK" w:eastAsia="方正小标宋_GBK" w:cs="方正小标宋_GBK"/>
          <w:sz w:val="28"/>
          <w:szCs w:val="28"/>
        </w:rPr>
        <w:t>第三章</w:t>
      </w:r>
      <w:r>
        <w:rPr>
          <w:rFonts w:ascii="方正小标宋_GBK" w:hAnsi="方正小标宋_GBK" w:eastAsia="方正小标宋_GBK" w:cs="方正小标宋_GBK"/>
          <w:sz w:val="28"/>
          <w:szCs w:val="28"/>
        </w:rPr>
        <w:t xml:space="preserve"> </w:t>
      </w:r>
      <w:r>
        <w:rPr>
          <w:rFonts w:hint="eastAsia" w:ascii="方正小标宋_GBK" w:hAnsi="方正小标宋_GBK" w:eastAsia="方正小标宋_GBK" w:cs="方正小标宋_GBK"/>
          <w:sz w:val="28"/>
          <w:szCs w:val="28"/>
        </w:rPr>
        <w:t>生态保护修复总体布局</w:t>
      </w:r>
      <w:r>
        <w:rPr>
          <w:sz w:val="28"/>
          <w:szCs w:val="28"/>
        </w:rPr>
        <w:tab/>
      </w:r>
      <w:r>
        <w:rPr>
          <w:sz w:val="28"/>
          <w:szCs w:val="28"/>
        </w:rPr>
        <w:fldChar w:fldCharType="begin"/>
      </w:r>
      <w:r>
        <w:rPr>
          <w:sz w:val="28"/>
          <w:szCs w:val="28"/>
        </w:rPr>
        <w:instrText xml:space="preserve"> PAGEREF _Toc9768 \h </w:instrText>
      </w:r>
      <w:r>
        <w:rPr>
          <w:sz w:val="28"/>
          <w:szCs w:val="28"/>
        </w:rPr>
        <w:fldChar w:fldCharType="separate"/>
      </w:r>
      <w:r>
        <w:rPr>
          <w:sz w:val="28"/>
          <w:szCs w:val="28"/>
        </w:rPr>
        <w:t>22</w:t>
      </w:r>
      <w:r>
        <w:rPr>
          <w:sz w:val="28"/>
          <w:szCs w:val="28"/>
        </w:rPr>
        <w:fldChar w:fldCharType="end"/>
      </w:r>
      <w:r>
        <w:rPr>
          <w:sz w:val="28"/>
          <w:szCs w:val="28"/>
        </w:rPr>
        <w:fldChar w:fldCharType="end"/>
      </w:r>
    </w:p>
    <w:p>
      <w:pPr>
        <w:pStyle w:val="16"/>
        <w:tabs>
          <w:tab w:val="right" w:leader="dot" w:pos="8845"/>
        </w:tabs>
        <w:spacing w:line="520" w:lineRule="exact"/>
        <w:rPr>
          <w:rFonts w:ascii="方正仿宋_GBK" w:hAnsi="方正仿宋_GBK" w:eastAsia="方正仿宋_GBK" w:cs="方正仿宋_GBK"/>
          <w:sz w:val="28"/>
          <w:szCs w:val="28"/>
        </w:rPr>
      </w:pPr>
      <w:r>
        <w:fldChar w:fldCharType="begin"/>
      </w:r>
      <w:r>
        <w:instrText xml:space="preserve"> HYPERLINK \l "_Toc26166" </w:instrText>
      </w:r>
      <w:r>
        <w:fldChar w:fldCharType="separate"/>
      </w:r>
      <w:r>
        <w:rPr>
          <w:rFonts w:hint="eastAsia" w:ascii="方正仿宋_GBK" w:hAnsi="方正仿宋_GBK" w:eastAsia="方正仿宋_GBK" w:cs="方正仿宋_GBK"/>
          <w:sz w:val="28"/>
          <w:szCs w:val="28"/>
        </w:rPr>
        <w:t>第一节</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生态安全总体格局</w:t>
      </w:r>
      <w:r>
        <w:rPr>
          <w:rFonts w:ascii="方正仿宋_GBK" w:hAnsi="方正仿宋_GBK" w:eastAsia="方正仿宋_GBK" w:cs="方正仿宋_GBK"/>
          <w:sz w:val="28"/>
          <w:szCs w:val="28"/>
        </w:rPr>
        <w:tab/>
      </w:r>
      <w:r>
        <w:rPr>
          <w:rFonts w:ascii="方正仿宋_GBK" w:hAnsi="方正仿宋_GBK" w:eastAsia="方正仿宋_GBK" w:cs="方正仿宋_GBK"/>
          <w:sz w:val="28"/>
          <w:szCs w:val="28"/>
        </w:rPr>
        <w:fldChar w:fldCharType="begin"/>
      </w:r>
      <w:r>
        <w:rPr>
          <w:rFonts w:ascii="方正仿宋_GBK" w:hAnsi="方正仿宋_GBK" w:eastAsia="方正仿宋_GBK" w:cs="方正仿宋_GBK"/>
          <w:sz w:val="28"/>
          <w:szCs w:val="28"/>
        </w:rPr>
        <w:instrText xml:space="preserve"> PAGEREF _Toc26166 \h </w:instrText>
      </w:r>
      <w:r>
        <w:rPr>
          <w:rFonts w:ascii="方正仿宋_GBK" w:hAnsi="方正仿宋_GBK" w:eastAsia="方正仿宋_GBK" w:cs="方正仿宋_GBK"/>
          <w:sz w:val="28"/>
          <w:szCs w:val="28"/>
        </w:rPr>
        <w:fldChar w:fldCharType="separate"/>
      </w:r>
      <w:r>
        <w:rPr>
          <w:rFonts w:ascii="方正仿宋_GBK" w:hAnsi="方正仿宋_GBK" w:eastAsia="方正仿宋_GBK" w:cs="方正仿宋_GBK"/>
          <w:sz w:val="28"/>
          <w:szCs w:val="28"/>
        </w:rPr>
        <w:t>22</w:t>
      </w:r>
      <w:r>
        <w:rPr>
          <w:rFonts w:ascii="方正仿宋_GBK" w:hAnsi="方正仿宋_GBK" w:eastAsia="方正仿宋_GBK" w:cs="方正仿宋_GBK"/>
          <w:sz w:val="28"/>
          <w:szCs w:val="28"/>
        </w:rPr>
        <w:fldChar w:fldCharType="end"/>
      </w:r>
      <w:r>
        <w:rPr>
          <w:rFonts w:ascii="方正仿宋_GBK" w:hAnsi="方正仿宋_GBK" w:eastAsia="方正仿宋_GBK" w:cs="方正仿宋_GBK"/>
          <w:sz w:val="28"/>
          <w:szCs w:val="28"/>
        </w:rPr>
        <w:fldChar w:fldCharType="end"/>
      </w:r>
    </w:p>
    <w:p>
      <w:pPr>
        <w:pStyle w:val="16"/>
        <w:tabs>
          <w:tab w:val="right" w:leader="dot" w:pos="8845"/>
        </w:tabs>
        <w:spacing w:line="520" w:lineRule="exact"/>
        <w:rPr>
          <w:rFonts w:ascii="方正仿宋_GBK" w:hAnsi="方正仿宋_GBK" w:eastAsia="方正仿宋_GBK" w:cs="方正仿宋_GBK"/>
          <w:sz w:val="28"/>
          <w:szCs w:val="28"/>
        </w:rPr>
      </w:pPr>
      <w:r>
        <w:fldChar w:fldCharType="begin"/>
      </w:r>
      <w:r>
        <w:instrText xml:space="preserve"> HYPERLINK \l "_Toc15998" </w:instrText>
      </w:r>
      <w:r>
        <w:fldChar w:fldCharType="separate"/>
      </w:r>
      <w:r>
        <w:rPr>
          <w:rFonts w:hint="eastAsia" w:ascii="方正仿宋_GBK" w:hAnsi="方正仿宋_GBK" w:eastAsia="方正仿宋_GBK" w:cs="方正仿宋_GBK"/>
          <w:sz w:val="28"/>
          <w:szCs w:val="28"/>
        </w:rPr>
        <w:t>第二节</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生态保护修复分区</w:t>
      </w:r>
      <w:r>
        <w:rPr>
          <w:rFonts w:ascii="方正仿宋_GBK" w:hAnsi="方正仿宋_GBK" w:eastAsia="方正仿宋_GBK" w:cs="方正仿宋_GBK"/>
          <w:sz w:val="28"/>
          <w:szCs w:val="28"/>
        </w:rPr>
        <w:tab/>
      </w:r>
      <w:r>
        <w:rPr>
          <w:rFonts w:ascii="方正仿宋_GBK" w:hAnsi="方正仿宋_GBK" w:eastAsia="方正仿宋_GBK" w:cs="方正仿宋_GBK"/>
          <w:sz w:val="28"/>
          <w:szCs w:val="28"/>
        </w:rPr>
        <w:fldChar w:fldCharType="begin"/>
      </w:r>
      <w:r>
        <w:rPr>
          <w:rFonts w:ascii="方正仿宋_GBK" w:hAnsi="方正仿宋_GBK" w:eastAsia="方正仿宋_GBK" w:cs="方正仿宋_GBK"/>
          <w:sz w:val="28"/>
          <w:szCs w:val="28"/>
        </w:rPr>
        <w:instrText xml:space="preserve"> PAGEREF _Toc15998 \h </w:instrText>
      </w:r>
      <w:r>
        <w:rPr>
          <w:rFonts w:ascii="方正仿宋_GBK" w:hAnsi="方正仿宋_GBK" w:eastAsia="方正仿宋_GBK" w:cs="方正仿宋_GBK"/>
          <w:sz w:val="28"/>
          <w:szCs w:val="28"/>
        </w:rPr>
        <w:fldChar w:fldCharType="separate"/>
      </w:r>
      <w:r>
        <w:rPr>
          <w:rFonts w:ascii="方正仿宋_GBK" w:hAnsi="方正仿宋_GBK" w:eastAsia="方正仿宋_GBK" w:cs="方正仿宋_GBK"/>
          <w:sz w:val="28"/>
          <w:szCs w:val="28"/>
        </w:rPr>
        <w:t>23</w:t>
      </w:r>
      <w:r>
        <w:rPr>
          <w:rFonts w:ascii="方正仿宋_GBK" w:hAnsi="方正仿宋_GBK" w:eastAsia="方正仿宋_GBK" w:cs="方正仿宋_GBK"/>
          <w:sz w:val="28"/>
          <w:szCs w:val="28"/>
        </w:rPr>
        <w:fldChar w:fldCharType="end"/>
      </w:r>
      <w:r>
        <w:rPr>
          <w:rFonts w:ascii="方正仿宋_GBK" w:hAnsi="方正仿宋_GBK" w:eastAsia="方正仿宋_GBK" w:cs="方正仿宋_GBK"/>
          <w:sz w:val="28"/>
          <w:szCs w:val="28"/>
        </w:rPr>
        <w:fldChar w:fldCharType="end"/>
      </w:r>
    </w:p>
    <w:p>
      <w:pPr>
        <w:pStyle w:val="16"/>
        <w:tabs>
          <w:tab w:val="right" w:leader="dot" w:pos="8845"/>
        </w:tabs>
        <w:spacing w:line="520" w:lineRule="exact"/>
        <w:rPr>
          <w:rFonts w:ascii="方正仿宋_GBK" w:hAnsi="方正仿宋_GBK" w:eastAsia="方正仿宋_GBK" w:cs="方正仿宋_GBK"/>
          <w:sz w:val="28"/>
          <w:szCs w:val="28"/>
        </w:rPr>
      </w:pPr>
      <w:r>
        <w:fldChar w:fldCharType="begin"/>
      </w:r>
      <w:r>
        <w:instrText xml:space="preserve"> HYPERLINK \l "_Toc15667" </w:instrText>
      </w:r>
      <w:r>
        <w:fldChar w:fldCharType="separate"/>
      </w:r>
      <w:r>
        <w:rPr>
          <w:rFonts w:hint="eastAsia" w:ascii="方正仿宋_GBK" w:hAnsi="方正仿宋_GBK" w:eastAsia="方正仿宋_GBK" w:cs="方正仿宋_GBK"/>
          <w:sz w:val="28"/>
          <w:szCs w:val="28"/>
        </w:rPr>
        <w:t>第三节</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重点任务</w:t>
      </w:r>
      <w:r>
        <w:rPr>
          <w:rFonts w:ascii="方正仿宋_GBK" w:hAnsi="方正仿宋_GBK" w:eastAsia="方正仿宋_GBK" w:cs="方正仿宋_GBK"/>
          <w:sz w:val="28"/>
          <w:szCs w:val="28"/>
        </w:rPr>
        <w:tab/>
      </w:r>
      <w:r>
        <w:rPr>
          <w:rFonts w:ascii="方正仿宋_GBK" w:hAnsi="方正仿宋_GBK" w:eastAsia="方正仿宋_GBK" w:cs="方正仿宋_GBK"/>
          <w:sz w:val="28"/>
          <w:szCs w:val="28"/>
        </w:rPr>
        <w:fldChar w:fldCharType="begin"/>
      </w:r>
      <w:r>
        <w:rPr>
          <w:rFonts w:ascii="方正仿宋_GBK" w:hAnsi="方正仿宋_GBK" w:eastAsia="方正仿宋_GBK" w:cs="方正仿宋_GBK"/>
          <w:sz w:val="28"/>
          <w:szCs w:val="28"/>
        </w:rPr>
        <w:instrText xml:space="preserve"> PAGEREF _Toc15667 \h </w:instrText>
      </w:r>
      <w:r>
        <w:rPr>
          <w:rFonts w:ascii="方正仿宋_GBK" w:hAnsi="方正仿宋_GBK" w:eastAsia="方正仿宋_GBK" w:cs="方正仿宋_GBK"/>
          <w:sz w:val="28"/>
          <w:szCs w:val="28"/>
        </w:rPr>
        <w:fldChar w:fldCharType="separate"/>
      </w:r>
      <w:r>
        <w:rPr>
          <w:rFonts w:ascii="方正仿宋_GBK" w:hAnsi="方正仿宋_GBK" w:eastAsia="方正仿宋_GBK" w:cs="方正仿宋_GBK"/>
          <w:sz w:val="28"/>
          <w:szCs w:val="28"/>
        </w:rPr>
        <w:t>27</w:t>
      </w:r>
      <w:r>
        <w:rPr>
          <w:rFonts w:ascii="方正仿宋_GBK" w:hAnsi="方正仿宋_GBK" w:eastAsia="方正仿宋_GBK" w:cs="方正仿宋_GBK"/>
          <w:sz w:val="28"/>
          <w:szCs w:val="28"/>
        </w:rPr>
        <w:fldChar w:fldCharType="end"/>
      </w:r>
      <w:r>
        <w:rPr>
          <w:rFonts w:ascii="方正仿宋_GBK" w:hAnsi="方正仿宋_GBK" w:eastAsia="方正仿宋_GBK" w:cs="方正仿宋_GBK"/>
          <w:sz w:val="28"/>
          <w:szCs w:val="28"/>
        </w:rPr>
        <w:fldChar w:fldCharType="end"/>
      </w:r>
    </w:p>
    <w:p>
      <w:pPr>
        <w:pStyle w:val="14"/>
        <w:tabs>
          <w:tab w:val="right" w:leader="dot" w:pos="8845"/>
        </w:tabs>
        <w:spacing w:line="520" w:lineRule="exact"/>
        <w:rPr>
          <w:sz w:val="28"/>
          <w:szCs w:val="28"/>
        </w:rPr>
      </w:pPr>
      <w:r>
        <w:fldChar w:fldCharType="begin"/>
      </w:r>
      <w:r>
        <w:instrText xml:space="preserve"> HYPERLINK \l "_Toc8175" </w:instrText>
      </w:r>
      <w:r>
        <w:fldChar w:fldCharType="separate"/>
      </w:r>
      <w:r>
        <w:rPr>
          <w:rFonts w:hint="eastAsia" w:ascii="方正小标宋_GBK" w:hAnsi="方正小标宋_GBK" w:eastAsia="方正小标宋_GBK" w:cs="方正小标宋_GBK"/>
          <w:sz w:val="28"/>
          <w:szCs w:val="28"/>
        </w:rPr>
        <w:t>第四章</w:t>
      </w:r>
      <w:r>
        <w:rPr>
          <w:rFonts w:ascii="方正小标宋_GBK" w:hAnsi="方正小标宋_GBK" w:eastAsia="方正小标宋_GBK" w:cs="方正小标宋_GBK"/>
          <w:sz w:val="28"/>
          <w:szCs w:val="28"/>
        </w:rPr>
        <w:t xml:space="preserve"> </w:t>
      </w:r>
      <w:r>
        <w:rPr>
          <w:rFonts w:hint="eastAsia" w:ascii="方正小标宋_GBK" w:hAnsi="方正小标宋_GBK" w:eastAsia="方正小标宋_GBK" w:cs="方正小标宋_GBK"/>
          <w:sz w:val="28"/>
          <w:szCs w:val="28"/>
        </w:rPr>
        <w:t>生态修复重点工程</w:t>
      </w:r>
      <w:r>
        <w:rPr>
          <w:sz w:val="28"/>
          <w:szCs w:val="28"/>
        </w:rPr>
        <w:tab/>
      </w:r>
      <w:r>
        <w:rPr>
          <w:sz w:val="28"/>
          <w:szCs w:val="28"/>
        </w:rPr>
        <w:fldChar w:fldCharType="begin"/>
      </w:r>
      <w:r>
        <w:rPr>
          <w:sz w:val="28"/>
          <w:szCs w:val="28"/>
        </w:rPr>
        <w:instrText xml:space="preserve"> PAGEREF _Toc8175 \h </w:instrText>
      </w:r>
      <w:r>
        <w:rPr>
          <w:sz w:val="28"/>
          <w:szCs w:val="28"/>
        </w:rPr>
        <w:fldChar w:fldCharType="separate"/>
      </w:r>
      <w:r>
        <w:rPr>
          <w:sz w:val="28"/>
          <w:szCs w:val="28"/>
        </w:rPr>
        <w:t>35</w:t>
      </w:r>
      <w:r>
        <w:rPr>
          <w:sz w:val="28"/>
          <w:szCs w:val="28"/>
        </w:rPr>
        <w:fldChar w:fldCharType="end"/>
      </w:r>
      <w:r>
        <w:rPr>
          <w:sz w:val="28"/>
          <w:szCs w:val="28"/>
        </w:rPr>
        <w:fldChar w:fldCharType="end"/>
      </w:r>
    </w:p>
    <w:p>
      <w:pPr>
        <w:pStyle w:val="16"/>
        <w:tabs>
          <w:tab w:val="right" w:leader="dot" w:pos="8845"/>
        </w:tabs>
        <w:spacing w:line="520" w:lineRule="exact"/>
        <w:rPr>
          <w:rFonts w:ascii="方正仿宋_GBK" w:hAnsi="方正仿宋_GBK" w:eastAsia="方正仿宋_GBK" w:cs="方正仿宋_GBK"/>
          <w:sz w:val="28"/>
          <w:szCs w:val="28"/>
        </w:rPr>
      </w:pPr>
      <w:r>
        <w:fldChar w:fldCharType="begin"/>
      </w:r>
      <w:r>
        <w:instrText xml:space="preserve"> HYPERLINK \l "_Toc3225" </w:instrText>
      </w:r>
      <w:r>
        <w:fldChar w:fldCharType="separate"/>
      </w:r>
      <w:r>
        <w:rPr>
          <w:rFonts w:hint="eastAsia" w:ascii="方正仿宋_GBK" w:hAnsi="方正仿宋_GBK" w:eastAsia="方正仿宋_GBK" w:cs="方正仿宋_GBK"/>
          <w:sz w:val="28"/>
          <w:szCs w:val="28"/>
        </w:rPr>
        <w:t>第一节</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重点工程</w:t>
      </w:r>
      <w:r>
        <w:rPr>
          <w:rFonts w:ascii="方正仿宋_GBK" w:hAnsi="方正仿宋_GBK" w:eastAsia="方正仿宋_GBK" w:cs="方正仿宋_GBK"/>
          <w:sz w:val="28"/>
          <w:szCs w:val="28"/>
        </w:rPr>
        <w:tab/>
      </w:r>
      <w:r>
        <w:rPr>
          <w:rFonts w:ascii="方正仿宋_GBK" w:hAnsi="方正仿宋_GBK" w:eastAsia="方正仿宋_GBK" w:cs="方正仿宋_GBK"/>
          <w:sz w:val="28"/>
          <w:szCs w:val="28"/>
        </w:rPr>
        <w:fldChar w:fldCharType="begin"/>
      </w:r>
      <w:r>
        <w:rPr>
          <w:rFonts w:ascii="方正仿宋_GBK" w:hAnsi="方正仿宋_GBK" w:eastAsia="方正仿宋_GBK" w:cs="方正仿宋_GBK"/>
          <w:sz w:val="28"/>
          <w:szCs w:val="28"/>
        </w:rPr>
        <w:instrText xml:space="preserve"> PAGEREF _Toc3225 \h </w:instrText>
      </w:r>
      <w:r>
        <w:rPr>
          <w:rFonts w:ascii="方正仿宋_GBK" w:hAnsi="方正仿宋_GBK" w:eastAsia="方正仿宋_GBK" w:cs="方正仿宋_GBK"/>
          <w:sz w:val="28"/>
          <w:szCs w:val="28"/>
        </w:rPr>
        <w:fldChar w:fldCharType="separate"/>
      </w:r>
      <w:r>
        <w:rPr>
          <w:rFonts w:ascii="方正仿宋_GBK" w:hAnsi="方正仿宋_GBK" w:eastAsia="方正仿宋_GBK" w:cs="方正仿宋_GBK"/>
          <w:sz w:val="28"/>
          <w:szCs w:val="28"/>
        </w:rPr>
        <w:t>35</w:t>
      </w:r>
      <w:r>
        <w:rPr>
          <w:rFonts w:ascii="方正仿宋_GBK" w:hAnsi="方正仿宋_GBK" w:eastAsia="方正仿宋_GBK" w:cs="方正仿宋_GBK"/>
          <w:sz w:val="28"/>
          <w:szCs w:val="28"/>
        </w:rPr>
        <w:fldChar w:fldCharType="end"/>
      </w:r>
      <w:r>
        <w:rPr>
          <w:rFonts w:ascii="方正仿宋_GBK" w:hAnsi="方正仿宋_GBK" w:eastAsia="方正仿宋_GBK" w:cs="方正仿宋_GBK"/>
          <w:sz w:val="28"/>
          <w:szCs w:val="28"/>
        </w:rPr>
        <w:fldChar w:fldCharType="end"/>
      </w:r>
    </w:p>
    <w:p>
      <w:pPr>
        <w:pStyle w:val="16"/>
        <w:tabs>
          <w:tab w:val="right" w:leader="dot" w:pos="8845"/>
        </w:tabs>
        <w:spacing w:line="520" w:lineRule="exact"/>
        <w:rPr>
          <w:rFonts w:ascii="方正仿宋_GBK" w:hAnsi="方正仿宋_GBK" w:eastAsia="方正仿宋_GBK" w:cs="方正仿宋_GBK"/>
          <w:sz w:val="28"/>
          <w:szCs w:val="28"/>
        </w:rPr>
      </w:pPr>
      <w:r>
        <w:fldChar w:fldCharType="begin"/>
      </w:r>
      <w:r>
        <w:instrText xml:space="preserve"> HYPERLINK \l "_Toc27328" </w:instrText>
      </w:r>
      <w:r>
        <w:fldChar w:fldCharType="separate"/>
      </w:r>
      <w:r>
        <w:rPr>
          <w:rFonts w:hint="eastAsia" w:ascii="方正仿宋_GBK" w:hAnsi="方正仿宋_GBK" w:eastAsia="方正仿宋_GBK" w:cs="方正仿宋_GBK"/>
          <w:sz w:val="28"/>
          <w:szCs w:val="28"/>
        </w:rPr>
        <w:t>第二节</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工程资金估算</w:t>
      </w:r>
      <w:r>
        <w:rPr>
          <w:rFonts w:ascii="方正仿宋_GBK" w:hAnsi="方正仿宋_GBK" w:eastAsia="方正仿宋_GBK" w:cs="方正仿宋_GBK"/>
          <w:sz w:val="28"/>
          <w:szCs w:val="28"/>
        </w:rPr>
        <w:tab/>
      </w:r>
      <w:r>
        <w:rPr>
          <w:rFonts w:ascii="方正仿宋_GBK" w:hAnsi="方正仿宋_GBK" w:eastAsia="方正仿宋_GBK" w:cs="方正仿宋_GBK"/>
          <w:sz w:val="28"/>
          <w:szCs w:val="28"/>
        </w:rPr>
        <w:fldChar w:fldCharType="begin"/>
      </w:r>
      <w:r>
        <w:rPr>
          <w:rFonts w:ascii="方正仿宋_GBK" w:hAnsi="方正仿宋_GBK" w:eastAsia="方正仿宋_GBK" w:cs="方正仿宋_GBK"/>
          <w:sz w:val="28"/>
          <w:szCs w:val="28"/>
        </w:rPr>
        <w:instrText xml:space="preserve"> PAGEREF _Toc27328 \h </w:instrText>
      </w:r>
      <w:r>
        <w:rPr>
          <w:rFonts w:ascii="方正仿宋_GBK" w:hAnsi="方正仿宋_GBK" w:eastAsia="方正仿宋_GBK" w:cs="方正仿宋_GBK"/>
          <w:sz w:val="28"/>
          <w:szCs w:val="28"/>
        </w:rPr>
        <w:fldChar w:fldCharType="separate"/>
      </w:r>
      <w:r>
        <w:rPr>
          <w:rFonts w:ascii="方正仿宋_GBK" w:hAnsi="方正仿宋_GBK" w:eastAsia="方正仿宋_GBK" w:cs="方正仿宋_GBK"/>
          <w:sz w:val="28"/>
          <w:szCs w:val="28"/>
        </w:rPr>
        <w:t>42</w:t>
      </w:r>
      <w:r>
        <w:rPr>
          <w:rFonts w:ascii="方正仿宋_GBK" w:hAnsi="方正仿宋_GBK" w:eastAsia="方正仿宋_GBK" w:cs="方正仿宋_GBK"/>
          <w:sz w:val="28"/>
          <w:szCs w:val="28"/>
        </w:rPr>
        <w:fldChar w:fldCharType="end"/>
      </w:r>
      <w:r>
        <w:rPr>
          <w:rFonts w:ascii="方正仿宋_GBK" w:hAnsi="方正仿宋_GBK" w:eastAsia="方正仿宋_GBK" w:cs="方正仿宋_GBK"/>
          <w:sz w:val="28"/>
          <w:szCs w:val="28"/>
        </w:rPr>
        <w:fldChar w:fldCharType="end"/>
      </w:r>
    </w:p>
    <w:p>
      <w:pPr>
        <w:pStyle w:val="14"/>
        <w:tabs>
          <w:tab w:val="right" w:leader="dot" w:pos="8845"/>
        </w:tabs>
        <w:spacing w:line="520" w:lineRule="exact"/>
        <w:rPr>
          <w:sz w:val="28"/>
          <w:szCs w:val="28"/>
        </w:rPr>
      </w:pPr>
      <w:r>
        <w:fldChar w:fldCharType="begin"/>
      </w:r>
      <w:r>
        <w:instrText xml:space="preserve"> HYPERLINK \l "_Toc27466" </w:instrText>
      </w:r>
      <w:r>
        <w:fldChar w:fldCharType="separate"/>
      </w:r>
      <w:r>
        <w:rPr>
          <w:rFonts w:hint="eastAsia" w:ascii="方正小标宋_GBK" w:hAnsi="方正小标宋_GBK" w:eastAsia="方正小标宋_GBK" w:cs="方正小标宋_GBK"/>
          <w:sz w:val="28"/>
          <w:szCs w:val="28"/>
        </w:rPr>
        <w:t>第五章</w:t>
      </w:r>
      <w:r>
        <w:rPr>
          <w:rFonts w:ascii="方正小标宋_GBK" w:hAnsi="方正小标宋_GBK" w:eastAsia="方正小标宋_GBK" w:cs="方正小标宋_GBK"/>
          <w:sz w:val="28"/>
          <w:szCs w:val="28"/>
        </w:rPr>
        <w:t xml:space="preserve"> </w:t>
      </w:r>
      <w:r>
        <w:rPr>
          <w:rFonts w:hint="eastAsia" w:ascii="方正小标宋_GBK" w:hAnsi="方正小标宋_GBK" w:eastAsia="方正小标宋_GBK" w:cs="方正小标宋_GBK"/>
          <w:sz w:val="28"/>
          <w:szCs w:val="28"/>
        </w:rPr>
        <w:t>综合效益分析</w:t>
      </w:r>
      <w:r>
        <w:rPr>
          <w:sz w:val="28"/>
          <w:szCs w:val="28"/>
        </w:rPr>
        <w:tab/>
      </w:r>
      <w:r>
        <w:rPr>
          <w:sz w:val="28"/>
          <w:szCs w:val="28"/>
        </w:rPr>
        <w:fldChar w:fldCharType="begin"/>
      </w:r>
      <w:r>
        <w:rPr>
          <w:sz w:val="28"/>
          <w:szCs w:val="28"/>
        </w:rPr>
        <w:instrText xml:space="preserve"> PAGEREF _Toc27466 \h </w:instrText>
      </w:r>
      <w:r>
        <w:rPr>
          <w:sz w:val="28"/>
          <w:szCs w:val="28"/>
        </w:rPr>
        <w:fldChar w:fldCharType="separate"/>
      </w:r>
      <w:r>
        <w:rPr>
          <w:sz w:val="28"/>
          <w:szCs w:val="28"/>
        </w:rPr>
        <w:t>45</w:t>
      </w:r>
      <w:r>
        <w:rPr>
          <w:sz w:val="28"/>
          <w:szCs w:val="28"/>
        </w:rPr>
        <w:fldChar w:fldCharType="end"/>
      </w:r>
      <w:r>
        <w:rPr>
          <w:sz w:val="28"/>
          <w:szCs w:val="28"/>
        </w:rPr>
        <w:fldChar w:fldCharType="end"/>
      </w:r>
    </w:p>
    <w:p>
      <w:pPr>
        <w:pStyle w:val="16"/>
        <w:tabs>
          <w:tab w:val="right" w:leader="dot" w:pos="8845"/>
        </w:tabs>
        <w:spacing w:line="520" w:lineRule="exact"/>
        <w:rPr>
          <w:rFonts w:ascii="方正仿宋_GBK" w:hAnsi="方正仿宋_GBK" w:eastAsia="方正仿宋_GBK" w:cs="方正仿宋_GBK"/>
          <w:sz w:val="28"/>
          <w:szCs w:val="28"/>
        </w:rPr>
      </w:pPr>
      <w:r>
        <w:fldChar w:fldCharType="begin"/>
      </w:r>
      <w:r>
        <w:instrText xml:space="preserve"> HYPERLINK \l "_Toc7546" </w:instrText>
      </w:r>
      <w:r>
        <w:fldChar w:fldCharType="separate"/>
      </w:r>
      <w:r>
        <w:rPr>
          <w:rFonts w:hint="eastAsia" w:ascii="方正仿宋_GBK" w:hAnsi="方正仿宋_GBK" w:eastAsia="方正仿宋_GBK" w:cs="方正仿宋_GBK"/>
          <w:sz w:val="28"/>
          <w:szCs w:val="28"/>
        </w:rPr>
        <w:t>第一节</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生态效益分析</w:t>
      </w:r>
      <w:r>
        <w:rPr>
          <w:rFonts w:ascii="方正仿宋_GBK" w:hAnsi="方正仿宋_GBK" w:eastAsia="方正仿宋_GBK" w:cs="方正仿宋_GBK"/>
          <w:sz w:val="28"/>
          <w:szCs w:val="28"/>
        </w:rPr>
        <w:tab/>
      </w:r>
      <w:r>
        <w:rPr>
          <w:rFonts w:ascii="方正仿宋_GBK" w:hAnsi="方正仿宋_GBK" w:eastAsia="方正仿宋_GBK" w:cs="方正仿宋_GBK"/>
          <w:sz w:val="28"/>
          <w:szCs w:val="28"/>
        </w:rPr>
        <w:fldChar w:fldCharType="begin"/>
      </w:r>
      <w:r>
        <w:rPr>
          <w:rFonts w:ascii="方正仿宋_GBK" w:hAnsi="方正仿宋_GBK" w:eastAsia="方正仿宋_GBK" w:cs="方正仿宋_GBK"/>
          <w:sz w:val="28"/>
          <w:szCs w:val="28"/>
        </w:rPr>
        <w:instrText xml:space="preserve"> PAGEREF _Toc7546 \h </w:instrText>
      </w:r>
      <w:r>
        <w:rPr>
          <w:rFonts w:ascii="方正仿宋_GBK" w:hAnsi="方正仿宋_GBK" w:eastAsia="方正仿宋_GBK" w:cs="方正仿宋_GBK"/>
          <w:sz w:val="28"/>
          <w:szCs w:val="28"/>
        </w:rPr>
        <w:fldChar w:fldCharType="separate"/>
      </w:r>
      <w:r>
        <w:rPr>
          <w:rFonts w:ascii="方正仿宋_GBK" w:hAnsi="方正仿宋_GBK" w:eastAsia="方正仿宋_GBK" w:cs="方正仿宋_GBK"/>
          <w:sz w:val="28"/>
          <w:szCs w:val="28"/>
        </w:rPr>
        <w:t>45</w:t>
      </w:r>
      <w:r>
        <w:rPr>
          <w:rFonts w:ascii="方正仿宋_GBK" w:hAnsi="方正仿宋_GBK" w:eastAsia="方正仿宋_GBK" w:cs="方正仿宋_GBK"/>
          <w:sz w:val="28"/>
          <w:szCs w:val="28"/>
        </w:rPr>
        <w:fldChar w:fldCharType="end"/>
      </w:r>
      <w:r>
        <w:rPr>
          <w:rFonts w:ascii="方正仿宋_GBK" w:hAnsi="方正仿宋_GBK" w:eastAsia="方正仿宋_GBK" w:cs="方正仿宋_GBK"/>
          <w:sz w:val="28"/>
          <w:szCs w:val="28"/>
        </w:rPr>
        <w:fldChar w:fldCharType="end"/>
      </w:r>
    </w:p>
    <w:p>
      <w:pPr>
        <w:pStyle w:val="16"/>
        <w:tabs>
          <w:tab w:val="right" w:leader="dot" w:pos="8845"/>
        </w:tabs>
        <w:spacing w:line="520" w:lineRule="exact"/>
        <w:rPr>
          <w:rFonts w:ascii="方正仿宋_GBK" w:hAnsi="方正仿宋_GBK" w:eastAsia="方正仿宋_GBK" w:cs="方正仿宋_GBK"/>
          <w:sz w:val="28"/>
          <w:szCs w:val="28"/>
        </w:rPr>
      </w:pPr>
      <w:r>
        <w:fldChar w:fldCharType="begin"/>
      </w:r>
      <w:r>
        <w:instrText xml:space="preserve"> HYPERLINK \l "_Toc15473" </w:instrText>
      </w:r>
      <w:r>
        <w:fldChar w:fldCharType="separate"/>
      </w:r>
      <w:r>
        <w:rPr>
          <w:rFonts w:hint="eastAsia" w:ascii="方正仿宋_GBK" w:hAnsi="方正仿宋_GBK" w:eastAsia="方正仿宋_GBK" w:cs="方正仿宋_GBK"/>
          <w:sz w:val="28"/>
          <w:szCs w:val="28"/>
        </w:rPr>
        <w:t>第二节</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经济效益分析</w:t>
      </w:r>
      <w:r>
        <w:rPr>
          <w:rFonts w:ascii="方正仿宋_GBK" w:hAnsi="方正仿宋_GBK" w:eastAsia="方正仿宋_GBK" w:cs="方正仿宋_GBK"/>
          <w:sz w:val="28"/>
          <w:szCs w:val="28"/>
        </w:rPr>
        <w:tab/>
      </w:r>
      <w:r>
        <w:rPr>
          <w:rFonts w:ascii="方正仿宋_GBK" w:hAnsi="方正仿宋_GBK" w:eastAsia="方正仿宋_GBK" w:cs="方正仿宋_GBK"/>
          <w:sz w:val="28"/>
          <w:szCs w:val="28"/>
        </w:rPr>
        <w:fldChar w:fldCharType="begin"/>
      </w:r>
      <w:r>
        <w:rPr>
          <w:rFonts w:ascii="方正仿宋_GBK" w:hAnsi="方正仿宋_GBK" w:eastAsia="方正仿宋_GBK" w:cs="方正仿宋_GBK"/>
          <w:sz w:val="28"/>
          <w:szCs w:val="28"/>
        </w:rPr>
        <w:instrText xml:space="preserve"> PAGEREF _Toc15473 \h </w:instrText>
      </w:r>
      <w:r>
        <w:rPr>
          <w:rFonts w:ascii="方正仿宋_GBK" w:hAnsi="方正仿宋_GBK" w:eastAsia="方正仿宋_GBK" w:cs="方正仿宋_GBK"/>
          <w:sz w:val="28"/>
          <w:szCs w:val="28"/>
        </w:rPr>
        <w:fldChar w:fldCharType="separate"/>
      </w:r>
      <w:r>
        <w:rPr>
          <w:rFonts w:ascii="方正仿宋_GBK" w:hAnsi="方正仿宋_GBK" w:eastAsia="方正仿宋_GBK" w:cs="方正仿宋_GBK"/>
          <w:sz w:val="28"/>
          <w:szCs w:val="28"/>
        </w:rPr>
        <w:t>46</w:t>
      </w:r>
      <w:r>
        <w:rPr>
          <w:rFonts w:ascii="方正仿宋_GBK" w:hAnsi="方正仿宋_GBK" w:eastAsia="方正仿宋_GBK" w:cs="方正仿宋_GBK"/>
          <w:sz w:val="28"/>
          <w:szCs w:val="28"/>
        </w:rPr>
        <w:fldChar w:fldCharType="end"/>
      </w:r>
      <w:r>
        <w:rPr>
          <w:rFonts w:ascii="方正仿宋_GBK" w:hAnsi="方正仿宋_GBK" w:eastAsia="方正仿宋_GBK" w:cs="方正仿宋_GBK"/>
          <w:sz w:val="28"/>
          <w:szCs w:val="28"/>
        </w:rPr>
        <w:fldChar w:fldCharType="end"/>
      </w:r>
    </w:p>
    <w:p>
      <w:pPr>
        <w:pStyle w:val="16"/>
        <w:tabs>
          <w:tab w:val="right" w:leader="dot" w:pos="8845"/>
        </w:tabs>
        <w:spacing w:line="520" w:lineRule="exact"/>
        <w:rPr>
          <w:rFonts w:ascii="方正仿宋_GBK" w:hAnsi="方正仿宋_GBK" w:eastAsia="方正仿宋_GBK" w:cs="方正仿宋_GBK"/>
          <w:sz w:val="28"/>
          <w:szCs w:val="28"/>
        </w:rPr>
      </w:pPr>
      <w:r>
        <w:fldChar w:fldCharType="begin"/>
      </w:r>
      <w:r>
        <w:instrText xml:space="preserve"> HYPERLINK \l "_Toc22951" </w:instrText>
      </w:r>
      <w:r>
        <w:fldChar w:fldCharType="separate"/>
      </w:r>
      <w:r>
        <w:rPr>
          <w:rFonts w:hint="eastAsia" w:ascii="方正仿宋_GBK" w:hAnsi="方正仿宋_GBK" w:eastAsia="方正仿宋_GBK" w:cs="方正仿宋_GBK"/>
          <w:sz w:val="28"/>
          <w:szCs w:val="28"/>
        </w:rPr>
        <w:t>第三节</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社会效益分析</w:t>
      </w:r>
      <w:r>
        <w:rPr>
          <w:rFonts w:ascii="方正仿宋_GBK" w:hAnsi="方正仿宋_GBK" w:eastAsia="方正仿宋_GBK" w:cs="方正仿宋_GBK"/>
          <w:sz w:val="28"/>
          <w:szCs w:val="28"/>
        </w:rPr>
        <w:tab/>
      </w:r>
      <w:r>
        <w:rPr>
          <w:rFonts w:ascii="方正仿宋_GBK" w:hAnsi="方正仿宋_GBK" w:eastAsia="方正仿宋_GBK" w:cs="方正仿宋_GBK"/>
          <w:sz w:val="28"/>
          <w:szCs w:val="28"/>
        </w:rPr>
        <w:fldChar w:fldCharType="begin"/>
      </w:r>
      <w:r>
        <w:rPr>
          <w:rFonts w:ascii="方正仿宋_GBK" w:hAnsi="方正仿宋_GBK" w:eastAsia="方正仿宋_GBK" w:cs="方正仿宋_GBK"/>
          <w:sz w:val="28"/>
          <w:szCs w:val="28"/>
        </w:rPr>
        <w:instrText xml:space="preserve"> PAGEREF _Toc22951 \h </w:instrText>
      </w:r>
      <w:r>
        <w:rPr>
          <w:rFonts w:ascii="方正仿宋_GBK" w:hAnsi="方正仿宋_GBK" w:eastAsia="方正仿宋_GBK" w:cs="方正仿宋_GBK"/>
          <w:sz w:val="28"/>
          <w:szCs w:val="28"/>
        </w:rPr>
        <w:fldChar w:fldCharType="separate"/>
      </w:r>
      <w:r>
        <w:rPr>
          <w:rFonts w:ascii="方正仿宋_GBK" w:hAnsi="方正仿宋_GBK" w:eastAsia="方正仿宋_GBK" w:cs="方正仿宋_GBK"/>
          <w:sz w:val="28"/>
          <w:szCs w:val="28"/>
        </w:rPr>
        <w:t>46</w:t>
      </w:r>
      <w:r>
        <w:rPr>
          <w:rFonts w:ascii="方正仿宋_GBK" w:hAnsi="方正仿宋_GBK" w:eastAsia="方正仿宋_GBK" w:cs="方正仿宋_GBK"/>
          <w:sz w:val="28"/>
          <w:szCs w:val="28"/>
        </w:rPr>
        <w:fldChar w:fldCharType="end"/>
      </w:r>
      <w:r>
        <w:rPr>
          <w:rFonts w:ascii="方正仿宋_GBK" w:hAnsi="方正仿宋_GBK" w:eastAsia="方正仿宋_GBK" w:cs="方正仿宋_GBK"/>
          <w:sz w:val="28"/>
          <w:szCs w:val="28"/>
        </w:rPr>
        <w:fldChar w:fldCharType="end"/>
      </w:r>
    </w:p>
    <w:p>
      <w:pPr>
        <w:pStyle w:val="14"/>
        <w:tabs>
          <w:tab w:val="right" w:leader="dot" w:pos="8845"/>
        </w:tabs>
        <w:spacing w:line="520" w:lineRule="exact"/>
        <w:rPr>
          <w:sz w:val="28"/>
          <w:szCs w:val="28"/>
        </w:rPr>
      </w:pPr>
      <w:r>
        <w:fldChar w:fldCharType="begin"/>
      </w:r>
      <w:r>
        <w:instrText xml:space="preserve"> HYPERLINK \l "_Toc931" </w:instrText>
      </w:r>
      <w:r>
        <w:fldChar w:fldCharType="separate"/>
      </w:r>
      <w:r>
        <w:rPr>
          <w:rFonts w:hint="eastAsia" w:ascii="方正小标宋_GBK" w:hAnsi="方正小标宋_GBK" w:eastAsia="方正小标宋_GBK" w:cs="方正小标宋_GBK"/>
          <w:sz w:val="28"/>
          <w:szCs w:val="28"/>
        </w:rPr>
        <w:t>第六章</w:t>
      </w:r>
      <w:r>
        <w:rPr>
          <w:rFonts w:ascii="方正小标宋_GBK" w:hAnsi="方正小标宋_GBK" w:eastAsia="方正小标宋_GBK" w:cs="方正小标宋_GBK"/>
          <w:sz w:val="28"/>
          <w:szCs w:val="28"/>
        </w:rPr>
        <w:t xml:space="preserve"> </w:t>
      </w:r>
      <w:r>
        <w:rPr>
          <w:rFonts w:hint="eastAsia" w:ascii="方正小标宋_GBK" w:hAnsi="方正小标宋_GBK" w:eastAsia="方正小标宋_GBK" w:cs="方正小标宋_GBK"/>
          <w:sz w:val="28"/>
          <w:szCs w:val="28"/>
        </w:rPr>
        <w:t>保障措施</w:t>
      </w:r>
      <w:r>
        <w:rPr>
          <w:sz w:val="28"/>
          <w:szCs w:val="28"/>
        </w:rPr>
        <w:tab/>
      </w:r>
      <w:r>
        <w:rPr>
          <w:sz w:val="28"/>
          <w:szCs w:val="28"/>
        </w:rPr>
        <w:fldChar w:fldCharType="begin"/>
      </w:r>
      <w:r>
        <w:rPr>
          <w:sz w:val="28"/>
          <w:szCs w:val="28"/>
        </w:rPr>
        <w:instrText xml:space="preserve"> PAGEREF _Toc931 \h </w:instrText>
      </w:r>
      <w:r>
        <w:rPr>
          <w:sz w:val="28"/>
          <w:szCs w:val="28"/>
        </w:rPr>
        <w:fldChar w:fldCharType="separate"/>
      </w:r>
      <w:r>
        <w:rPr>
          <w:sz w:val="28"/>
          <w:szCs w:val="28"/>
        </w:rPr>
        <w:t>48</w:t>
      </w:r>
      <w:r>
        <w:rPr>
          <w:sz w:val="28"/>
          <w:szCs w:val="28"/>
        </w:rPr>
        <w:fldChar w:fldCharType="end"/>
      </w:r>
      <w:r>
        <w:rPr>
          <w:sz w:val="28"/>
          <w:szCs w:val="28"/>
        </w:rPr>
        <w:fldChar w:fldCharType="end"/>
      </w:r>
    </w:p>
    <w:p>
      <w:pPr>
        <w:pStyle w:val="16"/>
        <w:tabs>
          <w:tab w:val="right" w:leader="dot" w:pos="8845"/>
        </w:tabs>
        <w:spacing w:line="520" w:lineRule="exact"/>
        <w:rPr>
          <w:rFonts w:ascii="方正仿宋_GBK" w:hAnsi="方正仿宋_GBK" w:eastAsia="方正仿宋_GBK" w:cs="方正仿宋_GBK"/>
          <w:sz w:val="28"/>
          <w:szCs w:val="28"/>
        </w:rPr>
      </w:pPr>
      <w:r>
        <w:fldChar w:fldCharType="begin"/>
      </w:r>
      <w:r>
        <w:instrText xml:space="preserve"> HYPERLINK \l "_Toc28934" </w:instrText>
      </w:r>
      <w:r>
        <w:fldChar w:fldCharType="separate"/>
      </w:r>
      <w:r>
        <w:rPr>
          <w:rFonts w:hint="eastAsia" w:ascii="方正仿宋_GBK" w:hAnsi="方正仿宋_GBK" w:eastAsia="方正仿宋_GBK" w:cs="方正仿宋_GBK"/>
          <w:sz w:val="28"/>
          <w:szCs w:val="28"/>
        </w:rPr>
        <w:t>第一节</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创新体制机制</w:t>
      </w:r>
      <w:r>
        <w:rPr>
          <w:rFonts w:ascii="方正仿宋_GBK" w:hAnsi="方正仿宋_GBK" w:eastAsia="方正仿宋_GBK" w:cs="方正仿宋_GBK"/>
          <w:sz w:val="28"/>
          <w:szCs w:val="28"/>
        </w:rPr>
        <w:tab/>
      </w:r>
      <w:r>
        <w:rPr>
          <w:rFonts w:ascii="方正仿宋_GBK" w:hAnsi="方正仿宋_GBK" w:eastAsia="方正仿宋_GBK" w:cs="方正仿宋_GBK"/>
          <w:sz w:val="28"/>
          <w:szCs w:val="28"/>
        </w:rPr>
        <w:fldChar w:fldCharType="begin"/>
      </w:r>
      <w:r>
        <w:rPr>
          <w:rFonts w:ascii="方正仿宋_GBK" w:hAnsi="方正仿宋_GBK" w:eastAsia="方正仿宋_GBK" w:cs="方正仿宋_GBK"/>
          <w:sz w:val="28"/>
          <w:szCs w:val="28"/>
        </w:rPr>
        <w:instrText xml:space="preserve"> PAGEREF _Toc28934 \h </w:instrText>
      </w:r>
      <w:r>
        <w:rPr>
          <w:rFonts w:ascii="方正仿宋_GBK" w:hAnsi="方正仿宋_GBK" w:eastAsia="方正仿宋_GBK" w:cs="方正仿宋_GBK"/>
          <w:sz w:val="28"/>
          <w:szCs w:val="28"/>
        </w:rPr>
        <w:fldChar w:fldCharType="separate"/>
      </w:r>
      <w:r>
        <w:rPr>
          <w:rFonts w:ascii="方正仿宋_GBK" w:hAnsi="方正仿宋_GBK" w:eastAsia="方正仿宋_GBK" w:cs="方正仿宋_GBK"/>
          <w:sz w:val="28"/>
          <w:szCs w:val="28"/>
        </w:rPr>
        <w:t>48</w:t>
      </w:r>
      <w:r>
        <w:rPr>
          <w:rFonts w:ascii="方正仿宋_GBK" w:hAnsi="方正仿宋_GBK" w:eastAsia="方正仿宋_GBK" w:cs="方正仿宋_GBK"/>
          <w:sz w:val="28"/>
          <w:szCs w:val="28"/>
        </w:rPr>
        <w:fldChar w:fldCharType="end"/>
      </w:r>
      <w:r>
        <w:rPr>
          <w:rFonts w:ascii="方正仿宋_GBK" w:hAnsi="方正仿宋_GBK" w:eastAsia="方正仿宋_GBK" w:cs="方正仿宋_GBK"/>
          <w:sz w:val="28"/>
          <w:szCs w:val="28"/>
        </w:rPr>
        <w:fldChar w:fldCharType="end"/>
      </w:r>
    </w:p>
    <w:p>
      <w:pPr>
        <w:pStyle w:val="16"/>
        <w:tabs>
          <w:tab w:val="right" w:leader="dot" w:pos="8845"/>
        </w:tabs>
        <w:spacing w:line="520" w:lineRule="exact"/>
        <w:rPr>
          <w:rFonts w:ascii="方正仿宋_GBK" w:hAnsi="方正仿宋_GBK" w:eastAsia="方正仿宋_GBK" w:cs="方正仿宋_GBK"/>
          <w:sz w:val="28"/>
          <w:szCs w:val="28"/>
        </w:rPr>
      </w:pPr>
      <w:r>
        <w:fldChar w:fldCharType="begin"/>
      </w:r>
      <w:r>
        <w:instrText xml:space="preserve"> HYPERLINK \l "_Toc22092" </w:instrText>
      </w:r>
      <w:r>
        <w:fldChar w:fldCharType="separate"/>
      </w:r>
      <w:r>
        <w:rPr>
          <w:rFonts w:hint="eastAsia" w:ascii="方正仿宋_GBK" w:hAnsi="方正仿宋_GBK" w:eastAsia="方正仿宋_GBK" w:cs="方正仿宋_GBK"/>
          <w:sz w:val="28"/>
          <w:szCs w:val="28"/>
        </w:rPr>
        <w:t>第二节</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建立政策体系</w:t>
      </w:r>
      <w:r>
        <w:rPr>
          <w:rFonts w:ascii="方正仿宋_GBK" w:hAnsi="方正仿宋_GBK" w:eastAsia="方正仿宋_GBK" w:cs="方正仿宋_GBK"/>
          <w:sz w:val="28"/>
          <w:szCs w:val="28"/>
        </w:rPr>
        <w:tab/>
      </w:r>
      <w:r>
        <w:rPr>
          <w:rFonts w:ascii="方正仿宋_GBK" w:hAnsi="方正仿宋_GBK" w:eastAsia="方正仿宋_GBK" w:cs="方正仿宋_GBK"/>
          <w:sz w:val="28"/>
          <w:szCs w:val="28"/>
        </w:rPr>
        <w:fldChar w:fldCharType="begin"/>
      </w:r>
      <w:r>
        <w:rPr>
          <w:rFonts w:ascii="方正仿宋_GBK" w:hAnsi="方正仿宋_GBK" w:eastAsia="方正仿宋_GBK" w:cs="方正仿宋_GBK"/>
          <w:sz w:val="28"/>
          <w:szCs w:val="28"/>
        </w:rPr>
        <w:instrText xml:space="preserve"> PAGEREF _Toc22092 \h </w:instrText>
      </w:r>
      <w:r>
        <w:rPr>
          <w:rFonts w:ascii="方正仿宋_GBK" w:hAnsi="方正仿宋_GBK" w:eastAsia="方正仿宋_GBK" w:cs="方正仿宋_GBK"/>
          <w:sz w:val="28"/>
          <w:szCs w:val="28"/>
        </w:rPr>
        <w:fldChar w:fldCharType="separate"/>
      </w:r>
      <w:r>
        <w:rPr>
          <w:rFonts w:ascii="方正仿宋_GBK" w:hAnsi="方正仿宋_GBK" w:eastAsia="方正仿宋_GBK" w:cs="方正仿宋_GBK"/>
          <w:sz w:val="28"/>
          <w:szCs w:val="28"/>
        </w:rPr>
        <w:t>48</w:t>
      </w:r>
      <w:r>
        <w:rPr>
          <w:rFonts w:ascii="方正仿宋_GBK" w:hAnsi="方正仿宋_GBK" w:eastAsia="方正仿宋_GBK" w:cs="方正仿宋_GBK"/>
          <w:sz w:val="28"/>
          <w:szCs w:val="28"/>
        </w:rPr>
        <w:fldChar w:fldCharType="end"/>
      </w:r>
      <w:r>
        <w:rPr>
          <w:rFonts w:ascii="方正仿宋_GBK" w:hAnsi="方正仿宋_GBK" w:eastAsia="方正仿宋_GBK" w:cs="方正仿宋_GBK"/>
          <w:sz w:val="28"/>
          <w:szCs w:val="28"/>
        </w:rPr>
        <w:fldChar w:fldCharType="end"/>
      </w:r>
    </w:p>
    <w:p>
      <w:pPr>
        <w:pStyle w:val="16"/>
        <w:tabs>
          <w:tab w:val="right" w:leader="dot" w:pos="8845"/>
        </w:tabs>
        <w:spacing w:line="520" w:lineRule="exact"/>
        <w:rPr>
          <w:rFonts w:ascii="方正仿宋_GBK" w:hAnsi="方正仿宋_GBK" w:eastAsia="方正仿宋_GBK" w:cs="方正仿宋_GBK"/>
          <w:sz w:val="28"/>
          <w:szCs w:val="28"/>
        </w:rPr>
      </w:pPr>
      <w:r>
        <w:fldChar w:fldCharType="begin"/>
      </w:r>
      <w:r>
        <w:instrText xml:space="preserve"> HYPERLINK \l "_Toc4055" </w:instrText>
      </w:r>
      <w:r>
        <w:fldChar w:fldCharType="separate"/>
      </w:r>
      <w:r>
        <w:rPr>
          <w:rFonts w:hint="eastAsia" w:ascii="方正仿宋_GBK" w:hAnsi="方正仿宋_GBK" w:eastAsia="方正仿宋_GBK" w:cs="方正仿宋_GBK"/>
          <w:sz w:val="28"/>
          <w:szCs w:val="28"/>
        </w:rPr>
        <w:t>第三节</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落实规划传导</w:t>
      </w:r>
      <w:r>
        <w:rPr>
          <w:rFonts w:ascii="方正仿宋_GBK" w:hAnsi="方正仿宋_GBK" w:eastAsia="方正仿宋_GBK" w:cs="方正仿宋_GBK"/>
          <w:sz w:val="28"/>
          <w:szCs w:val="28"/>
        </w:rPr>
        <w:tab/>
      </w:r>
      <w:r>
        <w:rPr>
          <w:rFonts w:ascii="方正仿宋_GBK" w:hAnsi="方正仿宋_GBK" w:eastAsia="方正仿宋_GBK" w:cs="方正仿宋_GBK"/>
          <w:sz w:val="28"/>
          <w:szCs w:val="28"/>
        </w:rPr>
        <w:fldChar w:fldCharType="begin"/>
      </w:r>
      <w:r>
        <w:rPr>
          <w:rFonts w:ascii="方正仿宋_GBK" w:hAnsi="方正仿宋_GBK" w:eastAsia="方正仿宋_GBK" w:cs="方正仿宋_GBK"/>
          <w:sz w:val="28"/>
          <w:szCs w:val="28"/>
        </w:rPr>
        <w:instrText xml:space="preserve"> PAGEREF _Toc4055 \h </w:instrText>
      </w:r>
      <w:r>
        <w:rPr>
          <w:rFonts w:ascii="方正仿宋_GBK" w:hAnsi="方正仿宋_GBK" w:eastAsia="方正仿宋_GBK" w:cs="方正仿宋_GBK"/>
          <w:sz w:val="28"/>
          <w:szCs w:val="28"/>
        </w:rPr>
        <w:fldChar w:fldCharType="separate"/>
      </w:r>
      <w:r>
        <w:rPr>
          <w:rFonts w:ascii="方正仿宋_GBK" w:hAnsi="方正仿宋_GBK" w:eastAsia="方正仿宋_GBK" w:cs="方正仿宋_GBK"/>
          <w:sz w:val="28"/>
          <w:szCs w:val="28"/>
        </w:rPr>
        <w:t>49</w:t>
      </w:r>
      <w:r>
        <w:rPr>
          <w:rFonts w:ascii="方正仿宋_GBK" w:hAnsi="方正仿宋_GBK" w:eastAsia="方正仿宋_GBK" w:cs="方正仿宋_GBK"/>
          <w:sz w:val="28"/>
          <w:szCs w:val="28"/>
        </w:rPr>
        <w:fldChar w:fldCharType="end"/>
      </w:r>
      <w:r>
        <w:rPr>
          <w:rFonts w:ascii="方正仿宋_GBK" w:hAnsi="方正仿宋_GBK" w:eastAsia="方正仿宋_GBK" w:cs="方正仿宋_GBK"/>
          <w:sz w:val="28"/>
          <w:szCs w:val="28"/>
        </w:rPr>
        <w:fldChar w:fldCharType="end"/>
      </w:r>
    </w:p>
    <w:p>
      <w:pPr>
        <w:pStyle w:val="16"/>
        <w:tabs>
          <w:tab w:val="right" w:leader="dot" w:pos="8845"/>
        </w:tabs>
        <w:spacing w:line="520" w:lineRule="exact"/>
        <w:rPr>
          <w:rFonts w:ascii="方正仿宋_GBK" w:hAnsi="方正仿宋_GBK" w:eastAsia="方正仿宋_GBK" w:cs="方正仿宋_GBK"/>
          <w:sz w:val="28"/>
          <w:szCs w:val="28"/>
        </w:rPr>
      </w:pPr>
      <w:r>
        <w:fldChar w:fldCharType="begin"/>
      </w:r>
      <w:r>
        <w:instrText xml:space="preserve"> HYPERLINK \l "_Toc4621" </w:instrText>
      </w:r>
      <w:r>
        <w:fldChar w:fldCharType="separate"/>
      </w:r>
      <w:r>
        <w:rPr>
          <w:rFonts w:hint="eastAsia" w:ascii="方正仿宋_GBK" w:hAnsi="方正仿宋_GBK" w:eastAsia="方正仿宋_GBK" w:cs="方正仿宋_GBK"/>
          <w:sz w:val="28"/>
          <w:szCs w:val="28"/>
        </w:rPr>
        <w:t>第四节</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强化资金保障</w:t>
      </w:r>
      <w:r>
        <w:rPr>
          <w:rFonts w:ascii="方正仿宋_GBK" w:hAnsi="方正仿宋_GBK" w:eastAsia="方正仿宋_GBK" w:cs="方正仿宋_GBK"/>
          <w:sz w:val="28"/>
          <w:szCs w:val="28"/>
        </w:rPr>
        <w:tab/>
      </w:r>
      <w:r>
        <w:rPr>
          <w:rFonts w:ascii="方正仿宋_GBK" w:hAnsi="方正仿宋_GBK" w:eastAsia="方正仿宋_GBK" w:cs="方正仿宋_GBK"/>
          <w:sz w:val="28"/>
          <w:szCs w:val="28"/>
        </w:rPr>
        <w:fldChar w:fldCharType="begin"/>
      </w:r>
      <w:r>
        <w:rPr>
          <w:rFonts w:ascii="方正仿宋_GBK" w:hAnsi="方正仿宋_GBK" w:eastAsia="方正仿宋_GBK" w:cs="方正仿宋_GBK"/>
          <w:sz w:val="28"/>
          <w:szCs w:val="28"/>
        </w:rPr>
        <w:instrText xml:space="preserve"> PAGEREF _Toc4621 \h </w:instrText>
      </w:r>
      <w:r>
        <w:rPr>
          <w:rFonts w:ascii="方正仿宋_GBK" w:hAnsi="方正仿宋_GBK" w:eastAsia="方正仿宋_GBK" w:cs="方正仿宋_GBK"/>
          <w:sz w:val="28"/>
          <w:szCs w:val="28"/>
        </w:rPr>
        <w:fldChar w:fldCharType="separate"/>
      </w:r>
      <w:r>
        <w:rPr>
          <w:rFonts w:ascii="方正仿宋_GBK" w:hAnsi="方正仿宋_GBK" w:eastAsia="方正仿宋_GBK" w:cs="方正仿宋_GBK"/>
          <w:sz w:val="28"/>
          <w:szCs w:val="28"/>
        </w:rPr>
        <w:t>49</w:t>
      </w:r>
      <w:r>
        <w:rPr>
          <w:rFonts w:ascii="方正仿宋_GBK" w:hAnsi="方正仿宋_GBK" w:eastAsia="方正仿宋_GBK" w:cs="方正仿宋_GBK"/>
          <w:sz w:val="28"/>
          <w:szCs w:val="28"/>
        </w:rPr>
        <w:fldChar w:fldCharType="end"/>
      </w:r>
      <w:r>
        <w:rPr>
          <w:rFonts w:ascii="方正仿宋_GBK" w:hAnsi="方正仿宋_GBK" w:eastAsia="方正仿宋_GBK" w:cs="方正仿宋_GBK"/>
          <w:sz w:val="28"/>
          <w:szCs w:val="28"/>
        </w:rPr>
        <w:fldChar w:fldCharType="end"/>
      </w:r>
    </w:p>
    <w:p>
      <w:pPr>
        <w:pStyle w:val="16"/>
        <w:tabs>
          <w:tab w:val="right" w:leader="dot" w:pos="8845"/>
        </w:tabs>
        <w:spacing w:line="520" w:lineRule="exact"/>
        <w:rPr>
          <w:rFonts w:ascii="方正仿宋_GBK" w:hAnsi="方正仿宋_GBK" w:eastAsia="方正仿宋_GBK" w:cs="方正仿宋_GBK"/>
          <w:sz w:val="28"/>
          <w:szCs w:val="28"/>
        </w:rPr>
      </w:pPr>
      <w:r>
        <w:fldChar w:fldCharType="begin"/>
      </w:r>
      <w:r>
        <w:instrText xml:space="preserve"> HYPERLINK \l "_Toc32282" </w:instrText>
      </w:r>
      <w:r>
        <w:fldChar w:fldCharType="separate"/>
      </w:r>
      <w:r>
        <w:rPr>
          <w:rFonts w:hint="eastAsia" w:ascii="方正仿宋_GBK" w:hAnsi="方正仿宋_GBK" w:eastAsia="方正仿宋_GBK" w:cs="方正仿宋_GBK"/>
          <w:sz w:val="28"/>
          <w:szCs w:val="28"/>
        </w:rPr>
        <w:t>第五节</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加强科技支撑</w:t>
      </w:r>
      <w:r>
        <w:rPr>
          <w:rFonts w:ascii="方正仿宋_GBK" w:hAnsi="方正仿宋_GBK" w:eastAsia="方正仿宋_GBK" w:cs="方正仿宋_GBK"/>
          <w:sz w:val="28"/>
          <w:szCs w:val="28"/>
        </w:rPr>
        <w:tab/>
      </w:r>
      <w:r>
        <w:rPr>
          <w:rFonts w:ascii="方正仿宋_GBK" w:hAnsi="方正仿宋_GBK" w:eastAsia="方正仿宋_GBK" w:cs="方正仿宋_GBK"/>
          <w:sz w:val="28"/>
          <w:szCs w:val="28"/>
        </w:rPr>
        <w:fldChar w:fldCharType="begin"/>
      </w:r>
      <w:r>
        <w:rPr>
          <w:rFonts w:ascii="方正仿宋_GBK" w:hAnsi="方正仿宋_GBK" w:eastAsia="方正仿宋_GBK" w:cs="方正仿宋_GBK"/>
          <w:sz w:val="28"/>
          <w:szCs w:val="28"/>
        </w:rPr>
        <w:instrText xml:space="preserve"> PAGEREF _Toc32282 \h </w:instrText>
      </w:r>
      <w:r>
        <w:rPr>
          <w:rFonts w:ascii="方正仿宋_GBK" w:hAnsi="方正仿宋_GBK" w:eastAsia="方正仿宋_GBK" w:cs="方正仿宋_GBK"/>
          <w:sz w:val="28"/>
          <w:szCs w:val="28"/>
        </w:rPr>
        <w:fldChar w:fldCharType="separate"/>
      </w:r>
      <w:r>
        <w:rPr>
          <w:rFonts w:ascii="方正仿宋_GBK" w:hAnsi="方正仿宋_GBK" w:eastAsia="方正仿宋_GBK" w:cs="方正仿宋_GBK"/>
          <w:sz w:val="28"/>
          <w:szCs w:val="28"/>
        </w:rPr>
        <w:t>50</w:t>
      </w:r>
      <w:r>
        <w:rPr>
          <w:rFonts w:ascii="方正仿宋_GBK" w:hAnsi="方正仿宋_GBK" w:eastAsia="方正仿宋_GBK" w:cs="方正仿宋_GBK"/>
          <w:sz w:val="28"/>
          <w:szCs w:val="28"/>
        </w:rPr>
        <w:fldChar w:fldCharType="end"/>
      </w:r>
      <w:r>
        <w:rPr>
          <w:rFonts w:ascii="方正仿宋_GBK" w:hAnsi="方正仿宋_GBK" w:eastAsia="方正仿宋_GBK" w:cs="方正仿宋_GBK"/>
          <w:sz w:val="28"/>
          <w:szCs w:val="28"/>
        </w:rPr>
        <w:fldChar w:fldCharType="end"/>
      </w:r>
    </w:p>
    <w:p>
      <w:pPr>
        <w:pStyle w:val="16"/>
        <w:tabs>
          <w:tab w:val="right" w:leader="dot" w:pos="8845"/>
        </w:tabs>
        <w:spacing w:line="520" w:lineRule="exact"/>
        <w:rPr>
          <w:rFonts w:ascii="方正仿宋_GBK" w:hAnsi="方正仿宋_GBK" w:eastAsia="方正仿宋_GBK" w:cs="方正仿宋_GBK"/>
          <w:sz w:val="28"/>
          <w:szCs w:val="28"/>
        </w:rPr>
      </w:pPr>
      <w:r>
        <w:fldChar w:fldCharType="begin"/>
      </w:r>
      <w:r>
        <w:instrText xml:space="preserve"> HYPERLINK \l "_Toc9306" </w:instrText>
      </w:r>
      <w:r>
        <w:fldChar w:fldCharType="separate"/>
      </w:r>
      <w:r>
        <w:rPr>
          <w:rFonts w:hint="eastAsia" w:ascii="方正仿宋_GBK" w:hAnsi="方正仿宋_GBK" w:eastAsia="方正仿宋_GBK" w:cs="方正仿宋_GBK"/>
          <w:sz w:val="28"/>
          <w:szCs w:val="28"/>
        </w:rPr>
        <w:t>第六节</w:t>
      </w:r>
      <w:r>
        <w:rPr>
          <w:rFonts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t>鼓励公众参与</w:t>
      </w:r>
      <w:r>
        <w:rPr>
          <w:rFonts w:ascii="方正仿宋_GBK" w:hAnsi="方正仿宋_GBK" w:eastAsia="方正仿宋_GBK" w:cs="方正仿宋_GBK"/>
          <w:sz w:val="28"/>
          <w:szCs w:val="28"/>
        </w:rPr>
        <w:tab/>
      </w:r>
      <w:r>
        <w:rPr>
          <w:rFonts w:ascii="方正仿宋_GBK" w:hAnsi="方正仿宋_GBK" w:eastAsia="方正仿宋_GBK" w:cs="方正仿宋_GBK"/>
          <w:sz w:val="28"/>
          <w:szCs w:val="28"/>
        </w:rPr>
        <w:fldChar w:fldCharType="begin"/>
      </w:r>
      <w:r>
        <w:rPr>
          <w:rFonts w:ascii="方正仿宋_GBK" w:hAnsi="方正仿宋_GBK" w:eastAsia="方正仿宋_GBK" w:cs="方正仿宋_GBK"/>
          <w:sz w:val="28"/>
          <w:szCs w:val="28"/>
        </w:rPr>
        <w:instrText xml:space="preserve"> PAGEREF _Toc9306 \h </w:instrText>
      </w:r>
      <w:r>
        <w:rPr>
          <w:rFonts w:ascii="方正仿宋_GBK" w:hAnsi="方正仿宋_GBK" w:eastAsia="方正仿宋_GBK" w:cs="方正仿宋_GBK"/>
          <w:sz w:val="28"/>
          <w:szCs w:val="28"/>
        </w:rPr>
        <w:fldChar w:fldCharType="separate"/>
      </w:r>
      <w:r>
        <w:rPr>
          <w:rFonts w:ascii="方正仿宋_GBK" w:hAnsi="方正仿宋_GBK" w:eastAsia="方正仿宋_GBK" w:cs="方正仿宋_GBK"/>
          <w:sz w:val="28"/>
          <w:szCs w:val="28"/>
        </w:rPr>
        <w:t>50</w:t>
      </w:r>
      <w:r>
        <w:rPr>
          <w:rFonts w:ascii="方正仿宋_GBK" w:hAnsi="方正仿宋_GBK" w:eastAsia="方正仿宋_GBK" w:cs="方正仿宋_GBK"/>
          <w:sz w:val="28"/>
          <w:szCs w:val="28"/>
        </w:rPr>
        <w:fldChar w:fldCharType="end"/>
      </w:r>
      <w:r>
        <w:rPr>
          <w:rFonts w:ascii="方正仿宋_GBK" w:hAnsi="方正仿宋_GBK" w:eastAsia="方正仿宋_GBK" w:cs="方正仿宋_GBK"/>
          <w:sz w:val="28"/>
          <w:szCs w:val="28"/>
        </w:rPr>
        <w:fldChar w:fldCharType="end"/>
      </w:r>
    </w:p>
    <w:p>
      <w:pPr>
        <w:pStyle w:val="14"/>
        <w:tabs>
          <w:tab w:val="right" w:leader="dot" w:pos="8845"/>
        </w:tabs>
        <w:spacing w:line="520" w:lineRule="exact"/>
        <w:rPr>
          <w:sz w:val="28"/>
          <w:szCs w:val="28"/>
        </w:rPr>
      </w:pPr>
      <w:r>
        <w:fldChar w:fldCharType="begin"/>
      </w:r>
      <w:r>
        <w:instrText xml:space="preserve"> HYPERLINK \l "_Toc16477" </w:instrText>
      </w:r>
      <w:r>
        <w:fldChar w:fldCharType="separate"/>
      </w:r>
      <w:r>
        <w:rPr>
          <w:rFonts w:hint="eastAsia" w:ascii="方正黑体_GBK" w:hAnsi="方正黑体_GBK" w:eastAsia="方正黑体_GBK" w:cs="方正黑体_GBK"/>
          <w:sz w:val="28"/>
          <w:szCs w:val="28"/>
        </w:rPr>
        <w:t>附表</w:t>
      </w:r>
      <w:r>
        <w:rPr>
          <w:sz w:val="28"/>
          <w:szCs w:val="28"/>
        </w:rPr>
        <w:tab/>
      </w:r>
      <w:r>
        <w:rPr>
          <w:sz w:val="28"/>
          <w:szCs w:val="28"/>
        </w:rPr>
        <w:fldChar w:fldCharType="begin"/>
      </w:r>
      <w:r>
        <w:rPr>
          <w:sz w:val="28"/>
          <w:szCs w:val="28"/>
        </w:rPr>
        <w:instrText xml:space="preserve"> PAGEREF _Toc16477 \h </w:instrText>
      </w:r>
      <w:r>
        <w:rPr>
          <w:sz w:val="28"/>
          <w:szCs w:val="28"/>
        </w:rPr>
        <w:fldChar w:fldCharType="separate"/>
      </w:r>
      <w:r>
        <w:rPr>
          <w:sz w:val="28"/>
          <w:szCs w:val="28"/>
        </w:rPr>
        <w:t>53</w:t>
      </w:r>
      <w:r>
        <w:rPr>
          <w:sz w:val="28"/>
          <w:szCs w:val="28"/>
        </w:rPr>
        <w:fldChar w:fldCharType="end"/>
      </w:r>
      <w:r>
        <w:rPr>
          <w:sz w:val="28"/>
          <w:szCs w:val="28"/>
        </w:rPr>
        <w:fldChar w:fldCharType="end"/>
      </w:r>
    </w:p>
    <w:p>
      <w:pPr>
        <w:pStyle w:val="16"/>
        <w:tabs>
          <w:tab w:val="right" w:leader="dot" w:pos="8845"/>
        </w:tabs>
        <w:spacing w:line="520" w:lineRule="exact"/>
        <w:rPr>
          <w:rFonts w:ascii="方正仿宋_GBK" w:hAnsi="方正仿宋_GBK" w:eastAsia="方正仿宋_GBK" w:cs="方正仿宋_GBK"/>
          <w:sz w:val="28"/>
          <w:szCs w:val="28"/>
        </w:rPr>
      </w:pPr>
      <w:r>
        <w:fldChar w:fldCharType="begin"/>
      </w:r>
      <w:r>
        <w:instrText xml:space="preserve"> HYPERLINK \l "_Toc586" </w:instrText>
      </w:r>
      <w:r>
        <w:fldChar w:fldCharType="separate"/>
      </w:r>
      <w:r>
        <w:rPr>
          <w:rFonts w:hint="eastAsia" w:ascii="方正仿宋_GBK" w:hAnsi="方正仿宋_GBK" w:eastAsia="方正仿宋_GBK" w:cs="方正仿宋_GBK"/>
          <w:sz w:val="28"/>
          <w:szCs w:val="28"/>
        </w:rPr>
        <w:t>重庆市黔江区国土空间生态修复规划重点工程与项目一览表</w:t>
      </w:r>
      <w:r>
        <w:rPr>
          <w:rFonts w:ascii="方正仿宋_GBK" w:hAnsi="方正仿宋_GBK" w:eastAsia="方正仿宋_GBK" w:cs="方正仿宋_GBK"/>
          <w:sz w:val="28"/>
          <w:szCs w:val="28"/>
        </w:rPr>
        <w:tab/>
      </w:r>
      <w:r>
        <w:rPr>
          <w:rFonts w:ascii="方正仿宋_GBK" w:hAnsi="方正仿宋_GBK" w:eastAsia="方正仿宋_GBK" w:cs="方正仿宋_GBK"/>
          <w:sz w:val="28"/>
          <w:szCs w:val="28"/>
        </w:rPr>
        <w:fldChar w:fldCharType="begin"/>
      </w:r>
      <w:r>
        <w:rPr>
          <w:rFonts w:ascii="方正仿宋_GBK" w:hAnsi="方正仿宋_GBK" w:eastAsia="方正仿宋_GBK" w:cs="方正仿宋_GBK"/>
          <w:sz w:val="28"/>
          <w:szCs w:val="28"/>
        </w:rPr>
        <w:instrText xml:space="preserve"> PAGEREF _Toc586 \h </w:instrText>
      </w:r>
      <w:r>
        <w:rPr>
          <w:rFonts w:ascii="方正仿宋_GBK" w:hAnsi="方正仿宋_GBK" w:eastAsia="方正仿宋_GBK" w:cs="方正仿宋_GBK"/>
          <w:sz w:val="28"/>
          <w:szCs w:val="28"/>
        </w:rPr>
        <w:fldChar w:fldCharType="separate"/>
      </w:r>
      <w:r>
        <w:rPr>
          <w:rFonts w:ascii="方正仿宋_GBK" w:hAnsi="方正仿宋_GBK" w:eastAsia="方正仿宋_GBK" w:cs="方正仿宋_GBK"/>
          <w:sz w:val="28"/>
          <w:szCs w:val="28"/>
        </w:rPr>
        <w:t>53</w:t>
      </w:r>
      <w:r>
        <w:rPr>
          <w:rFonts w:ascii="方正仿宋_GBK" w:hAnsi="方正仿宋_GBK" w:eastAsia="方正仿宋_GBK" w:cs="方正仿宋_GBK"/>
          <w:sz w:val="28"/>
          <w:szCs w:val="28"/>
        </w:rPr>
        <w:fldChar w:fldCharType="end"/>
      </w:r>
      <w:r>
        <w:rPr>
          <w:rFonts w:ascii="方正仿宋_GBK" w:hAnsi="方正仿宋_GBK" w:eastAsia="方正仿宋_GBK" w:cs="方正仿宋_GBK"/>
          <w:sz w:val="28"/>
          <w:szCs w:val="28"/>
        </w:rPr>
        <w:fldChar w:fldCharType="end"/>
      </w:r>
    </w:p>
    <w:p>
      <w:pPr>
        <w:pStyle w:val="14"/>
        <w:tabs>
          <w:tab w:val="right" w:leader="dot" w:pos="8845"/>
        </w:tabs>
        <w:spacing w:line="520" w:lineRule="exact"/>
        <w:rPr>
          <w:sz w:val="28"/>
          <w:szCs w:val="28"/>
        </w:rPr>
      </w:pPr>
      <w:r>
        <w:fldChar w:fldCharType="begin"/>
      </w:r>
      <w:r>
        <w:instrText xml:space="preserve"> HYPERLINK \l "_Toc31913" </w:instrText>
      </w:r>
      <w:r>
        <w:fldChar w:fldCharType="separate"/>
      </w:r>
      <w:r>
        <w:rPr>
          <w:rFonts w:hint="eastAsia" w:ascii="方正黑体_GBK" w:hAnsi="方正黑体_GBK" w:eastAsia="方正黑体_GBK" w:cs="方正黑体_GBK"/>
          <w:sz w:val="28"/>
          <w:szCs w:val="28"/>
        </w:rPr>
        <w:t>附图</w:t>
      </w:r>
      <w:r>
        <w:rPr>
          <w:sz w:val="28"/>
          <w:szCs w:val="28"/>
        </w:rPr>
        <w:tab/>
      </w:r>
      <w:r>
        <w:rPr>
          <w:sz w:val="28"/>
          <w:szCs w:val="28"/>
        </w:rPr>
        <w:fldChar w:fldCharType="begin"/>
      </w:r>
      <w:r>
        <w:rPr>
          <w:sz w:val="28"/>
          <w:szCs w:val="28"/>
        </w:rPr>
        <w:instrText xml:space="preserve"> PAGEREF _Toc31913 \h </w:instrText>
      </w:r>
      <w:r>
        <w:rPr>
          <w:sz w:val="28"/>
          <w:szCs w:val="28"/>
        </w:rPr>
        <w:fldChar w:fldCharType="separate"/>
      </w:r>
      <w:r>
        <w:rPr>
          <w:sz w:val="28"/>
          <w:szCs w:val="28"/>
        </w:rPr>
        <w:t>61</w:t>
      </w:r>
      <w:r>
        <w:rPr>
          <w:sz w:val="28"/>
          <w:szCs w:val="28"/>
        </w:rPr>
        <w:fldChar w:fldCharType="end"/>
      </w:r>
      <w:r>
        <w:rPr>
          <w:sz w:val="28"/>
          <w:szCs w:val="28"/>
        </w:rPr>
        <w:fldChar w:fldCharType="end"/>
      </w:r>
    </w:p>
    <w:p>
      <w:pPr>
        <w:pStyle w:val="16"/>
        <w:tabs>
          <w:tab w:val="right" w:leader="dot" w:pos="8845"/>
        </w:tabs>
        <w:spacing w:line="520" w:lineRule="exact"/>
        <w:rPr>
          <w:rFonts w:ascii="方正仿宋_GBK" w:hAnsi="方正仿宋_GBK" w:eastAsia="方正仿宋_GBK" w:cs="方正仿宋_GBK"/>
          <w:sz w:val="28"/>
          <w:szCs w:val="28"/>
        </w:rPr>
      </w:pPr>
      <w:r>
        <w:fldChar w:fldCharType="begin"/>
      </w:r>
      <w:r>
        <w:instrText xml:space="preserve"> HYPERLINK \l "_Toc31940" </w:instrText>
      </w:r>
      <w:r>
        <w:fldChar w:fldCharType="separate"/>
      </w:r>
      <w:r>
        <w:rPr>
          <w:rFonts w:hint="eastAsia" w:ascii="方正仿宋_GBK" w:hAnsi="方正仿宋_GBK" w:eastAsia="方正仿宋_GBK" w:cs="方正仿宋_GBK"/>
          <w:sz w:val="28"/>
          <w:szCs w:val="28"/>
        </w:rPr>
        <w:t>黔江区“一屏三带三区多绿核”生态安全格局图</w:t>
      </w:r>
      <w:r>
        <w:rPr>
          <w:rFonts w:ascii="方正仿宋_GBK" w:hAnsi="方正仿宋_GBK" w:eastAsia="方正仿宋_GBK" w:cs="方正仿宋_GBK"/>
          <w:sz w:val="28"/>
          <w:szCs w:val="28"/>
        </w:rPr>
        <w:tab/>
      </w:r>
      <w:r>
        <w:rPr>
          <w:rFonts w:ascii="方正仿宋_GBK" w:hAnsi="方正仿宋_GBK" w:eastAsia="方正仿宋_GBK" w:cs="方正仿宋_GBK"/>
          <w:sz w:val="28"/>
          <w:szCs w:val="28"/>
        </w:rPr>
        <w:fldChar w:fldCharType="begin"/>
      </w:r>
      <w:r>
        <w:rPr>
          <w:rFonts w:ascii="方正仿宋_GBK" w:hAnsi="方正仿宋_GBK" w:eastAsia="方正仿宋_GBK" w:cs="方正仿宋_GBK"/>
          <w:sz w:val="28"/>
          <w:szCs w:val="28"/>
        </w:rPr>
        <w:instrText xml:space="preserve"> PAGEREF _Toc31940 \h </w:instrText>
      </w:r>
      <w:r>
        <w:rPr>
          <w:rFonts w:ascii="方正仿宋_GBK" w:hAnsi="方正仿宋_GBK" w:eastAsia="方正仿宋_GBK" w:cs="方正仿宋_GBK"/>
          <w:sz w:val="28"/>
          <w:szCs w:val="28"/>
        </w:rPr>
        <w:fldChar w:fldCharType="separate"/>
      </w:r>
      <w:r>
        <w:rPr>
          <w:rFonts w:ascii="方正仿宋_GBK" w:hAnsi="方正仿宋_GBK" w:eastAsia="方正仿宋_GBK" w:cs="方正仿宋_GBK"/>
          <w:sz w:val="28"/>
          <w:szCs w:val="28"/>
        </w:rPr>
        <w:t>61</w:t>
      </w:r>
      <w:r>
        <w:rPr>
          <w:rFonts w:ascii="方正仿宋_GBK" w:hAnsi="方正仿宋_GBK" w:eastAsia="方正仿宋_GBK" w:cs="方正仿宋_GBK"/>
          <w:sz w:val="28"/>
          <w:szCs w:val="28"/>
        </w:rPr>
        <w:fldChar w:fldCharType="end"/>
      </w:r>
      <w:r>
        <w:rPr>
          <w:rFonts w:ascii="方正仿宋_GBK" w:hAnsi="方正仿宋_GBK" w:eastAsia="方正仿宋_GBK" w:cs="方正仿宋_GBK"/>
          <w:sz w:val="28"/>
          <w:szCs w:val="28"/>
        </w:rPr>
        <w:fldChar w:fldCharType="end"/>
      </w:r>
    </w:p>
    <w:p>
      <w:pPr>
        <w:pStyle w:val="16"/>
        <w:tabs>
          <w:tab w:val="right" w:leader="dot" w:pos="8845"/>
        </w:tabs>
        <w:spacing w:line="520" w:lineRule="exact"/>
        <w:rPr>
          <w:rFonts w:ascii="方正仿宋_GBK" w:hAnsi="方正仿宋_GBK" w:eastAsia="方正仿宋_GBK" w:cs="方正仿宋_GBK"/>
          <w:sz w:val="28"/>
          <w:szCs w:val="28"/>
        </w:rPr>
      </w:pPr>
      <w:r>
        <w:fldChar w:fldCharType="begin"/>
      </w:r>
      <w:r>
        <w:instrText xml:space="preserve"> HYPERLINK \l "_Toc24510" </w:instrText>
      </w:r>
      <w:r>
        <w:fldChar w:fldCharType="separate"/>
      </w:r>
      <w:r>
        <w:rPr>
          <w:rFonts w:hint="eastAsia" w:ascii="方正仿宋_GBK" w:hAnsi="方正仿宋_GBK" w:eastAsia="方正仿宋_GBK" w:cs="方正仿宋_GBK"/>
          <w:sz w:val="28"/>
          <w:szCs w:val="28"/>
        </w:rPr>
        <w:t>黔江区生态修复分区图</w:t>
      </w:r>
      <w:r>
        <w:rPr>
          <w:rFonts w:ascii="方正仿宋_GBK" w:hAnsi="方正仿宋_GBK" w:eastAsia="方正仿宋_GBK" w:cs="方正仿宋_GBK"/>
          <w:sz w:val="28"/>
          <w:szCs w:val="28"/>
        </w:rPr>
        <w:tab/>
      </w:r>
      <w:r>
        <w:rPr>
          <w:rFonts w:ascii="方正仿宋_GBK" w:hAnsi="方正仿宋_GBK" w:eastAsia="方正仿宋_GBK" w:cs="方正仿宋_GBK"/>
          <w:sz w:val="28"/>
          <w:szCs w:val="28"/>
        </w:rPr>
        <w:fldChar w:fldCharType="begin"/>
      </w:r>
      <w:r>
        <w:rPr>
          <w:rFonts w:ascii="方正仿宋_GBK" w:hAnsi="方正仿宋_GBK" w:eastAsia="方正仿宋_GBK" w:cs="方正仿宋_GBK"/>
          <w:sz w:val="28"/>
          <w:szCs w:val="28"/>
        </w:rPr>
        <w:instrText xml:space="preserve"> PAGEREF _Toc24510 \h </w:instrText>
      </w:r>
      <w:r>
        <w:rPr>
          <w:rFonts w:ascii="方正仿宋_GBK" w:hAnsi="方正仿宋_GBK" w:eastAsia="方正仿宋_GBK" w:cs="方正仿宋_GBK"/>
          <w:sz w:val="28"/>
          <w:szCs w:val="28"/>
        </w:rPr>
        <w:fldChar w:fldCharType="separate"/>
      </w:r>
      <w:r>
        <w:rPr>
          <w:rFonts w:ascii="方正仿宋_GBK" w:hAnsi="方正仿宋_GBK" w:eastAsia="方正仿宋_GBK" w:cs="方正仿宋_GBK"/>
          <w:sz w:val="28"/>
          <w:szCs w:val="28"/>
        </w:rPr>
        <w:t>62</w:t>
      </w:r>
      <w:r>
        <w:rPr>
          <w:rFonts w:ascii="方正仿宋_GBK" w:hAnsi="方正仿宋_GBK" w:eastAsia="方正仿宋_GBK" w:cs="方正仿宋_GBK"/>
          <w:sz w:val="28"/>
          <w:szCs w:val="28"/>
        </w:rPr>
        <w:fldChar w:fldCharType="end"/>
      </w:r>
      <w:r>
        <w:rPr>
          <w:rFonts w:ascii="方正仿宋_GBK" w:hAnsi="方正仿宋_GBK" w:eastAsia="方正仿宋_GBK" w:cs="方正仿宋_GBK"/>
          <w:sz w:val="28"/>
          <w:szCs w:val="28"/>
        </w:rPr>
        <w:fldChar w:fldCharType="end"/>
      </w:r>
    </w:p>
    <w:p>
      <w:pPr>
        <w:pStyle w:val="16"/>
        <w:tabs>
          <w:tab w:val="right" w:leader="dot" w:pos="8845"/>
        </w:tabs>
        <w:spacing w:line="520" w:lineRule="exact"/>
        <w:rPr>
          <w:rFonts w:ascii="方正仿宋_GBK" w:hAnsi="方正仿宋_GBK" w:eastAsia="方正仿宋_GBK" w:cs="方正仿宋_GBK"/>
          <w:sz w:val="28"/>
          <w:szCs w:val="28"/>
        </w:rPr>
      </w:pPr>
      <w:r>
        <w:fldChar w:fldCharType="begin"/>
      </w:r>
      <w:r>
        <w:instrText xml:space="preserve"> HYPERLINK \l "_Toc14882" </w:instrText>
      </w:r>
      <w:r>
        <w:fldChar w:fldCharType="separate"/>
      </w:r>
      <w:r>
        <w:rPr>
          <w:rFonts w:hint="eastAsia" w:ascii="方正仿宋_GBK" w:hAnsi="方正仿宋_GBK" w:eastAsia="方正仿宋_GBK" w:cs="方正仿宋_GBK"/>
          <w:sz w:val="28"/>
          <w:szCs w:val="28"/>
        </w:rPr>
        <w:t>生态修复重点工程分布图</w:t>
      </w:r>
      <w:r>
        <w:rPr>
          <w:rFonts w:ascii="方正仿宋_GBK" w:hAnsi="方正仿宋_GBK" w:eastAsia="方正仿宋_GBK" w:cs="方正仿宋_GBK"/>
          <w:sz w:val="28"/>
          <w:szCs w:val="28"/>
        </w:rPr>
        <w:tab/>
      </w:r>
      <w:r>
        <w:rPr>
          <w:rFonts w:ascii="方正仿宋_GBK" w:hAnsi="方正仿宋_GBK" w:eastAsia="方正仿宋_GBK" w:cs="方正仿宋_GBK"/>
          <w:sz w:val="28"/>
          <w:szCs w:val="28"/>
        </w:rPr>
        <w:fldChar w:fldCharType="begin"/>
      </w:r>
      <w:r>
        <w:rPr>
          <w:rFonts w:ascii="方正仿宋_GBK" w:hAnsi="方正仿宋_GBK" w:eastAsia="方正仿宋_GBK" w:cs="方正仿宋_GBK"/>
          <w:sz w:val="28"/>
          <w:szCs w:val="28"/>
        </w:rPr>
        <w:instrText xml:space="preserve"> PAGEREF _Toc14882 \h </w:instrText>
      </w:r>
      <w:r>
        <w:rPr>
          <w:rFonts w:ascii="方正仿宋_GBK" w:hAnsi="方正仿宋_GBK" w:eastAsia="方正仿宋_GBK" w:cs="方正仿宋_GBK"/>
          <w:sz w:val="28"/>
          <w:szCs w:val="28"/>
        </w:rPr>
        <w:fldChar w:fldCharType="separate"/>
      </w:r>
      <w:r>
        <w:rPr>
          <w:rFonts w:ascii="方正仿宋_GBK" w:hAnsi="方正仿宋_GBK" w:eastAsia="方正仿宋_GBK" w:cs="方正仿宋_GBK"/>
          <w:sz w:val="28"/>
          <w:szCs w:val="28"/>
        </w:rPr>
        <w:t>63</w:t>
      </w:r>
      <w:r>
        <w:rPr>
          <w:rFonts w:ascii="方正仿宋_GBK" w:hAnsi="方正仿宋_GBK" w:eastAsia="方正仿宋_GBK" w:cs="方正仿宋_GBK"/>
          <w:sz w:val="28"/>
          <w:szCs w:val="28"/>
        </w:rPr>
        <w:fldChar w:fldCharType="end"/>
      </w:r>
      <w:r>
        <w:rPr>
          <w:rFonts w:ascii="方正仿宋_GBK" w:hAnsi="方正仿宋_GBK" w:eastAsia="方正仿宋_GBK" w:cs="方正仿宋_GBK"/>
          <w:sz w:val="28"/>
          <w:szCs w:val="28"/>
        </w:rPr>
        <w:fldChar w:fldCharType="end"/>
      </w:r>
    </w:p>
    <w:p>
      <w:pPr>
        <w:spacing w:line="500" w:lineRule="exact"/>
        <w:jc w:val="center"/>
        <w:rPr>
          <w:rFonts w:ascii="方正小标宋_GBK" w:hAnsi="方正小标宋_GBK" w:eastAsia="方正小标宋_GBK" w:cs="方正小标宋_GBK"/>
          <w:sz w:val="48"/>
          <w:szCs w:val="48"/>
        </w:rPr>
      </w:pPr>
      <w:r>
        <w:rPr>
          <w:rFonts w:ascii="Times New Roman" w:hAnsi="Times New Roman" w:eastAsia="方正小标宋_GBK" w:cs="Times New Roman"/>
          <w:sz w:val="22"/>
          <w:szCs w:val="48"/>
        </w:rPr>
        <w:fldChar w:fldCharType="end"/>
      </w:r>
    </w:p>
    <w:p/>
    <w:sdt>
      <w:sdtPr>
        <w:rPr>
          <w:rFonts w:ascii="宋体" w:hAnsi="宋体" w:eastAsia="宋体"/>
          <w:sz w:val="28"/>
          <w:szCs w:val="28"/>
        </w:rPr>
        <w:id w:val="147451739"/>
        <w:docPartObj>
          <w:docPartGallery w:val="Table of Contents"/>
          <w:docPartUnique/>
        </w:docPartObj>
      </w:sdtPr>
      <w:sdtEndPr>
        <w:rPr>
          <w:rFonts w:ascii="方正小标宋_GBK" w:hAnsi="方正小标宋_GBK" w:eastAsia="方正小标宋_GBK" w:cs="方正小标宋_GBK"/>
          <w:sz w:val="22"/>
          <w:szCs w:val="36"/>
        </w:rPr>
      </w:sdtEndPr>
      <w:sdtContent>
        <w:p>
          <w:pPr>
            <w:spacing w:line="480" w:lineRule="exact"/>
            <w:rPr>
              <w:rFonts w:ascii="方正小标宋_GBK" w:hAnsi="方正小标宋_GBK" w:eastAsia="方正小标宋_GBK" w:cs="方正小标宋_GBK"/>
              <w:sz w:val="36"/>
              <w:szCs w:val="36"/>
            </w:rPr>
          </w:pPr>
        </w:p>
      </w:sdtContent>
    </w:sdt>
    <w:p>
      <w:pPr>
        <w:spacing w:line="440" w:lineRule="exact"/>
        <w:jc w:val="center"/>
        <w:rPr>
          <w:rFonts w:ascii="方正小标宋_GBK" w:hAnsi="方正小标宋_GBK" w:eastAsia="方正小标宋_GBK" w:cs="方正小标宋_GBK"/>
          <w:sz w:val="36"/>
          <w:szCs w:val="36"/>
        </w:rPr>
      </w:pPr>
    </w:p>
    <w:p>
      <w:pPr>
        <w:spacing w:line="500" w:lineRule="exact"/>
        <w:jc w:val="center"/>
        <w:rPr>
          <w:rFonts w:ascii="方正小标宋_GBK" w:hAnsi="方正小标宋_GBK" w:eastAsia="方正小标宋_GBK" w:cs="方正小标宋_GBK"/>
          <w:sz w:val="32"/>
          <w:szCs w:val="32"/>
        </w:rPr>
      </w:pPr>
    </w:p>
    <w:p>
      <w:pPr>
        <w:spacing w:line="500" w:lineRule="exact"/>
        <w:jc w:val="center"/>
        <w:rPr>
          <w:rFonts w:ascii="方正小标宋_GBK" w:hAnsi="方正小标宋_GBK" w:eastAsia="方正小标宋_GBK" w:cs="方正小标宋_GBK"/>
          <w:sz w:val="32"/>
          <w:szCs w:val="32"/>
        </w:rPr>
        <w:sectPr>
          <w:footerReference r:id="rId4" w:type="default"/>
          <w:pgSz w:w="11906" w:h="16838"/>
          <w:pgMar w:top="1701" w:right="1474" w:bottom="1440" w:left="1587" w:header="851" w:footer="992" w:gutter="0"/>
          <w:pgNumType w:fmt="upperRoman" w:start="1"/>
          <w:cols w:space="0" w:num="1"/>
          <w:docGrid w:type="lines" w:linePitch="312" w:charSpace="0"/>
        </w:sectPr>
      </w:pPr>
    </w:p>
    <w:p>
      <w:pPr>
        <w:spacing w:before="312" w:beforeLines="100" w:after="312" w:afterLines="100" w:line="600" w:lineRule="exact"/>
        <w:jc w:val="center"/>
        <w:outlineLvl w:val="0"/>
        <w:rPr>
          <w:rFonts w:ascii="方正小标宋_GBK" w:hAnsi="方正小标宋_GBK" w:eastAsia="方正小标宋_GBK" w:cs="方正小标宋_GBK"/>
          <w:sz w:val="44"/>
          <w:szCs w:val="44"/>
        </w:rPr>
      </w:pPr>
      <w:bookmarkStart w:id="9" w:name="_Toc14566"/>
      <w:bookmarkStart w:id="10" w:name="_Toc14291"/>
      <w:bookmarkStart w:id="11" w:name="_Toc6008"/>
      <w:bookmarkStart w:id="12" w:name="_Toc3482"/>
      <w:bookmarkStart w:id="13" w:name="_Toc10600"/>
      <w:r>
        <w:rPr>
          <w:rFonts w:hint="eastAsia" w:ascii="方正小标宋_GBK" w:hAnsi="方正小标宋_GBK" w:eastAsia="方正小标宋_GBK" w:cs="方正小标宋_GBK"/>
          <w:sz w:val="44"/>
          <w:szCs w:val="44"/>
        </w:rPr>
        <w:t>第一章 基础分析与形势研判</w:t>
      </w:r>
      <w:bookmarkEnd w:id="9"/>
      <w:bookmarkEnd w:id="10"/>
      <w:bookmarkEnd w:id="11"/>
    </w:p>
    <w:p>
      <w:pPr>
        <w:spacing w:before="312" w:beforeLines="100" w:after="156" w:afterLines="50" w:line="600" w:lineRule="exact"/>
        <w:ind w:firstLine="640" w:firstLineChars="200"/>
        <w:outlineLvl w:val="1"/>
        <w:rPr>
          <w:rFonts w:ascii="方正小标宋_GBK" w:hAnsi="方正小标宋_GBK" w:eastAsia="方正小标宋_GBK" w:cs="方正小标宋_GBK"/>
          <w:sz w:val="32"/>
          <w:szCs w:val="32"/>
        </w:rPr>
      </w:pPr>
      <w:bookmarkStart w:id="14" w:name="_Toc1972"/>
      <w:bookmarkStart w:id="15" w:name="_Toc6155"/>
      <w:bookmarkStart w:id="16" w:name="_Toc11648"/>
      <w:r>
        <w:rPr>
          <w:rFonts w:hint="eastAsia" w:ascii="方正小标宋_GBK" w:hAnsi="方正小标宋_GBK" w:eastAsia="方正小标宋_GBK" w:cs="方正小标宋_GBK"/>
          <w:sz w:val="32"/>
          <w:szCs w:val="32"/>
        </w:rPr>
        <w:t>第一节 自然资源状况</w:t>
      </w:r>
      <w:bookmarkEnd w:id="14"/>
      <w:bookmarkEnd w:id="15"/>
      <w:bookmarkEnd w:id="16"/>
    </w:p>
    <w:p>
      <w:pPr>
        <w:spacing w:line="600" w:lineRule="exact"/>
        <w:ind w:firstLine="640" w:firstLineChars="200"/>
        <w:outlineLvl w:val="2"/>
        <w:rPr>
          <w:rFonts w:ascii="Times New Roman" w:hAnsi="Times New Roman" w:eastAsia="方正黑体_GBK" w:cs="Times New Roman"/>
          <w:sz w:val="32"/>
          <w:szCs w:val="32"/>
        </w:rPr>
      </w:pPr>
      <w:bookmarkStart w:id="17" w:name="_Toc21556"/>
      <w:bookmarkStart w:id="18" w:name="_Toc2147"/>
      <w:r>
        <w:rPr>
          <w:rFonts w:ascii="Times New Roman" w:hAnsi="Times New Roman" w:eastAsia="方正黑体_GBK" w:cs="Times New Roman"/>
          <w:sz w:val="32"/>
          <w:szCs w:val="32"/>
        </w:rPr>
        <w:t>一、地质构造演化</w:t>
      </w:r>
      <w:bookmarkEnd w:id="17"/>
      <w:bookmarkEnd w:id="18"/>
    </w:p>
    <w:p>
      <w:pPr>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黔江区地处新华夏系第三隆起带的南西段－武陵山褶皱带北西缘，区内存在北东向断裂带，与断裂带平行的复式褶皱亦广泛分布。区内褶皱和断裂，走向N20°～40°E，相互平行或局部呈“多”字形展布，是区内构造的主体。北东向褶皱、背向斜宽窄相间，两翼基本对称。区内褶皱，自东向西有咸丰背斜、万堡向斜、濯河坝-大集场向斜、黔江背斜、天馆背斜、龚滩向斜、筲箕滩背斜、黔江向斜，桐麻园向斜、桐麻园背斜、桑柘坪向斜、郁山背斜，各褶皱走向N10°～45E°，背向斜轴部多开阔，倾角平缓，轴面近于直立，两翼倾角一般在5°～30°之间。北东向断裂，两侧岩层挤压强烈。区内断裂，主要以北东向压扭性断裂为主，其次还有北西、北西向张扭性断裂。区内裂隙结合区内各类岩石的坚硬强度、岩性、外营力对裂隙影响的强弱，具体分为风化裂隙、溶蚀构造裂隙、构造裂隙三大类。</w:t>
      </w:r>
    </w:p>
    <w:p>
      <w:pPr>
        <w:spacing w:line="600" w:lineRule="exact"/>
        <w:ind w:firstLine="640" w:firstLineChars="200"/>
        <w:outlineLvl w:val="2"/>
        <w:rPr>
          <w:rFonts w:ascii="Times New Roman" w:hAnsi="Times New Roman" w:eastAsia="方正黑体_GBK" w:cs="Times New Roman"/>
          <w:sz w:val="32"/>
          <w:szCs w:val="32"/>
        </w:rPr>
      </w:pPr>
      <w:bookmarkStart w:id="19" w:name="_Toc8232"/>
      <w:bookmarkStart w:id="20" w:name="_Toc22552"/>
      <w:r>
        <w:rPr>
          <w:rFonts w:ascii="Times New Roman" w:hAnsi="Times New Roman" w:eastAsia="方正黑体_GBK" w:cs="Times New Roman"/>
          <w:sz w:val="32"/>
          <w:szCs w:val="32"/>
        </w:rPr>
        <w:t>二、自然地理条件</w:t>
      </w:r>
      <w:bookmarkEnd w:id="19"/>
      <w:bookmarkEnd w:id="20"/>
    </w:p>
    <w:p>
      <w:pPr>
        <w:spacing w:line="600" w:lineRule="exact"/>
        <w:ind w:firstLine="640" w:firstLineChars="200"/>
        <w:rPr>
          <w:rFonts w:ascii="Times New Roman" w:hAnsi="Times New Roman" w:eastAsia="方正仿宋_GBK" w:cs="Times New Roman"/>
          <w:sz w:val="32"/>
          <w:szCs w:val="32"/>
        </w:rPr>
      </w:pPr>
      <w:r>
        <w:rPr>
          <w:rFonts w:hint="eastAsia" w:ascii="方正楷体_GBK" w:hAnsi="方正楷体_GBK" w:eastAsia="方正楷体_GBK" w:cs="方正楷体_GBK"/>
          <w:sz w:val="32"/>
          <w:szCs w:val="32"/>
        </w:rPr>
        <w:t>（一）气候特征。</w:t>
      </w:r>
      <w:r>
        <w:rPr>
          <w:rFonts w:ascii="Times New Roman" w:hAnsi="Times New Roman" w:eastAsia="方正仿宋_GBK" w:cs="Times New Roman"/>
          <w:sz w:val="32"/>
          <w:szCs w:val="32"/>
        </w:rPr>
        <w:t>黔江区地处渝东南武陵山区，属中亚热带湿润性季风性气候。气候具有随海拔高度变化的立体规律，是典型的山地气候。气候温和，四季分明，热量丰富，雨量充沛，季风明显，但</w:t>
      </w:r>
      <w:r>
        <w:rPr>
          <w:rFonts w:hint="eastAsia" w:ascii="Times New Roman" w:hAnsi="Times New Roman" w:eastAsia="方正仿宋_GBK" w:cs="Times New Roman"/>
          <w:sz w:val="32"/>
          <w:szCs w:val="32"/>
        </w:rPr>
        <w:t>辐射</w:t>
      </w:r>
      <w:r>
        <w:rPr>
          <w:rFonts w:ascii="Times New Roman" w:hAnsi="Times New Roman" w:eastAsia="方正仿宋_GBK" w:cs="Times New Roman"/>
          <w:sz w:val="32"/>
          <w:szCs w:val="32"/>
        </w:rPr>
        <w:t>、光照不足，灾害气候频繁。</w:t>
      </w:r>
      <w:r>
        <w:rPr>
          <w:rFonts w:hint="eastAsia" w:ascii="Times New Roman" w:hAnsi="Times New Roman" w:eastAsia="方正仿宋_GBK" w:cs="Times New Roman"/>
          <w:sz w:val="32"/>
          <w:szCs w:val="32"/>
        </w:rPr>
        <w:t>全区多年平均气温</w:t>
      </w:r>
      <w:r>
        <w:rPr>
          <w:rFonts w:ascii="Times New Roman" w:hAnsi="Times New Roman" w:eastAsia="方正仿宋_GBK" w:cs="Times New Roman"/>
          <w:sz w:val="32"/>
          <w:szCs w:val="32"/>
        </w:rPr>
        <w:t>15.9</w:t>
      </w:r>
      <w:r>
        <w:rPr>
          <w:rFonts w:hint="eastAsia" w:ascii="Times New Roman" w:hAnsi="Times New Roman" w:eastAsia="方正仿宋_GBK" w:cs="Times New Roman"/>
          <w:sz w:val="32"/>
          <w:szCs w:val="32"/>
        </w:rPr>
        <w:t>℃，极端最高气温</w:t>
      </w:r>
      <w:r>
        <w:rPr>
          <w:rFonts w:ascii="Times New Roman" w:hAnsi="Times New Roman" w:eastAsia="方正仿宋_GBK" w:cs="Times New Roman"/>
          <w:sz w:val="32"/>
          <w:szCs w:val="32"/>
        </w:rPr>
        <w:t>39.5</w:t>
      </w:r>
      <w:r>
        <w:rPr>
          <w:rFonts w:hint="eastAsia" w:ascii="Times New Roman" w:hAnsi="Times New Roman" w:eastAsia="方正仿宋_GBK" w:cs="Times New Roman"/>
          <w:sz w:val="32"/>
          <w:szCs w:val="32"/>
        </w:rPr>
        <w:t>℃，极端最低气温</w:t>
      </w:r>
      <w:r>
        <w:rPr>
          <w:rFonts w:ascii="Times New Roman" w:hAnsi="Times New Roman" w:eastAsia="方正仿宋_GBK" w:cs="Times New Roman"/>
          <w:sz w:val="32"/>
          <w:szCs w:val="32"/>
        </w:rPr>
        <w:t>-5.8</w:t>
      </w:r>
      <w:r>
        <w:rPr>
          <w:rFonts w:hint="eastAsia" w:ascii="Times New Roman" w:hAnsi="Times New Roman" w:eastAsia="方正仿宋_GBK" w:cs="Times New Roman"/>
          <w:sz w:val="32"/>
          <w:szCs w:val="32"/>
        </w:rPr>
        <w:t>℃；多年平均降水量为</w:t>
      </w:r>
      <w:r>
        <w:rPr>
          <w:rFonts w:ascii="Times New Roman" w:hAnsi="Times New Roman" w:eastAsia="方正仿宋_GBK" w:cs="Times New Roman"/>
          <w:sz w:val="32"/>
          <w:szCs w:val="32"/>
        </w:rPr>
        <w:t>1158.6</w:t>
      </w:r>
      <w:r>
        <w:rPr>
          <w:rFonts w:hint="eastAsia" w:ascii="Times New Roman" w:hAnsi="Times New Roman" w:eastAsia="方正仿宋_GBK" w:cs="Times New Roman"/>
          <w:sz w:val="32"/>
          <w:szCs w:val="32"/>
        </w:rPr>
        <w:t>毫米，最大年降水量为</w:t>
      </w:r>
      <w:r>
        <w:rPr>
          <w:rFonts w:ascii="Times New Roman" w:hAnsi="Times New Roman" w:eastAsia="方正仿宋_GBK" w:cs="Times New Roman"/>
          <w:sz w:val="32"/>
          <w:szCs w:val="32"/>
        </w:rPr>
        <w:t>1795.7</w:t>
      </w:r>
      <w:r>
        <w:rPr>
          <w:rFonts w:hint="eastAsia" w:ascii="Times New Roman" w:hAnsi="Times New Roman" w:eastAsia="方正仿宋_GBK" w:cs="Times New Roman"/>
          <w:sz w:val="32"/>
          <w:szCs w:val="32"/>
        </w:rPr>
        <w:t>毫米，最小年降水量为</w:t>
      </w:r>
      <w:r>
        <w:rPr>
          <w:rFonts w:ascii="Times New Roman" w:hAnsi="Times New Roman" w:eastAsia="方正仿宋_GBK" w:cs="Times New Roman"/>
          <w:sz w:val="32"/>
          <w:szCs w:val="32"/>
        </w:rPr>
        <w:t>796.6</w:t>
      </w:r>
      <w:r>
        <w:rPr>
          <w:rFonts w:hint="eastAsia" w:ascii="Times New Roman" w:hAnsi="Times New Roman" w:eastAsia="方正仿宋_GBK" w:cs="Times New Roman"/>
          <w:sz w:val="32"/>
          <w:szCs w:val="32"/>
        </w:rPr>
        <w:t>毫米，最大日降水量</w:t>
      </w:r>
      <w:r>
        <w:rPr>
          <w:rFonts w:ascii="Times New Roman" w:hAnsi="Times New Roman" w:eastAsia="方正仿宋_GBK" w:cs="Times New Roman"/>
          <w:sz w:val="32"/>
          <w:szCs w:val="32"/>
        </w:rPr>
        <w:t>306.9</w:t>
      </w:r>
      <w:r>
        <w:rPr>
          <w:rFonts w:hint="eastAsia" w:ascii="Times New Roman" w:hAnsi="Times New Roman" w:eastAsia="方正仿宋_GBK" w:cs="Times New Roman"/>
          <w:sz w:val="32"/>
          <w:szCs w:val="32"/>
        </w:rPr>
        <w:t>毫米，最大小时降雨量</w:t>
      </w:r>
      <w:r>
        <w:rPr>
          <w:rFonts w:ascii="Times New Roman" w:hAnsi="Times New Roman" w:eastAsia="方正仿宋_GBK" w:cs="Times New Roman"/>
          <w:sz w:val="32"/>
          <w:szCs w:val="32"/>
        </w:rPr>
        <w:t>72.2</w:t>
      </w:r>
      <w:r>
        <w:rPr>
          <w:rFonts w:hint="eastAsia" w:ascii="Times New Roman" w:hAnsi="Times New Roman" w:eastAsia="方正仿宋_GBK" w:cs="Times New Roman"/>
          <w:sz w:val="32"/>
          <w:szCs w:val="32"/>
        </w:rPr>
        <w:t>毫米；多年平均蒸发量为</w:t>
      </w:r>
      <w:r>
        <w:rPr>
          <w:rFonts w:ascii="Times New Roman" w:hAnsi="Times New Roman" w:eastAsia="方正仿宋_GBK" w:cs="Times New Roman"/>
          <w:sz w:val="32"/>
          <w:szCs w:val="32"/>
        </w:rPr>
        <w:t>1115.0</w:t>
      </w:r>
      <w:r>
        <w:rPr>
          <w:rFonts w:hint="eastAsia" w:ascii="Times New Roman" w:hAnsi="Times New Roman" w:eastAsia="方正仿宋_GBK" w:cs="Times New Roman"/>
          <w:sz w:val="32"/>
          <w:szCs w:val="32"/>
        </w:rPr>
        <w:t>毫米；多年平均日照时数</w:t>
      </w:r>
      <w:r>
        <w:rPr>
          <w:rFonts w:ascii="Times New Roman" w:hAnsi="Times New Roman" w:eastAsia="方正仿宋_GBK" w:cs="Times New Roman"/>
          <w:sz w:val="32"/>
          <w:szCs w:val="32"/>
        </w:rPr>
        <w:t>1092.1</w:t>
      </w:r>
      <w:r>
        <w:rPr>
          <w:rFonts w:hint="eastAsia" w:ascii="Times New Roman" w:hAnsi="Times New Roman" w:eastAsia="方正仿宋_GBK" w:cs="Times New Roman"/>
          <w:sz w:val="32"/>
          <w:szCs w:val="32"/>
        </w:rPr>
        <w:t>小时；最多风向为</w:t>
      </w:r>
      <w:r>
        <w:rPr>
          <w:rFonts w:ascii="Times New Roman" w:hAnsi="Times New Roman" w:eastAsia="方正仿宋_GBK" w:cs="Times New Roman"/>
          <w:sz w:val="32"/>
          <w:szCs w:val="32"/>
        </w:rPr>
        <w:t>NE</w:t>
      </w:r>
      <w:r>
        <w:rPr>
          <w:rFonts w:hint="eastAsia" w:ascii="Times New Roman" w:hAnsi="Times New Roman" w:eastAsia="方正仿宋_GBK" w:cs="Times New Roman"/>
          <w:sz w:val="32"/>
          <w:szCs w:val="32"/>
        </w:rPr>
        <w:t>，多年平均风速</w:t>
      </w:r>
      <w:r>
        <w:rPr>
          <w:rFonts w:ascii="Times New Roman" w:hAnsi="Times New Roman" w:eastAsia="方正仿宋_GBK" w:cs="Times New Roman"/>
          <w:sz w:val="32"/>
          <w:szCs w:val="32"/>
        </w:rPr>
        <w:t>0.8</w:t>
      </w:r>
      <w:r>
        <w:rPr>
          <w:rFonts w:hint="eastAsia" w:ascii="Times New Roman" w:hAnsi="Times New Roman" w:eastAsia="方正仿宋_GBK" w:cs="Times New Roman"/>
          <w:sz w:val="32"/>
          <w:szCs w:val="32"/>
        </w:rPr>
        <w:t>米</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秒，极大风速极值</w:t>
      </w:r>
      <w:r>
        <w:rPr>
          <w:rFonts w:ascii="Times New Roman" w:hAnsi="Times New Roman" w:eastAsia="方正仿宋_GBK" w:cs="Times New Roman"/>
          <w:sz w:val="32"/>
          <w:szCs w:val="32"/>
        </w:rPr>
        <w:t>26.1</w:t>
      </w:r>
      <w:r>
        <w:rPr>
          <w:rFonts w:hint="eastAsia" w:ascii="Times New Roman" w:hAnsi="Times New Roman" w:eastAsia="方正仿宋_GBK" w:cs="Times New Roman"/>
          <w:sz w:val="32"/>
          <w:szCs w:val="32"/>
        </w:rPr>
        <w:t>米</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秒</w:t>
      </w:r>
      <w:r>
        <w:rPr>
          <w:rFonts w:ascii="Times New Roman" w:hAnsi="Times New Roman" w:eastAsia="方正仿宋_GBK" w:cs="Times New Roman"/>
          <w:sz w:val="32"/>
          <w:szCs w:val="32"/>
        </w:rPr>
        <w:t>。</w:t>
      </w:r>
    </w:p>
    <w:p>
      <w:pPr>
        <w:spacing w:line="600" w:lineRule="exact"/>
        <w:ind w:firstLine="640" w:firstLineChars="200"/>
        <w:rPr>
          <w:rFonts w:ascii="Times New Roman" w:hAnsi="Times New Roman" w:eastAsia="方正仿宋_GBK" w:cs="Times New Roman"/>
          <w:sz w:val="32"/>
          <w:szCs w:val="32"/>
        </w:rPr>
      </w:pPr>
      <w:r>
        <w:rPr>
          <w:rFonts w:hint="eastAsia" w:ascii="方正楷体_GBK" w:hAnsi="方正楷体_GBK" w:eastAsia="方正楷体_GBK" w:cs="方正楷体_GBK"/>
          <w:sz w:val="32"/>
          <w:szCs w:val="32"/>
        </w:rPr>
        <w:t>（二）地形地貌。</w:t>
      </w:r>
      <w:r>
        <w:rPr>
          <w:rFonts w:ascii="Times New Roman" w:hAnsi="Times New Roman" w:eastAsia="方正仿宋_GBK" w:cs="Times New Roman"/>
          <w:sz w:val="32"/>
          <w:szCs w:val="32"/>
        </w:rPr>
        <w:t>黔江区地形复杂，形态多样，</w:t>
      </w:r>
      <w:r>
        <w:rPr>
          <w:rFonts w:hint="eastAsia" w:ascii="Times New Roman" w:hAnsi="Times New Roman" w:eastAsia="方正仿宋_GBK" w:cs="Times New Roman"/>
          <w:sz w:val="32"/>
          <w:szCs w:val="32"/>
        </w:rPr>
        <w:t>全区</w:t>
      </w:r>
      <w:r>
        <w:rPr>
          <w:rFonts w:ascii="Times New Roman" w:hAnsi="Times New Roman" w:eastAsia="方正仿宋_GBK" w:cs="Times New Roman"/>
          <w:sz w:val="32"/>
          <w:szCs w:val="32"/>
        </w:rPr>
        <w:t>呈现东北高、西南低</w:t>
      </w:r>
      <w:r>
        <w:rPr>
          <w:rFonts w:hint="eastAsia" w:ascii="Times New Roman" w:hAnsi="Times New Roman" w:eastAsia="方正仿宋_GBK" w:cs="Times New Roman"/>
          <w:sz w:val="32"/>
          <w:szCs w:val="32"/>
        </w:rPr>
        <w:t>地势，山脉呈北东至南西走向，与河流基本平行，形成岭谷相间地貌，以山地、丘陵、平谷以及盆地地貌构成。</w:t>
      </w:r>
      <w:r>
        <w:rPr>
          <w:rFonts w:ascii="Times New Roman" w:hAnsi="Times New Roman" w:eastAsia="方正仿宋_GBK" w:cs="Times New Roman"/>
          <w:sz w:val="32"/>
          <w:szCs w:val="32"/>
        </w:rPr>
        <w:t>区内地势较为复杂，海拔高度大多在500-1000米，相对高差较大。</w:t>
      </w:r>
    </w:p>
    <w:p>
      <w:pPr>
        <w:spacing w:line="600" w:lineRule="exact"/>
        <w:ind w:firstLine="640" w:firstLineChars="200"/>
        <w:rPr>
          <w:rFonts w:ascii="Times New Roman" w:hAnsi="Times New Roman" w:eastAsia="方正仿宋_GBK" w:cs="Times New Roman"/>
          <w:sz w:val="32"/>
          <w:szCs w:val="32"/>
        </w:rPr>
      </w:pPr>
      <w:r>
        <w:rPr>
          <w:rFonts w:hint="eastAsia" w:ascii="方正楷体_GBK" w:hAnsi="方正楷体_GBK" w:eastAsia="方正楷体_GBK" w:cs="方正楷体_GBK"/>
          <w:sz w:val="32"/>
          <w:szCs w:val="32"/>
        </w:rPr>
        <w:t>（三）河流水文。</w:t>
      </w:r>
      <w:r>
        <w:rPr>
          <w:rFonts w:ascii="Times New Roman" w:hAnsi="Times New Roman" w:eastAsia="方正仿宋_GBK" w:cs="Times New Roman"/>
          <w:sz w:val="32"/>
          <w:szCs w:val="32"/>
        </w:rPr>
        <w:t>黔江区河流均属长江上游乌江水系，区内河流较多，主支流在平面上呈棱格状展布。全区流域面积达50平方公里以上的河流有15条，河网密度为0.42公里/平方公里</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河流均从北至南向乌江汇集，沿北东—南西向谷地发育主干河流，沿西北—南东向谷地分布其支流</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区内中小河流多发源于海拔较高的山岭，一般都具有河床陡、河槽窄、地形切割深、落差大、滩多水急的山区型河流特点。</w:t>
      </w:r>
    </w:p>
    <w:p>
      <w:pPr>
        <w:spacing w:line="600" w:lineRule="exact"/>
        <w:ind w:firstLine="640" w:firstLineChars="200"/>
        <w:rPr>
          <w:rFonts w:ascii="Times New Roman" w:hAnsi="Times New Roman" w:eastAsia="方正楷体_GBK" w:cs="Times New Roman"/>
          <w:sz w:val="32"/>
          <w:szCs w:val="32"/>
        </w:rPr>
      </w:pPr>
      <w:r>
        <w:rPr>
          <w:rFonts w:hint="eastAsia" w:ascii="方正楷体_GBK" w:hAnsi="方正楷体_GBK" w:eastAsia="方正楷体_GBK" w:cs="方正楷体_GBK"/>
          <w:sz w:val="32"/>
          <w:szCs w:val="32"/>
        </w:rPr>
        <w:t>（四）土壤分类。</w:t>
      </w:r>
      <w:r>
        <w:rPr>
          <w:rFonts w:ascii="Times New Roman" w:hAnsi="Times New Roman" w:eastAsia="方正仿宋_GBK" w:cs="Times New Roman"/>
          <w:sz w:val="32"/>
          <w:szCs w:val="32"/>
        </w:rPr>
        <w:t>黔江区土壤类型以黄壤土、紫色土和水稻土为主体，占全区总耕地面积的93.23%。全区土壤分为7个土类、12个亚类、23个土属、52个土种</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其中</w:t>
      </w:r>
      <w:bookmarkStart w:id="21" w:name="_Hlk119786239"/>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黄壤土、紫色土和水稻土主要</w:t>
      </w:r>
      <w:bookmarkEnd w:id="21"/>
      <w:r>
        <w:rPr>
          <w:rFonts w:ascii="Times New Roman" w:hAnsi="Times New Roman" w:eastAsia="方正仿宋_GBK" w:cs="Times New Roman"/>
          <w:sz w:val="32"/>
          <w:szCs w:val="32"/>
        </w:rPr>
        <w:t>分布于阿蓬江沿岸的一、二级阶地、马喇、城周边及西南地区的山地林地坡脚；红壤和黄棕壤占幅员面积的5.38%，主要分布在老冲积台地、灰千梁子、八面山等山地的中上部；冲积土占幅员面积的0.75%，主要分布在沿阿蓬江及黄红壤流域的山溪河两岸的一、二阶地；石灰土占幅员面积1.43%。</w:t>
      </w:r>
    </w:p>
    <w:p>
      <w:pPr>
        <w:spacing w:line="600" w:lineRule="exact"/>
        <w:ind w:firstLine="640" w:firstLineChars="200"/>
        <w:outlineLvl w:val="2"/>
        <w:rPr>
          <w:rFonts w:ascii="Times New Roman" w:hAnsi="Times New Roman" w:eastAsia="方正黑体_GBK" w:cs="Times New Roman"/>
          <w:sz w:val="32"/>
          <w:szCs w:val="32"/>
        </w:rPr>
      </w:pPr>
      <w:bookmarkStart w:id="22" w:name="_Toc25074"/>
      <w:bookmarkStart w:id="23" w:name="_Toc21345"/>
      <w:r>
        <w:rPr>
          <w:rFonts w:ascii="Times New Roman" w:hAnsi="Times New Roman" w:eastAsia="方正黑体_GBK" w:cs="Times New Roman"/>
          <w:sz w:val="32"/>
          <w:szCs w:val="32"/>
        </w:rPr>
        <w:t>三、重要资源禀赋</w:t>
      </w:r>
      <w:bookmarkEnd w:id="22"/>
      <w:bookmarkEnd w:id="23"/>
    </w:p>
    <w:p>
      <w:pPr>
        <w:spacing w:line="600" w:lineRule="exact"/>
        <w:ind w:firstLine="640" w:firstLineChars="200"/>
        <w:rPr>
          <w:rFonts w:ascii="Times New Roman" w:hAnsi="Times New Roman" w:eastAsia="方正仿宋_GBK" w:cs="Times New Roman"/>
          <w:sz w:val="32"/>
          <w:szCs w:val="32"/>
        </w:rPr>
      </w:pPr>
      <w:r>
        <w:rPr>
          <w:rFonts w:hint="eastAsia" w:ascii="方正楷体_GBK" w:hAnsi="方正楷体_GBK" w:eastAsia="方正楷体_GBK" w:cs="方正楷体_GBK"/>
          <w:sz w:val="32"/>
          <w:szCs w:val="32"/>
        </w:rPr>
        <w:t>（一）山水林田草资源。</w:t>
      </w:r>
      <w:r>
        <w:rPr>
          <w:rFonts w:hint="eastAsia" w:ascii="Times New Roman" w:hAnsi="Times New Roman" w:eastAsia="方正仿宋_GBK" w:cs="Times New Roman"/>
          <w:b/>
          <w:bCs/>
          <w:sz w:val="32"/>
          <w:szCs w:val="32"/>
        </w:rPr>
        <w:t>山体资源占比高，相对海拔相差大</w:t>
      </w:r>
      <w:r>
        <w:rPr>
          <w:rFonts w:ascii="Times New Roman" w:hAnsi="Times New Roman" w:eastAsia="方正仿宋_GBK" w:cs="Times New Roman"/>
          <w:b/>
          <w:bCs/>
          <w:sz w:val="32"/>
          <w:szCs w:val="32"/>
        </w:rPr>
        <w:t>。</w:t>
      </w:r>
      <w:r>
        <w:rPr>
          <w:rFonts w:hint="eastAsia" w:ascii="Times New Roman" w:hAnsi="Times New Roman" w:eastAsia="方正仿宋_GBK" w:cs="Times New Roman"/>
          <w:sz w:val="32"/>
          <w:szCs w:val="32"/>
        </w:rPr>
        <w:t>全区山地占比90%，以低中山为主，</w:t>
      </w:r>
      <w:r>
        <w:rPr>
          <w:rFonts w:ascii="Times New Roman" w:hAnsi="Times New Roman" w:eastAsia="方正仿宋_GBK" w:cs="Times New Roman"/>
          <w:sz w:val="32"/>
          <w:szCs w:val="32"/>
        </w:rPr>
        <w:t>主要包括灰千梁子、三塘盖、麒麟盖、八面山、五福岭、贾角山等六大山体</w:t>
      </w:r>
      <w:r>
        <w:rPr>
          <w:rFonts w:hint="eastAsia" w:ascii="Times New Roman" w:hAnsi="Times New Roman" w:eastAsia="方正仿宋_GBK" w:cs="Times New Roman"/>
          <w:sz w:val="32"/>
          <w:szCs w:val="32"/>
        </w:rPr>
        <w:t>，其中</w:t>
      </w:r>
      <w:r>
        <w:rPr>
          <w:rFonts w:ascii="Times New Roman" w:hAnsi="Times New Roman" w:eastAsia="方正仿宋_GBK" w:cs="Times New Roman"/>
          <w:sz w:val="32"/>
          <w:szCs w:val="32"/>
        </w:rPr>
        <w:t>海拔1000米以上的山体有17</w:t>
      </w:r>
      <w:r>
        <w:rPr>
          <w:rFonts w:hint="eastAsia" w:ascii="Times New Roman" w:hAnsi="Times New Roman" w:eastAsia="方正仿宋_GBK" w:cs="Times New Roman"/>
          <w:sz w:val="32"/>
          <w:szCs w:val="32"/>
        </w:rPr>
        <w:t>座</w:t>
      </w:r>
      <w:r>
        <w:rPr>
          <w:rFonts w:ascii="Times New Roman" w:hAnsi="Times New Roman" w:eastAsia="方正仿宋_GBK" w:cs="Times New Roman"/>
          <w:sz w:val="32"/>
          <w:szCs w:val="32"/>
        </w:rPr>
        <w:t>，是森林资源的主要分布区。</w:t>
      </w:r>
      <w:r>
        <w:rPr>
          <w:rFonts w:ascii="Times New Roman" w:hAnsi="Times New Roman" w:eastAsia="方正仿宋_GBK" w:cs="Times New Roman"/>
          <w:b/>
          <w:bCs/>
          <w:sz w:val="32"/>
          <w:szCs w:val="32"/>
        </w:rPr>
        <w:t>水资源总量大，储能高</w:t>
      </w:r>
      <w:r>
        <w:rPr>
          <w:rFonts w:hint="eastAsia" w:ascii="Times New Roman" w:hAnsi="Times New Roman" w:eastAsia="方正仿宋_GBK" w:cs="Times New Roman"/>
          <w:b/>
          <w:bCs/>
          <w:sz w:val="32"/>
          <w:szCs w:val="32"/>
        </w:rPr>
        <w:t>，全区水系贯通</w:t>
      </w:r>
      <w:r>
        <w:rPr>
          <w:rFonts w:ascii="Times New Roman" w:hAnsi="Times New Roman" w:eastAsia="方正仿宋_GBK" w:cs="Times New Roman"/>
          <w:b/>
          <w:bCs/>
          <w:sz w:val="32"/>
          <w:szCs w:val="32"/>
        </w:rPr>
        <w:t>。</w:t>
      </w:r>
      <w:r>
        <w:rPr>
          <w:rFonts w:hint="eastAsia" w:ascii="Times New Roman" w:hAnsi="Times New Roman" w:eastAsia="方正仿宋_GBK" w:cs="Times New Roman"/>
          <w:sz w:val="32"/>
          <w:szCs w:val="32"/>
        </w:rPr>
        <w:t>全区河流流程419公里，均属于长江水系乌江支系，以八面山为分水岭，东南为阿蓬江、诸佛江支流，西北为郁江支流，</w:t>
      </w:r>
      <w:r>
        <w:rPr>
          <w:rFonts w:ascii="Times New Roman" w:hAnsi="Times New Roman" w:eastAsia="方正仿宋_GBK" w:cs="Times New Roman"/>
          <w:sz w:val="32"/>
          <w:szCs w:val="32"/>
        </w:rPr>
        <w:t>其中多年平均水资源总量157604万立方米，每平方公里产水量65.8万立方米</w:t>
      </w:r>
      <w:r>
        <w:rPr>
          <w:rFonts w:hint="eastAsia" w:ascii="Times New Roman" w:hAnsi="Times New Roman" w:eastAsia="方正仿宋_GBK" w:cs="Times New Roman"/>
          <w:sz w:val="32"/>
          <w:szCs w:val="32"/>
        </w:rPr>
        <w:t>，水能理论蕴藏量16.6万千瓦，可供开发量10万千瓦</w:t>
      </w:r>
      <w:r>
        <w:rPr>
          <w:rFonts w:ascii="Times New Roman" w:hAnsi="Times New Roman" w:eastAsia="方正仿宋_GBK" w:cs="Times New Roman"/>
          <w:sz w:val="32"/>
          <w:szCs w:val="32"/>
        </w:rPr>
        <w:t>；水域面积约31.92平方公里，占全域面积的1.33%；现有中型水库7座、小（一）型水库2座、小（二）型水库2座。</w:t>
      </w:r>
      <w:r>
        <w:rPr>
          <w:rFonts w:ascii="Times New Roman" w:hAnsi="Times New Roman" w:eastAsia="方正仿宋_GBK" w:cs="Times New Roman"/>
          <w:b/>
          <w:bCs/>
          <w:sz w:val="32"/>
          <w:szCs w:val="32"/>
        </w:rPr>
        <w:t>林地面积大，</w:t>
      </w:r>
      <w:r>
        <w:rPr>
          <w:rFonts w:hint="eastAsia" w:ascii="Times New Roman" w:hAnsi="Times New Roman" w:eastAsia="方正仿宋_GBK" w:cs="Times New Roman"/>
          <w:b/>
          <w:bCs/>
          <w:sz w:val="32"/>
          <w:szCs w:val="32"/>
        </w:rPr>
        <w:t>乔木</w:t>
      </w:r>
      <w:r>
        <w:rPr>
          <w:rFonts w:ascii="Times New Roman" w:hAnsi="Times New Roman" w:eastAsia="方正仿宋_GBK" w:cs="Times New Roman"/>
          <w:b/>
          <w:bCs/>
          <w:sz w:val="32"/>
          <w:szCs w:val="32"/>
        </w:rPr>
        <w:t>占比高。</w:t>
      </w:r>
      <w:r>
        <w:rPr>
          <w:rFonts w:ascii="Times New Roman" w:hAnsi="Times New Roman" w:eastAsia="方正仿宋_GBK" w:cs="Times New Roman"/>
          <w:sz w:val="32"/>
          <w:szCs w:val="32"/>
        </w:rPr>
        <w:t>其中，林地面积约16</w:t>
      </w:r>
      <w:r>
        <w:rPr>
          <w:rFonts w:hint="eastAsia" w:ascii="Times New Roman" w:hAnsi="Times New Roman" w:eastAsia="方正仿宋_GBK" w:cs="Times New Roman"/>
          <w:sz w:val="32"/>
          <w:szCs w:val="32"/>
        </w:rPr>
        <w:t>34.62</w:t>
      </w:r>
      <w:r>
        <w:rPr>
          <w:rFonts w:ascii="Times New Roman" w:hAnsi="Times New Roman" w:eastAsia="方正仿宋_GBK" w:cs="Times New Roman"/>
          <w:sz w:val="32"/>
          <w:szCs w:val="32"/>
        </w:rPr>
        <w:t>平方公里，占全域面积的</w:t>
      </w:r>
      <w:r>
        <w:rPr>
          <w:rFonts w:hint="eastAsia" w:ascii="Times New Roman" w:hAnsi="Times New Roman" w:eastAsia="方正仿宋_GBK" w:cs="Times New Roman"/>
          <w:sz w:val="32"/>
          <w:szCs w:val="32"/>
        </w:rPr>
        <w:t>68.34</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，其中乔木</w:t>
      </w:r>
      <w:r>
        <w:rPr>
          <w:rFonts w:ascii="Times New Roman" w:hAnsi="Times New Roman" w:eastAsia="方正仿宋_GBK" w:cs="Times New Roman"/>
          <w:sz w:val="32"/>
          <w:szCs w:val="32"/>
        </w:rPr>
        <w:t>林地约占所有林地面积的</w:t>
      </w:r>
      <w:r>
        <w:rPr>
          <w:rFonts w:hint="eastAsia" w:ascii="Times New Roman" w:hAnsi="Times New Roman" w:eastAsia="方正仿宋_GBK" w:cs="Times New Roman"/>
          <w:sz w:val="32"/>
          <w:szCs w:val="32"/>
        </w:rPr>
        <w:t>89.10</w:t>
      </w:r>
      <w:r>
        <w:rPr>
          <w:rFonts w:ascii="Times New Roman" w:hAnsi="Times New Roman" w:eastAsia="方正仿宋_GBK" w:cs="Times New Roman"/>
          <w:sz w:val="32"/>
          <w:szCs w:val="32"/>
        </w:rPr>
        <w:t>%。</w:t>
      </w:r>
      <w:r>
        <w:rPr>
          <w:rFonts w:ascii="Times New Roman" w:hAnsi="Times New Roman" w:eastAsia="方正仿宋_GBK" w:cs="Times New Roman"/>
          <w:b/>
          <w:bCs/>
          <w:sz w:val="32"/>
          <w:szCs w:val="32"/>
        </w:rPr>
        <w:t>坡耕地占比高，优质耕地少。</w:t>
      </w:r>
      <w:r>
        <w:rPr>
          <w:rFonts w:ascii="Times New Roman" w:hAnsi="Times New Roman" w:eastAsia="方正仿宋_GBK" w:cs="Times New Roman"/>
          <w:sz w:val="32"/>
          <w:szCs w:val="32"/>
        </w:rPr>
        <w:t>其中耕地面积4</w:t>
      </w:r>
      <w:r>
        <w:rPr>
          <w:rFonts w:hint="eastAsia" w:ascii="Times New Roman" w:hAnsi="Times New Roman" w:eastAsia="方正仿宋_GBK" w:cs="Times New Roman"/>
          <w:sz w:val="32"/>
          <w:szCs w:val="32"/>
        </w:rPr>
        <w:t>56.62</w:t>
      </w:r>
      <w:r>
        <w:rPr>
          <w:rFonts w:ascii="Times New Roman" w:hAnsi="Times New Roman" w:eastAsia="方正仿宋_GBK" w:cs="Times New Roman"/>
          <w:sz w:val="32"/>
          <w:szCs w:val="32"/>
        </w:rPr>
        <w:t>平方公里，占全域面积的19.</w:t>
      </w:r>
      <w:r>
        <w:rPr>
          <w:rFonts w:hint="eastAsia" w:ascii="Times New Roman" w:hAnsi="Times New Roman" w:eastAsia="方正仿宋_GBK" w:cs="Times New Roman"/>
          <w:sz w:val="32"/>
          <w:szCs w:val="32"/>
        </w:rPr>
        <w:t>09</w:t>
      </w:r>
      <w:r>
        <w:rPr>
          <w:rFonts w:ascii="Times New Roman" w:hAnsi="Times New Roman" w:eastAsia="方正仿宋_GBK" w:cs="Times New Roman"/>
          <w:sz w:val="32"/>
          <w:szCs w:val="32"/>
        </w:rPr>
        <w:t>%，旱地面积约365.65平方公里，约占所有耕地面积的76.69%</w:t>
      </w:r>
      <w:r>
        <w:rPr>
          <w:rFonts w:hint="eastAsia" w:ascii="Times New Roman" w:hAnsi="Times New Roman" w:eastAsia="方正仿宋_GBK" w:cs="Times New Roman"/>
          <w:sz w:val="32"/>
          <w:szCs w:val="32"/>
        </w:rPr>
        <w:t>，其中水旱比约为24：76，耕地坡度多数集中在6°-15°，耕地平均质量等别为10.3等</w:t>
      </w:r>
      <w:r>
        <w:rPr>
          <w:rFonts w:ascii="Times New Roman" w:hAnsi="Times New Roman" w:eastAsia="方正仿宋_GBK" w:cs="Times New Roman"/>
          <w:sz w:val="32"/>
          <w:szCs w:val="32"/>
        </w:rPr>
        <w:t>。</w:t>
      </w:r>
      <w:r>
        <w:rPr>
          <w:rFonts w:ascii="Times New Roman" w:hAnsi="Times New Roman" w:eastAsia="方正仿宋_GBK" w:cs="Times New Roman"/>
          <w:b/>
          <w:bCs/>
          <w:sz w:val="32"/>
          <w:szCs w:val="32"/>
        </w:rPr>
        <w:t>草地资源稀少</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全区</w:t>
      </w:r>
      <w:r>
        <w:rPr>
          <w:rFonts w:ascii="Times New Roman" w:hAnsi="Times New Roman" w:eastAsia="方正仿宋_GBK" w:cs="Times New Roman"/>
          <w:sz w:val="32"/>
          <w:szCs w:val="32"/>
        </w:rPr>
        <w:t>草地面积仅为1.</w:t>
      </w:r>
      <w:r>
        <w:rPr>
          <w:rFonts w:hint="eastAsia" w:ascii="Times New Roman" w:hAnsi="Times New Roman" w:eastAsia="方正仿宋_GBK" w:cs="Times New Roman"/>
          <w:sz w:val="32"/>
          <w:szCs w:val="32"/>
        </w:rPr>
        <w:t>61</w:t>
      </w:r>
      <w:r>
        <w:rPr>
          <w:rFonts w:ascii="Times New Roman" w:hAnsi="Times New Roman" w:eastAsia="方正仿宋_GBK" w:cs="Times New Roman"/>
          <w:sz w:val="32"/>
          <w:szCs w:val="32"/>
        </w:rPr>
        <w:t>平方公里，约占全域面积的0.07%，主要分布在阿蓬江镇、鹅池镇、城南街道及舟白街道，占比73.27</w:t>
      </w:r>
      <w:r>
        <w:rPr>
          <w:rFonts w:hint="eastAsia" w:ascii="Times New Roman" w:hAnsi="Times New Roman" w:eastAsia="方正仿宋_GBK" w:cs="Times New Roman"/>
          <w:sz w:val="32"/>
          <w:szCs w:val="32"/>
        </w:rPr>
        <w:t>%。</w:t>
      </w:r>
    </w:p>
    <w:p>
      <w:pPr>
        <w:spacing w:line="600" w:lineRule="exact"/>
        <w:ind w:firstLine="640" w:firstLineChars="200"/>
        <w:rPr>
          <w:rFonts w:ascii="Times New Roman" w:hAnsi="Times New Roman" w:eastAsia="方正仿宋_GBK" w:cs="Times New Roman"/>
          <w:sz w:val="32"/>
          <w:szCs w:val="32"/>
        </w:rPr>
      </w:pPr>
      <w:r>
        <w:rPr>
          <w:rFonts w:hint="eastAsia" w:ascii="方正楷体_GBK" w:hAnsi="方正楷体_GBK" w:eastAsia="方正楷体_GBK" w:cs="方正楷体_GBK"/>
          <w:sz w:val="32"/>
          <w:szCs w:val="32"/>
        </w:rPr>
        <w:t>（二）矿产资源。</w:t>
      </w:r>
      <w:r>
        <w:rPr>
          <w:rFonts w:hint="eastAsia" w:ascii="Times New Roman" w:hAnsi="Times New Roman" w:eastAsia="方正仿宋_GBK" w:cs="Times New Roman"/>
          <w:sz w:val="32"/>
          <w:szCs w:val="32"/>
        </w:rPr>
        <w:t>黔江区矿产多样，分布广泛目前</w:t>
      </w:r>
      <w:r>
        <w:rPr>
          <w:rFonts w:ascii="Times New Roman" w:hAnsi="Times New Roman" w:eastAsia="方正仿宋_GBK" w:cs="Times New Roman"/>
          <w:sz w:val="32"/>
          <w:szCs w:val="32"/>
        </w:rPr>
        <w:t>已发现矿产</w:t>
      </w:r>
      <w:r>
        <w:rPr>
          <w:rFonts w:hint="eastAsia" w:ascii="Times New Roman" w:hAnsi="Times New Roman" w:eastAsia="方正仿宋_GBK" w:cs="Times New Roman"/>
          <w:sz w:val="32"/>
          <w:szCs w:val="32"/>
        </w:rPr>
        <w:t>资源23</w:t>
      </w:r>
      <w:r>
        <w:rPr>
          <w:rFonts w:ascii="Times New Roman" w:hAnsi="Times New Roman" w:eastAsia="方正仿宋_GBK" w:cs="Times New Roman"/>
          <w:sz w:val="32"/>
          <w:szCs w:val="32"/>
        </w:rPr>
        <w:t>种，</w:t>
      </w:r>
      <w:r>
        <w:rPr>
          <w:rFonts w:hint="eastAsia" w:ascii="Times New Roman" w:hAnsi="Times New Roman" w:eastAsia="方正仿宋_GBK" w:cs="Times New Roman"/>
          <w:sz w:val="32"/>
          <w:szCs w:val="32"/>
        </w:rPr>
        <w:t>其中铝土矿、铅锌矿、煤、地热、萤石、重晶石、石灰岩、石英砂岩、白云岩为优势矿种</w:t>
      </w:r>
      <w:bookmarkStart w:id="24" w:name="_Hlk119791251"/>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查明各类矿产地共63处，</w:t>
      </w:r>
      <w:r>
        <w:rPr>
          <w:rFonts w:hint="eastAsia" w:ascii="Times New Roman" w:hAnsi="Times New Roman" w:eastAsia="方正仿宋_GBK" w:cs="Times New Roman"/>
          <w:sz w:val="32"/>
          <w:szCs w:val="32"/>
        </w:rPr>
        <w:t>包括</w:t>
      </w:r>
      <w:r>
        <w:rPr>
          <w:rFonts w:ascii="Times New Roman" w:hAnsi="Times New Roman" w:eastAsia="方正仿宋_GBK" w:cs="Times New Roman"/>
          <w:sz w:val="32"/>
          <w:szCs w:val="32"/>
        </w:rPr>
        <w:t>大型矿产地1处、中型矿产地4处、小型矿产地58处</w:t>
      </w:r>
      <w:bookmarkEnd w:id="24"/>
      <w:r>
        <w:rPr>
          <w:rFonts w:ascii="Times New Roman" w:hAnsi="Times New Roman" w:eastAsia="方正仿宋_GBK" w:cs="Times New Roman"/>
          <w:sz w:val="32"/>
          <w:szCs w:val="32"/>
        </w:rPr>
        <w:t>。</w:t>
      </w:r>
    </w:p>
    <w:p>
      <w:pPr>
        <w:spacing w:line="600" w:lineRule="exact"/>
        <w:ind w:firstLine="640" w:firstLineChars="200"/>
        <w:rPr>
          <w:rFonts w:ascii="Times New Roman" w:hAnsi="Times New Roman" w:eastAsia="方正仿宋_GBK" w:cs="Times New Roman"/>
          <w:sz w:val="32"/>
          <w:szCs w:val="32"/>
        </w:rPr>
      </w:pPr>
      <w:r>
        <w:rPr>
          <w:rFonts w:hint="eastAsia" w:ascii="方正楷体_GBK" w:hAnsi="方正楷体_GBK" w:eastAsia="方正楷体_GBK" w:cs="方正楷体_GBK"/>
          <w:sz w:val="32"/>
          <w:szCs w:val="32"/>
        </w:rPr>
        <w:t>（三）生物资源。</w:t>
      </w:r>
      <w:r>
        <w:rPr>
          <w:rFonts w:ascii="Times New Roman" w:hAnsi="Times New Roman" w:eastAsia="方正仿宋_GBK" w:cs="Times New Roman"/>
          <w:sz w:val="32"/>
          <w:szCs w:val="32"/>
        </w:rPr>
        <w:t>黔江区</w:t>
      </w:r>
      <w:r>
        <w:rPr>
          <w:rFonts w:hint="eastAsia" w:ascii="Times New Roman" w:hAnsi="Times New Roman" w:eastAsia="方正仿宋_GBK" w:cs="Times New Roman"/>
          <w:sz w:val="32"/>
          <w:szCs w:val="32"/>
        </w:rPr>
        <w:t>生物多样性丰富，其中</w:t>
      </w:r>
      <w:r>
        <w:rPr>
          <w:rFonts w:ascii="Times New Roman" w:hAnsi="Times New Roman" w:eastAsia="方正仿宋_GBK" w:cs="Times New Roman"/>
          <w:sz w:val="32"/>
          <w:szCs w:val="32"/>
        </w:rPr>
        <w:t>植物种类多，</w:t>
      </w:r>
      <w:r>
        <w:rPr>
          <w:rFonts w:hint="eastAsia" w:ascii="Times New Roman" w:hAnsi="Times New Roman" w:eastAsia="方正仿宋_GBK" w:cs="Times New Roman"/>
          <w:sz w:val="32"/>
          <w:szCs w:val="32"/>
        </w:rPr>
        <w:t>有乔木1</w:t>
      </w:r>
      <w:r>
        <w:rPr>
          <w:rFonts w:ascii="Times New Roman" w:hAnsi="Times New Roman" w:eastAsia="方正仿宋_GBK" w:cs="Times New Roman"/>
          <w:sz w:val="32"/>
          <w:szCs w:val="32"/>
        </w:rPr>
        <w:t>47</w:t>
      </w:r>
      <w:r>
        <w:rPr>
          <w:rFonts w:hint="eastAsia" w:ascii="Times New Roman" w:hAnsi="Times New Roman" w:eastAsia="方正仿宋_GBK" w:cs="Times New Roman"/>
          <w:sz w:val="32"/>
          <w:szCs w:val="32"/>
        </w:rPr>
        <w:t>种、草本植物2</w:t>
      </w:r>
      <w:r>
        <w:rPr>
          <w:rFonts w:ascii="Times New Roman" w:hAnsi="Times New Roman" w:eastAsia="方正仿宋_GBK" w:cs="Times New Roman"/>
          <w:sz w:val="32"/>
          <w:szCs w:val="32"/>
        </w:rPr>
        <w:t>00</w:t>
      </w:r>
      <w:r>
        <w:rPr>
          <w:rFonts w:hint="eastAsia" w:ascii="Times New Roman" w:hAnsi="Times New Roman" w:eastAsia="方正仿宋_GBK" w:cs="Times New Roman"/>
          <w:sz w:val="32"/>
          <w:szCs w:val="32"/>
        </w:rPr>
        <w:t>余种、粮食作物2</w:t>
      </w:r>
      <w:r>
        <w:rPr>
          <w:rFonts w:ascii="Times New Roman" w:hAnsi="Times New Roman" w:eastAsia="方正仿宋_GBK" w:cs="Times New Roman"/>
          <w:sz w:val="32"/>
          <w:szCs w:val="32"/>
        </w:rPr>
        <w:t>66</w:t>
      </w:r>
      <w:r>
        <w:rPr>
          <w:rFonts w:hint="eastAsia" w:ascii="Times New Roman" w:hAnsi="Times New Roman" w:eastAsia="方正仿宋_GBK" w:cs="Times New Roman"/>
          <w:sz w:val="32"/>
          <w:szCs w:val="32"/>
        </w:rPr>
        <w:t>种、经济作物8</w:t>
      </w:r>
      <w:r>
        <w:rPr>
          <w:rFonts w:ascii="Times New Roman" w:hAnsi="Times New Roman" w:eastAsia="方正仿宋_GBK" w:cs="Times New Roman"/>
          <w:sz w:val="32"/>
          <w:szCs w:val="32"/>
        </w:rPr>
        <w:t>9</w:t>
      </w:r>
      <w:r>
        <w:rPr>
          <w:rFonts w:hint="eastAsia" w:ascii="Times New Roman" w:hAnsi="Times New Roman" w:eastAsia="方正仿宋_GBK" w:cs="Times New Roman"/>
          <w:sz w:val="32"/>
          <w:szCs w:val="32"/>
        </w:rPr>
        <w:t>种、药用植物6</w:t>
      </w:r>
      <w:r>
        <w:rPr>
          <w:rFonts w:ascii="Times New Roman" w:hAnsi="Times New Roman" w:eastAsia="方正仿宋_GBK" w:cs="Times New Roman"/>
          <w:sz w:val="32"/>
          <w:szCs w:val="32"/>
        </w:rPr>
        <w:t>72</w:t>
      </w:r>
      <w:r>
        <w:rPr>
          <w:rFonts w:hint="eastAsia" w:ascii="Times New Roman" w:hAnsi="Times New Roman" w:eastAsia="方正仿宋_GBK" w:cs="Times New Roman"/>
          <w:sz w:val="32"/>
          <w:szCs w:val="32"/>
        </w:rPr>
        <w:t>种；野生动物资源丰富，分布有哺乳动物7目、18科、41种，鸟类16目、45科、111种，爬行动物3目、7科、31种，两栖动物2目、8科、21种，且有国家Ⅱ级保护动物7种，即大鲵、鸳鸯、苍鹰、普通鵟、红脚隼、红隼、水獭等</w:t>
      </w:r>
      <w:r>
        <w:rPr>
          <w:rFonts w:ascii="Times New Roman" w:hAnsi="Times New Roman" w:eastAsia="方正仿宋_GBK" w:cs="Times New Roman"/>
          <w:sz w:val="32"/>
          <w:szCs w:val="32"/>
        </w:rPr>
        <w:t>。</w:t>
      </w:r>
    </w:p>
    <w:p>
      <w:pPr>
        <w:spacing w:line="600" w:lineRule="exact"/>
        <w:ind w:firstLine="640" w:firstLineChars="200"/>
        <w:rPr>
          <w:rFonts w:ascii="Times New Roman" w:hAnsi="Times New Roman" w:eastAsia="方正仿宋_GBK" w:cs="Times New Roman"/>
          <w:color w:val="FF0000"/>
          <w:sz w:val="32"/>
          <w:szCs w:val="32"/>
        </w:rPr>
      </w:pPr>
      <w:r>
        <w:rPr>
          <w:rFonts w:hint="eastAsia" w:ascii="方正楷体_GBK" w:hAnsi="方正楷体_GBK" w:eastAsia="方正楷体_GBK" w:cs="方正楷体_GBK"/>
          <w:sz w:val="32"/>
          <w:szCs w:val="32"/>
        </w:rPr>
        <w:t>（四）管控要素。</w:t>
      </w:r>
      <w:r>
        <w:rPr>
          <w:rFonts w:hint="eastAsia" w:ascii="Times New Roman" w:hAnsi="Times New Roman" w:eastAsia="方正仿宋_GBK" w:cs="Times New Roman"/>
          <w:sz w:val="32"/>
          <w:szCs w:val="32"/>
        </w:rPr>
        <w:t>黔江区管控要素包括生态保护红线、永久基本农田管控要素，叠加后总规模约</w:t>
      </w:r>
      <w:r>
        <w:rPr>
          <w:rFonts w:ascii="Times New Roman" w:hAnsi="Times New Roman" w:eastAsia="方正仿宋_GBK" w:cs="Times New Roman"/>
          <w:sz w:val="32"/>
          <w:szCs w:val="32"/>
        </w:rPr>
        <w:t>913.89</w:t>
      </w:r>
      <w:r>
        <w:rPr>
          <w:rFonts w:hint="eastAsia" w:ascii="Times New Roman" w:hAnsi="Times New Roman" w:eastAsia="方正仿宋_GBK" w:cs="Times New Roman"/>
          <w:sz w:val="32"/>
          <w:szCs w:val="32"/>
        </w:rPr>
        <w:t>平方公里，约</w:t>
      </w:r>
      <w:bookmarkStart w:id="25" w:name="_Hlk119791821"/>
      <w:r>
        <w:rPr>
          <w:rFonts w:hint="eastAsia" w:ascii="Times New Roman" w:hAnsi="Times New Roman" w:eastAsia="方正仿宋_GBK" w:cs="Times New Roman"/>
          <w:sz w:val="32"/>
          <w:szCs w:val="32"/>
        </w:rPr>
        <w:t>占全域总面积的</w:t>
      </w:r>
      <w:r>
        <w:rPr>
          <w:rFonts w:ascii="Times New Roman" w:hAnsi="Times New Roman" w:eastAsia="方正仿宋_GBK" w:cs="Times New Roman"/>
          <w:sz w:val="32"/>
          <w:szCs w:val="32"/>
        </w:rPr>
        <w:t>38.05</w:t>
      </w:r>
      <w:r>
        <w:rPr>
          <w:rFonts w:hint="eastAsia" w:ascii="Times New Roman" w:hAnsi="Times New Roman" w:eastAsia="方正仿宋_GBK" w:cs="Times New Roman"/>
          <w:sz w:val="32"/>
          <w:szCs w:val="32"/>
        </w:rPr>
        <w:t>%</w:t>
      </w:r>
      <w:bookmarkEnd w:id="25"/>
      <w:r>
        <w:rPr>
          <w:rFonts w:hint="eastAsia" w:ascii="Times New Roman" w:hAnsi="Times New Roman" w:eastAsia="方正仿宋_GBK" w:cs="Times New Roman"/>
          <w:sz w:val="32"/>
          <w:szCs w:val="32"/>
        </w:rPr>
        <w:t>。其中，生态保护红线面积</w:t>
      </w:r>
      <w:r>
        <w:rPr>
          <w:rFonts w:ascii="Times New Roman" w:hAnsi="Times New Roman" w:eastAsia="方正仿宋_GBK" w:cs="Times New Roman"/>
          <w:sz w:val="32"/>
          <w:szCs w:val="32"/>
        </w:rPr>
        <w:t>579.48</w:t>
      </w:r>
      <w:r>
        <w:rPr>
          <w:rFonts w:hint="eastAsia" w:ascii="Times New Roman" w:hAnsi="Times New Roman" w:eastAsia="方正仿宋_GBK" w:cs="Times New Roman"/>
          <w:sz w:val="32"/>
          <w:szCs w:val="32"/>
        </w:rPr>
        <w:t>平方公里，主要分布于小南海、阿蓬江沿线、五福岭、武陵山以及石家镇、鹅池镇、水市镇、沙坝镇、石会镇等地。其中，自然保护地总面积为409.07平方公里，包括1个国家级森林自然公园、1个国家级地质自然公园、1个国家级湿地自然公园、2个市级自然保护区、1个市级森林自然公园，主要分布在灰千梁子、五福岭等几大山体周围。永久基本农田面积</w:t>
      </w:r>
      <w:r>
        <w:rPr>
          <w:rFonts w:ascii="Times New Roman" w:hAnsi="Times New Roman" w:eastAsia="方正仿宋_GBK" w:cs="Times New Roman"/>
          <w:sz w:val="32"/>
          <w:szCs w:val="32"/>
        </w:rPr>
        <w:t>320.93</w:t>
      </w:r>
      <w:r>
        <w:rPr>
          <w:rFonts w:hint="eastAsia" w:ascii="Times New Roman" w:hAnsi="Times New Roman" w:eastAsia="方正仿宋_GBK" w:cs="Times New Roman"/>
          <w:sz w:val="32"/>
          <w:szCs w:val="32"/>
        </w:rPr>
        <w:t>平方公里，大体呈“大分散、小集中”分布，西北部和南部区域分布相对集中，中部区域分布较零散。</w:t>
      </w:r>
    </w:p>
    <w:p>
      <w:pPr>
        <w:spacing w:before="312" w:beforeLines="100" w:after="156" w:afterLines="50" w:line="600" w:lineRule="exact"/>
        <w:ind w:firstLine="640" w:firstLineChars="200"/>
        <w:outlineLvl w:val="1"/>
        <w:rPr>
          <w:rFonts w:ascii="方正小标宋_GBK" w:hAnsi="方正小标宋_GBK" w:eastAsia="方正小标宋_GBK" w:cs="方正小标宋_GBK"/>
          <w:sz w:val="32"/>
          <w:szCs w:val="32"/>
        </w:rPr>
      </w:pPr>
      <w:bookmarkStart w:id="26" w:name="_Toc15836"/>
      <w:bookmarkStart w:id="27" w:name="_Toc2024"/>
      <w:bookmarkStart w:id="28" w:name="_Toc12842"/>
      <w:r>
        <w:rPr>
          <w:rFonts w:hint="eastAsia" w:ascii="方正小标宋_GBK" w:hAnsi="方正小标宋_GBK" w:eastAsia="方正小标宋_GBK" w:cs="方正小标宋_GBK"/>
          <w:sz w:val="32"/>
          <w:szCs w:val="32"/>
        </w:rPr>
        <w:t>第二节</w:t>
      </w:r>
      <w:r>
        <w:rPr>
          <w:rFonts w:ascii="方正小标宋_GBK" w:hAnsi="方正小标宋_GBK" w:eastAsia="方正小标宋_GBK" w:cs="方正小标宋_GBK"/>
          <w:sz w:val="32"/>
          <w:szCs w:val="32"/>
        </w:rPr>
        <w:t xml:space="preserve"> </w:t>
      </w:r>
      <w:r>
        <w:rPr>
          <w:rFonts w:hint="eastAsia" w:ascii="方正小标宋_GBK" w:hAnsi="方正小标宋_GBK" w:eastAsia="方正小标宋_GBK" w:cs="方正小标宋_GBK"/>
          <w:sz w:val="32"/>
          <w:szCs w:val="32"/>
        </w:rPr>
        <w:t>综合评价</w:t>
      </w:r>
      <w:bookmarkEnd w:id="26"/>
      <w:bookmarkEnd w:id="27"/>
      <w:bookmarkEnd w:id="28"/>
    </w:p>
    <w:p>
      <w:pPr>
        <w:spacing w:line="600" w:lineRule="exact"/>
        <w:ind w:firstLine="640" w:firstLineChars="200"/>
        <w:outlineLvl w:val="2"/>
        <w:rPr>
          <w:rFonts w:ascii="Times New Roman" w:hAnsi="Times New Roman" w:eastAsia="方正仿宋_GBK" w:cs="Times New Roman"/>
          <w:sz w:val="32"/>
          <w:szCs w:val="32"/>
        </w:rPr>
      </w:pPr>
      <w:bookmarkStart w:id="29" w:name="_Toc13152"/>
      <w:bookmarkStart w:id="30" w:name="_Toc37"/>
      <w:r>
        <w:rPr>
          <w:rFonts w:ascii="Times New Roman" w:hAnsi="Times New Roman" w:eastAsia="方正黑体_GBK" w:cs="Times New Roman"/>
          <w:sz w:val="32"/>
          <w:szCs w:val="32"/>
        </w:rPr>
        <w:t>一、生态系统现状</w:t>
      </w:r>
      <w:bookmarkEnd w:id="29"/>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依据生态环境部发布的《全国生态状况调查评估技术规范</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生态系统遥感解译与野外核查》（HJ 1166—2021）中关于全国生态系统分类体系标准，结合黔江区国土三调、地理国情</w:t>
      </w:r>
      <w:r>
        <w:rPr>
          <w:rFonts w:hint="eastAsia" w:ascii="Times New Roman" w:hAnsi="Times New Roman" w:eastAsia="方正仿宋_GBK" w:cs="Times New Roman"/>
          <w:sz w:val="32"/>
          <w:szCs w:val="32"/>
        </w:rPr>
        <w:t>监测</w:t>
      </w:r>
      <w:r>
        <w:rPr>
          <w:rFonts w:ascii="Times New Roman" w:hAnsi="Times New Roman" w:eastAsia="方正仿宋_GBK" w:cs="Times New Roman"/>
          <w:sz w:val="32"/>
          <w:szCs w:val="32"/>
        </w:rPr>
        <w:t>数据等</w:t>
      </w:r>
      <w:r>
        <w:rPr>
          <w:rFonts w:hint="eastAsia" w:ascii="Times New Roman" w:hAnsi="Times New Roman" w:eastAsia="方正仿宋_GBK" w:cs="Times New Roman"/>
          <w:sz w:val="32"/>
          <w:szCs w:val="32"/>
        </w:rPr>
        <w:t>测绘数据</w:t>
      </w:r>
      <w:r>
        <w:rPr>
          <w:rFonts w:ascii="Times New Roman" w:hAnsi="Times New Roman" w:eastAsia="方正仿宋_GBK" w:cs="Times New Roman"/>
          <w:sz w:val="32"/>
          <w:szCs w:val="32"/>
        </w:rPr>
        <w:t>，立足黔江区的生态</w:t>
      </w:r>
      <w:r>
        <w:rPr>
          <w:rFonts w:hint="eastAsia" w:ascii="Times New Roman" w:hAnsi="Times New Roman" w:eastAsia="方正仿宋_GBK" w:cs="Times New Roman"/>
          <w:sz w:val="32"/>
          <w:szCs w:val="32"/>
        </w:rPr>
        <w:t>本底</w:t>
      </w:r>
      <w:r>
        <w:rPr>
          <w:rFonts w:ascii="Times New Roman" w:hAnsi="Times New Roman" w:eastAsia="方正仿宋_GBK" w:cs="Times New Roman"/>
          <w:sz w:val="32"/>
          <w:szCs w:val="32"/>
        </w:rPr>
        <w:t>，从系统性出发，将</w:t>
      </w:r>
      <w:r>
        <w:rPr>
          <w:rFonts w:hint="eastAsia" w:ascii="Times New Roman" w:hAnsi="Times New Roman" w:eastAsia="方正仿宋_GBK" w:cs="Times New Roman"/>
          <w:sz w:val="32"/>
          <w:szCs w:val="32"/>
        </w:rPr>
        <w:t>黔江区</w:t>
      </w:r>
      <w:r>
        <w:rPr>
          <w:rFonts w:ascii="Times New Roman" w:hAnsi="Times New Roman" w:eastAsia="方正仿宋_GBK" w:cs="Times New Roman"/>
          <w:sz w:val="32"/>
          <w:szCs w:val="32"/>
        </w:rPr>
        <w:t>生态系统分为7类，其中森林、灌丛、草地、湿地、其他等类型属于自然生态系统，城镇、农田等类型属于人工生态系统。</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数据表明，</w:t>
      </w:r>
      <w:r>
        <w:rPr>
          <w:rFonts w:hint="eastAsia" w:ascii="Times New Roman" w:hAnsi="Times New Roman" w:eastAsia="方正仿宋_GBK" w:cs="Times New Roman"/>
          <w:sz w:val="32"/>
          <w:szCs w:val="32"/>
        </w:rPr>
        <w:t>黔江区自然生态系统占主导优势，面积1688.43平方公里、占比70.59%。其中，森林生态系统规模较大，面积1489.18平方公里、占比62.26%，灌丛生态系统面积162.41平方公里、占比6.79%，湿地、草地、其他生态系统规模相对较少。人工生态系统面积703.45平方公里、占比29.41%，其中农田生态系统面积579.07平方公里、占比24.21%，城镇生态系统面积124.38平方公里、占比5.20%。总体来看，</w:t>
      </w:r>
      <w:r>
        <w:rPr>
          <w:rFonts w:ascii="Times New Roman" w:hAnsi="Times New Roman" w:eastAsia="方正仿宋_GBK" w:cs="Times New Roman"/>
          <w:sz w:val="32"/>
          <w:szCs w:val="32"/>
        </w:rPr>
        <w:t>黔江区生态系统</w:t>
      </w:r>
      <w:r>
        <w:rPr>
          <w:rFonts w:hint="eastAsia" w:ascii="Times New Roman" w:hAnsi="Times New Roman" w:eastAsia="方正仿宋_GBK" w:cs="Times New Roman"/>
          <w:sz w:val="32"/>
          <w:szCs w:val="32"/>
        </w:rPr>
        <w:t>质量</w:t>
      </w:r>
      <w:r>
        <w:rPr>
          <w:rFonts w:ascii="Times New Roman" w:hAnsi="Times New Roman" w:eastAsia="方正仿宋_GBK" w:cs="Times New Roman"/>
          <w:sz w:val="32"/>
          <w:szCs w:val="32"/>
        </w:rPr>
        <w:t>整体较高，</w:t>
      </w:r>
      <w:r>
        <w:rPr>
          <w:rFonts w:hint="eastAsia" w:ascii="Times New Roman" w:hAnsi="Times New Roman" w:eastAsia="方正仿宋_GBK" w:cs="Times New Roman"/>
          <w:sz w:val="32"/>
          <w:szCs w:val="32"/>
        </w:rPr>
        <w:t>发挥了重要的生态屏障功能</w:t>
      </w:r>
      <w:r>
        <w:rPr>
          <w:rFonts w:ascii="Times New Roman" w:hAnsi="Times New Roman" w:eastAsia="方正仿宋_GBK" w:cs="Times New Roman"/>
          <w:sz w:val="32"/>
          <w:szCs w:val="32"/>
        </w:rPr>
        <w:t>。</w:t>
      </w:r>
    </w:p>
    <w:p>
      <w:pPr>
        <w:spacing w:line="600" w:lineRule="exact"/>
        <w:ind w:firstLine="640" w:firstLineChars="200"/>
        <w:outlineLvl w:val="2"/>
        <w:rPr>
          <w:rFonts w:ascii="Times New Roman" w:hAnsi="Times New Roman" w:eastAsia="方正黑体_GBK" w:cs="Times New Roman"/>
          <w:sz w:val="32"/>
          <w:szCs w:val="32"/>
        </w:rPr>
      </w:pPr>
      <w:bookmarkStart w:id="31" w:name="_Toc572"/>
      <w:r>
        <w:rPr>
          <w:rFonts w:ascii="Times New Roman" w:hAnsi="Times New Roman" w:eastAsia="方正黑体_GBK" w:cs="Times New Roman"/>
          <w:sz w:val="32"/>
          <w:szCs w:val="32"/>
        </w:rPr>
        <w:t>二、生态系统综合评价</w:t>
      </w:r>
      <w:bookmarkEnd w:id="31"/>
    </w:p>
    <w:p>
      <w:pPr>
        <w:ind w:firstLine="640" w:firstLineChars="200"/>
        <w:rPr>
          <w:rFonts w:ascii="Times New Roman" w:hAnsi="Times New Roman" w:eastAsia="方正仿宋_GBK" w:cs="Times New Roman"/>
          <w:sz w:val="32"/>
          <w:szCs w:val="32"/>
        </w:rPr>
      </w:pPr>
      <w:r>
        <w:rPr>
          <w:rFonts w:hint="eastAsia" w:ascii="方正楷体_GBK" w:hAnsi="方正楷体_GBK" w:eastAsia="方正楷体_GBK" w:cs="方正楷体_GBK"/>
          <w:sz w:val="32"/>
          <w:szCs w:val="32"/>
        </w:rPr>
        <w:t>（一）生态系统服务功能重要性评价</w:t>
      </w:r>
      <w:bookmarkEnd w:id="30"/>
      <w:r>
        <w:rPr>
          <w:rFonts w:hint="eastAsia" w:ascii="方正楷体_GBK" w:hAnsi="方正楷体_GBK" w:eastAsia="方正楷体_GBK" w:cs="方正楷体_GBK"/>
          <w:sz w:val="32"/>
          <w:szCs w:val="32"/>
        </w:rPr>
        <w:t>。</w:t>
      </w:r>
      <w:r>
        <w:rPr>
          <w:rFonts w:hint="eastAsia" w:ascii="Times New Roman" w:hAnsi="Times New Roman" w:eastAsia="方正仿宋_GBK" w:cs="Times New Roman"/>
          <w:sz w:val="32"/>
          <w:szCs w:val="32"/>
        </w:rPr>
        <w:t>黔江区内以</w:t>
      </w:r>
      <w:r>
        <w:rPr>
          <w:rFonts w:ascii="Times New Roman" w:hAnsi="Times New Roman" w:eastAsia="方正仿宋_GBK" w:cs="Times New Roman"/>
          <w:sz w:val="32"/>
          <w:szCs w:val="32"/>
        </w:rPr>
        <w:t>生态系统服务功能重要性</w:t>
      </w:r>
      <w:r>
        <w:rPr>
          <w:rFonts w:hint="eastAsia" w:ascii="Times New Roman" w:hAnsi="Times New Roman" w:eastAsia="方正仿宋_GBK" w:cs="Times New Roman"/>
          <w:sz w:val="32"/>
          <w:szCs w:val="32"/>
        </w:rPr>
        <w:t>高的区域为主</w:t>
      </w:r>
      <w:r>
        <w:rPr>
          <w:rFonts w:ascii="Times New Roman" w:hAnsi="Times New Roman" w:eastAsia="方正仿宋_GBK" w:cs="Times New Roman"/>
          <w:sz w:val="32"/>
          <w:szCs w:val="32"/>
        </w:rPr>
        <w:t>。其中生态系统服务功能高重要性区域面积为1482.58平方公里，占全区面积的61.98%；低重要性的区域面积75.29平方公里，占全区面积的3.15%。空间分布上，全区生态系统服务功能整体呈现出中部生态系统服务功能重要性低，北部和东部山区生态系统服务功能重要性高的特征。高重要性区域集中分布于八面山、三塘盖和灰千梁子等山区；</w:t>
      </w:r>
      <w:bookmarkStart w:id="32" w:name="_Hlk119770342"/>
      <w:r>
        <w:rPr>
          <w:rFonts w:ascii="Times New Roman" w:hAnsi="Times New Roman" w:eastAsia="方正仿宋_GBK" w:cs="Times New Roman"/>
          <w:sz w:val="32"/>
          <w:szCs w:val="32"/>
        </w:rPr>
        <w:t>低重要区</w:t>
      </w:r>
      <w:bookmarkEnd w:id="32"/>
      <w:r>
        <w:rPr>
          <w:rFonts w:ascii="Times New Roman" w:hAnsi="Times New Roman" w:eastAsia="方正仿宋_GBK" w:cs="Times New Roman"/>
          <w:sz w:val="32"/>
          <w:szCs w:val="32"/>
        </w:rPr>
        <w:t>主要分布于中部</w:t>
      </w:r>
      <w:bookmarkStart w:id="33" w:name="_Hlk127657489"/>
      <w:r>
        <w:rPr>
          <w:rFonts w:hint="eastAsia" w:ascii="Times New Roman" w:hAnsi="Times New Roman" w:eastAsia="方正仿宋_GBK" w:cs="Times New Roman"/>
          <w:sz w:val="32"/>
          <w:szCs w:val="32"/>
        </w:rPr>
        <w:t>舟白</w:t>
      </w:r>
      <w:bookmarkEnd w:id="33"/>
      <w:r>
        <w:rPr>
          <w:rFonts w:ascii="Times New Roman" w:hAnsi="Times New Roman" w:eastAsia="方正仿宋_GBK" w:cs="Times New Roman"/>
          <w:sz w:val="32"/>
          <w:szCs w:val="32"/>
        </w:rPr>
        <w:t>街道、城西街道、正阳街道以及冯家街道等城镇建设区域。</w:t>
      </w:r>
    </w:p>
    <w:p>
      <w:pPr>
        <w:spacing w:line="600" w:lineRule="exact"/>
        <w:ind w:firstLine="640" w:firstLineChars="200"/>
        <w:rPr>
          <w:rFonts w:ascii="Times New Roman" w:hAnsi="Times New Roman" w:eastAsia="方正仿宋_GBK" w:cs="Times New Roman"/>
          <w:sz w:val="32"/>
          <w:szCs w:val="32"/>
        </w:rPr>
      </w:pPr>
      <w:bookmarkStart w:id="34" w:name="_Toc31486"/>
      <w:r>
        <w:rPr>
          <w:rFonts w:ascii="Times New Roman" w:hAnsi="Times New Roman" w:eastAsia="方正楷体_GBK" w:cs="Times New Roman"/>
          <w:sz w:val="32"/>
          <w:szCs w:val="32"/>
        </w:rPr>
        <w:t>（二）生态系统敏感性评价</w:t>
      </w:r>
      <w:bookmarkEnd w:id="34"/>
      <w:r>
        <w:rPr>
          <w:rFonts w:hint="eastAsia" w:ascii="Times New Roman" w:hAnsi="Times New Roman" w:eastAsia="方正楷体_GBK" w:cs="Times New Roman"/>
          <w:sz w:val="32"/>
          <w:szCs w:val="32"/>
        </w:rPr>
        <w:t>。</w:t>
      </w:r>
      <w:r>
        <w:rPr>
          <w:rFonts w:hint="eastAsia" w:ascii="Times New Roman" w:hAnsi="Times New Roman" w:eastAsia="方正仿宋_GBK" w:cs="Times New Roman"/>
          <w:sz w:val="32"/>
          <w:szCs w:val="32"/>
        </w:rPr>
        <w:t>黔江</w:t>
      </w:r>
      <w:r>
        <w:rPr>
          <w:rFonts w:ascii="Times New Roman" w:hAnsi="Times New Roman" w:eastAsia="方正仿宋_GBK" w:cs="Times New Roman"/>
          <w:sz w:val="32"/>
          <w:szCs w:val="32"/>
        </w:rPr>
        <w:t>区生态系统以较低敏感性和低敏感性为主，其中生态敏感性较高及以上区域面积为78.14平方公里</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占全区面积的3.27%；生态敏感性较低敏感性和低敏感性区域面积分别为1148.30平方公里和646.53平方公里</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占全区面积的48.01%和27.03%。空间分布上，全区整体呈现出中部较高敏感和高敏感，东部中等敏感，北部和南部较低敏感的特征。其中部较高敏感以上区域主要分布于人口密集的舟白街道、正阳街道和城南街道，东部中等敏感区域集中分布于阿蓬江流域两侧及南部的濯水镇、阿蓬江镇、五里镇以及马喇镇。</w:t>
      </w:r>
    </w:p>
    <w:p>
      <w:pPr>
        <w:spacing w:line="600" w:lineRule="exact"/>
        <w:ind w:firstLine="640" w:firstLineChars="200"/>
        <w:rPr>
          <w:rFonts w:ascii="Times New Roman" w:hAnsi="Times New Roman" w:eastAsia="方正仿宋_GBK" w:cs="Times New Roman"/>
          <w:sz w:val="32"/>
          <w:szCs w:val="32"/>
        </w:rPr>
      </w:pPr>
      <w:bookmarkStart w:id="35" w:name="_Toc14833"/>
      <w:r>
        <w:rPr>
          <w:rFonts w:hint="eastAsia" w:ascii="方正楷体_GBK" w:hAnsi="方正楷体_GBK" w:eastAsia="方正楷体_GBK" w:cs="方正楷体_GBK"/>
          <w:sz w:val="32"/>
          <w:szCs w:val="32"/>
        </w:rPr>
        <w:t>（三）资源环境承载能力及国土空间开发适应性评价</w:t>
      </w:r>
      <w:bookmarkEnd w:id="35"/>
      <w:r>
        <w:rPr>
          <w:rFonts w:hint="eastAsia" w:ascii="方正楷体_GBK" w:hAnsi="方正楷体_GBK" w:eastAsia="方正楷体_GBK" w:cs="方正楷体_GBK"/>
          <w:sz w:val="32"/>
          <w:szCs w:val="32"/>
        </w:rPr>
        <w:t>。</w:t>
      </w:r>
      <w:r>
        <w:rPr>
          <w:rFonts w:hint="eastAsia" w:ascii="Times New Roman" w:hAnsi="Times New Roman" w:eastAsia="方正仿宋_GBK" w:cs="Times New Roman"/>
          <w:sz w:val="32"/>
          <w:szCs w:val="32"/>
        </w:rPr>
        <w:t>黔江区全域生态保护重要等级高、农业生产适宜性面积以适宜区为主、城镇建设适宜性面积以不适宜区为主。其中受到地形地貌及河流水系的影响，黔江区69.35%以上的区域属于生态保护重要性地区，主要分布于东部、南部的灰千梁子及阿蓬江国家湿地公园等森林覆盖度高、水源涵养能力强、生态系统功能好的区域。可承载农业生产用地的适宜区面积约为1363.94平方公里，主要分布于中部及北部乡镇，水土资源结合较好的区域。可承载城镇建设用地的适宜区面积约为211.07平方公里，主要分布于全区现状城镇建成区内及重要流域、道路沿线等区域。</w:t>
      </w:r>
    </w:p>
    <w:p>
      <w:pPr>
        <w:ind w:firstLine="640" w:firstLineChars="200"/>
        <w:rPr>
          <w:rFonts w:ascii="Times New Roman" w:hAnsi="Times New Roman" w:eastAsia="方正仿宋_GBK" w:cs="Times New Roman"/>
          <w:sz w:val="32"/>
          <w:szCs w:val="32"/>
        </w:rPr>
      </w:pPr>
      <w:bookmarkStart w:id="36" w:name="_Toc8209"/>
      <w:r>
        <w:rPr>
          <w:rFonts w:hint="eastAsia" w:ascii="方正楷体_GBK" w:hAnsi="方正楷体_GBK" w:eastAsia="方正楷体_GBK" w:cs="方正楷体_GBK"/>
          <w:sz w:val="32"/>
          <w:szCs w:val="32"/>
        </w:rPr>
        <w:t>（四）生态系统恢复力评价</w:t>
      </w:r>
      <w:bookmarkEnd w:id="36"/>
      <w:r>
        <w:rPr>
          <w:rFonts w:hint="eastAsia" w:ascii="方正楷体_GBK" w:hAnsi="方正楷体_GBK" w:eastAsia="方正楷体_GBK" w:cs="方正楷体_GBK"/>
          <w:sz w:val="32"/>
          <w:szCs w:val="32"/>
        </w:rPr>
        <w:t>。</w:t>
      </w:r>
      <w:r>
        <w:rPr>
          <w:rFonts w:hint="eastAsia" w:ascii="Times New Roman" w:hAnsi="Times New Roman" w:eastAsia="方正仿宋_GBK" w:cs="Times New Roman"/>
          <w:sz w:val="32"/>
          <w:szCs w:val="32"/>
        </w:rPr>
        <w:t>黔江区</w:t>
      </w:r>
      <w:r>
        <w:rPr>
          <w:rFonts w:ascii="Times New Roman" w:hAnsi="Times New Roman" w:eastAsia="方正仿宋_GBK" w:cs="Times New Roman"/>
          <w:sz w:val="32"/>
          <w:szCs w:val="32"/>
        </w:rPr>
        <w:t>生态系统恢复力总体水平较高。其中恢复力中等及以上区域总面积为2051.59平方公里，占全区面积的85.77%；恢复力较低及以下区域总面积为340.29平方公里，占全区面积的14.23%。空间分布上，黔江区生态修复恢复力较高及以上区域集中分布于海拔高、植被覆盖度高、雨热条件好、生物多样性丰富、人类活动少、道路密度低的北部小南海镇、石会镇、中塘镇以及东部的邻鄂镇、五里镇、马喇镇、阿蓬江镇等区域，此区域具备较高的生态系统恢复能力。生态系统恢复能力较低及以下区域主要分布于城东街道、城南街道、舟白街道、正阳街道以及冯家街道等工业发展和城镇建设区域，由于聚集人口多、基建强度大、生境破碎化程度高，使得该区域的生态系统结构单一，难以抵挡外界不断增强的干扰能力，当外界干扰强度高于该区域的承受阈值后，其生态系统将难以恢复到平衡状态。</w:t>
      </w:r>
    </w:p>
    <w:p>
      <w:pPr>
        <w:spacing w:line="600" w:lineRule="exact"/>
        <w:ind w:firstLine="640" w:firstLineChars="200"/>
        <w:rPr>
          <w:rFonts w:ascii="方正仿宋_GBK" w:hAnsi="方正仿宋_GBK" w:eastAsia="方正仿宋_GBK" w:cs="方正仿宋_GBK"/>
          <w:sz w:val="32"/>
          <w:szCs w:val="32"/>
        </w:rPr>
      </w:pPr>
      <w:bookmarkStart w:id="37" w:name="_Toc12409"/>
      <w:r>
        <w:rPr>
          <w:rFonts w:hint="eastAsia" w:ascii="方正楷体_GBK" w:hAnsi="方正楷体_GBK" w:eastAsia="方正楷体_GBK" w:cs="方正楷体_GBK"/>
          <w:sz w:val="32"/>
          <w:szCs w:val="32"/>
        </w:rPr>
        <w:t>（五）生态系统功能退化评价</w:t>
      </w:r>
      <w:bookmarkEnd w:id="37"/>
      <w:r>
        <w:rPr>
          <w:rFonts w:hint="eastAsia" w:ascii="方正楷体_GBK" w:hAnsi="方正楷体_GBK" w:eastAsia="方正楷体_GBK" w:cs="方正楷体_GBK"/>
          <w:sz w:val="32"/>
          <w:szCs w:val="32"/>
        </w:rPr>
        <w:t>。</w:t>
      </w:r>
      <w:r>
        <w:rPr>
          <w:rFonts w:hint="eastAsia" w:ascii="Times New Roman" w:hAnsi="Times New Roman" w:eastAsia="方正仿宋_GBK" w:cs="Times New Roman"/>
          <w:sz w:val="32"/>
          <w:szCs w:val="32"/>
        </w:rPr>
        <w:t>黔江区</w:t>
      </w:r>
      <w:r>
        <w:rPr>
          <w:rFonts w:ascii="Times New Roman" w:hAnsi="Times New Roman" w:eastAsia="方正仿宋_GBK" w:cs="Times New Roman"/>
          <w:sz w:val="32"/>
          <w:szCs w:val="32"/>
        </w:rPr>
        <w:t>整体退化特征不显著，生态系统功能退化程度以未退化和轻度退化为主。其中生态系统功能中度及以上退化面积178.05平方公里，占全区总面积7.44%；未退化和轻度退化区域面积2213.83平方公里，占全区总面积92.56%。空间分布上，生态系统功能重度退化和极重度退化区域集中分布于黔江区中部的城东街道、舟白街道和正阳街道等人口密集、生境破坏严重、受人为干扰影响较多的区域。生态系统功能未退化区域集中分布于小南海镇、石会镇、金溪镇、邻鄂镇、五里镇、马喇镇和金洞乡等降雨量充沛、生态系统类型多样、人口密度低、人为干扰影响较少的区域</w:t>
      </w:r>
      <w:r>
        <w:rPr>
          <w:rFonts w:hint="eastAsia" w:ascii="方正仿宋_GBK" w:hAnsi="方正仿宋_GBK" w:eastAsia="方正仿宋_GBK" w:cs="方正仿宋_GBK"/>
          <w:sz w:val="32"/>
          <w:szCs w:val="32"/>
        </w:rPr>
        <w:t>。</w:t>
      </w:r>
    </w:p>
    <w:p>
      <w:pPr>
        <w:spacing w:line="600" w:lineRule="exact"/>
        <w:ind w:firstLine="640" w:firstLineChars="200"/>
        <w:rPr>
          <w:rFonts w:ascii="Times New Roman" w:hAnsi="Times New Roman" w:eastAsia="方正仿宋_GBK" w:cs="Times New Roman"/>
          <w:sz w:val="32"/>
          <w:szCs w:val="32"/>
        </w:rPr>
      </w:pPr>
      <w:r>
        <w:rPr>
          <w:rFonts w:hint="eastAsia" w:ascii="方正楷体_GBK" w:hAnsi="方正楷体_GBK" w:eastAsia="方正楷体_GBK" w:cs="方正楷体_GBK"/>
          <w:sz w:val="32"/>
          <w:szCs w:val="32"/>
        </w:rPr>
        <w:t>（六）生态系统结构退化评价。</w:t>
      </w:r>
      <w:r>
        <w:rPr>
          <w:rFonts w:hint="eastAsia" w:ascii="方正仿宋_GBK" w:hAnsi="方正仿宋_GBK" w:eastAsia="方正仿宋_GBK" w:cs="方正仿宋_GBK"/>
          <w:sz w:val="32"/>
          <w:szCs w:val="32"/>
        </w:rPr>
        <w:t>全区</w:t>
      </w:r>
      <w:r>
        <w:rPr>
          <w:rFonts w:ascii="Times New Roman" w:hAnsi="Times New Roman" w:eastAsia="方正仿宋_GBK" w:cs="Times New Roman"/>
          <w:sz w:val="32"/>
          <w:szCs w:val="32"/>
        </w:rPr>
        <w:t>生态系统结构退化以未退化为主</w:t>
      </w:r>
      <w:r>
        <w:rPr>
          <w:rFonts w:hint="eastAsia" w:ascii="方正仿宋_GBK" w:hAnsi="方正仿宋_GBK" w:eastAsia="方正仿宋_GBK" w:cs="方正仿宋_GBK"/>
          <w:sz w:val="32"/>
          <w:szCs w:val="32"/>
        </w:rPr>
        <w:t>，未退化区域面</w:t>
      </w:r>
      <w:r>
        <w:rPr>
          <w:rFonts w:ascii="Times New Roman" w:hAnsi="Times New Roman" w:eastAsia="方正仿宋_GBK" w:cs="Times New Roman"/>
          <w:sz w:val="32"/>
          <w:szCs w:val="32"/>
        </w:rPr>
        <w:t>积1961.12平方公里，占全区总面积81.99%；微度退化和轻度退化面积150.63平方公里，占全区总面积6.30%；中度以上退化面积280.13平方公里，占全区总面积11.71%</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极重度退化面积41.70平方公里，占全区总面积1.74%。空间分布上，生态系统结构重度和极重度退化区域集中分布于城南街道、舟白街道、正阳街道等黔江区城镇和工业集中区域，该区域生态系统结构相对简单，极易受到外界干扰而使得生态系统结构退化；生态系统结构中度退化区域主要分布于黎水镇、黄溪镇、杉岭乡、白石镇和黑溪镇等地，该区域多为农业种植区域，工业化水平不高、会受到一定的人为活动干扰，影响其生态系统结构的稳定性；生态系统结构轻度和微度区域主要集中分布于阿蓬江镇、马喇镇和</w:t>
      </w:r>
      <w:bookmarkStart w:id="38" w:name="_Hlk127658680"/>
      <w:r>
        <w:rPr>
          <w:rFonts w:hint="eastAsia" w:ascii="Times New Roman" w:hAnsi="Times New Roman" w:eastAsia="方正仿宋_GBK" w:cs="Times New Roman"/>
          <w:sz w:val="32"/>
          <w:szCs w:val="32"/>
        </w:rPr>
        <w:t>濯</w:t>
      </w:r>
      <w:bookmarkEnd w:id="38"/>
      <w:r>
        <w:rPr>
          <w:rFonts w:ascii="Times New Roman" w:hAnsi="Times New Roman" w:eastAsia="方正仿宋_GBK" w:cs="Times New Roman"/>
          <w:sz w:val="32"/>
          <w:szCs w:val="32"/>
        </w:rPr>
        <w:t>水镇等位于阿蓬江流域两侧的生态系统结构完善、人为活动影响微弱的区域。</w:t>
      </w:r>
    </w:p>
    <w:p>
      <w:pPr>
        <w:spacing w:before="312" w:beforeLines="100" w:after="156" w:afterLines="50" w:line="600" w:lineRule="exact"/>
        <w:ind w:firstLine="640" w:firstLineChars="200"/>
        <w:outlineLvl w:val="1"/>
        <w:rPr>
          <w:rFonts w:ascii="方正小标宋_GBK" w:hAnsi="方正小标宋_GBK" w:eastAsia="方正小标宋_GBK" w:cs="方正小标宋_GBK"/>
          <w:sz w:val="32"/>
          <w:szCs w:val="32"/>
        </w:rPr>
      </w:pPr>
      <w:bookmarkStart w:id="39" w:name="_Toc29650"/>
      <w:bookmarkStart w:id="40" w:name="_Toc23712"/>
      <w:r>
        <w:rPr>
          <w:rFonts w:hint="eastAsia" w:ascii="方正小标宋_GBK" w:hAnsi="方正小标宋_GBK" w:eastAsia="方正小标宋_GBK" w:cs="方正小标宋_GBK"/>
          <w:sz w:val="32"/>
          <w:szCs w:val="32"/>
        </w:rPr>
        <w:t xml:space="preserve">第三节 </w:t>
      </w:r>
      <w:bookmarkEnd w:id="39"/>
      <w:r>
        <w:rPr>
          <w:rFonts w:hint="eastAsia" w:ascii="方正小标宋_GBK" w:hAnsi="方正小标宋_GBK" w:eastAsia="方正小标宋_GBK" w:cs="方正小标宋_GBK"/>
          <w:sz w:val="32"/>
          <w:szCs w:val="32"/>
        </w:rPr>
        <w:t>主要生态问题</w:t>
      </w:r>
      <w:bookmarkEnd w:id="40"/>
    </w:p>
    <w:p>
      <w:pPr>
        <w:spacing w:line="600" w:lineRule="exact"/>
        <w:ind w:firstLine="643" w:firstLineChars="200"/>
        <w:rPr>
          <w:rFonts w:ascii="Times New Roman" w:hAnsi="Times New Roman" w:eastAsia="方正仿宋_GBK" w:cs="Times New Roman"/>
          <w:sz w:val="32"/>
          <w:szCs w:val="32"/>
        </w:rPr>
      </w:pPr>
      <w:r>
        <w:rPr>
          <w:rFonts w:hint="eastAsia" w:ascii="Times New Roman" w:hAnsi="Times New Roman" w:eastAsia="方正楷体_GBK" w:cs="Times New Roman"/>
          <w:b/>
          <w:bCs/>
          <w:sz w:val="32"/>
          <w:szCs w:val="32"/>
        </w:rPr>
        <w:t>生态环境质量持续改善难度大，污染风险管控任务依然艰巨。</w:t>
      </w:r>
      <w:r>
        <w:rPr>
          <w:rFonts w:ascii="Times New Roman" w:hAnsi="Times New Roman" w:eastAsia="方正仿宋_GBK" w:cs="Times New Roman"/>
          <w:sz w:val="32"/>
          <w:szCs w:val="32"/>
        </w:rPr>
        <w:t>黔江区土壤与地下水污染问题在部分区域依然突出，环境污染源头防控不足</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水环境质量总体干流水质较好，但支流水质较差，流经城镇的河流水环境超标风险较大</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土壤环境呈现多样性和复合性的问题，地块污染特征、污染分布和污染面积底数不清，进一步增加了风险管控难度。</w:t>
      </w:r>
    </w:p>
    <w:p>
      <w:pPr>
        <w:spacing w:line="600" w:lineRule="exact"/>
        <w:ind w:firstLine="643" w:firstLineChars="200"/>
        <w:rPr>
          <w:rFonts w:ascii="Times New Roman" w:hAnsi="Times New Roman" w:eastAsia="方正仿宋_GBK" w:cs="Times New Roman"/>
          <w:color w:val="FF0000"/>
          <w:sz w:val="32"/>
          <w:szCs w:val="32"/>
        </w:rPr>
      </w:pPr>
      <w:r>
        <w:rPr>
          <w:rFonts w:ascii="Times New Roman" w:hAnsi="Times New Roman" w:eastAsia="方正楷体_GBK" w:cs="Times New Roman"/>
          <w:b/>
          <w:bCs/>
          <w:sz w:val="32"/>
          <w:szCs w:val="32"/>
        </w:rPr>
        <w:t>地质灾害隐患点分布广</w:t>
      </w:r>
      <w:r>
        <w:rPr>
          <w:rFonts w:hint="eastAsia" w:ascii="Times New Roman" w:hAnsi="Times New Roman" w:eastAsia="方正楷体_GBK" w:cs="Times New Roman"/>
          <w:b/>
          <w:bCs/>
          <w:sz w:val="32"/>
          <w:szCs w:val="32"/>
        </w:rPr>
        <w:t>，风险管控难度大</w:t>
      </w:r>
      <w:r>
        <w:rPr>
          <w:rFonts w:ascii="Times New Roman" w:hAnsi="Times New Roman" w:eastAsia="方正楷体_GBK" w:cs="Times New Roman"/>
          <w:b/>
          <w:bCs/>
          <w:sz w:val="32"/>
          <w:szCs w:val="32"/>
        </w:rPr>
        <w:t>。</w:t>
      </w:r>
      <w:r>
        <w:rPr>
          <w:rFonts w:hint="eastAsia" w:ascii="Times New Roman" w:hAnsi="Times New Roman" w:eastAsia="方正仿宋_GBK" w:cs="Times New Roman"/>
          <w:sz w:val="32"/>
          <w:szCs w:val="32"/>
        </w:rPr>
        <w:t>黔江区地质灾害类型为滑坡、崩塌、塌陷三大类，</w:t>
      </w:r>
      <w:r>
        <w:rPr>
          <w:rFonts w:ascii="Times New Roman" w:hAnsi="Times New Roman" w:eastAsia="方正仿宋_GBK" w:cs="Times New Roman"/>
          <w:sz w:val="32"/>
          <w:szCs w:val="32"/>
        </w:rPr>
        <w:t>共有517处地质灾害隐患点，</w:t>
      </w:r>
      <w:r>
        <w:rPr>
          <w:rFonts w:hint="eastAsia" w:ascii="Times New Roman" w:hAnsi="Times New Roman" w:eastAsia="方正仿宋_GBK" w:cs="Times New Roman"/>
          <w:sz w:val="32"/>
          <w:szCs w:val="32"/>
        </w:rPr>
        <w:t>以滑坡为主，</w:t>
      </w:r>
      <w:r>
        <w:rPr>
          <w:rFonts w:ascii="Times New Roman" w:hAnsi="Times New Roman" w:eastAsia="方正仿宋_GBK" w:cs="Times New Roman"/>
          <w:sz w:val="32"/>
          <w:szCs w:val="32"/>
        </w:rPr>
        <w:t>占比86.85%</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地质灾害风险性以低风险为主，涉及面积1216.50平方公里，面积占比50.71%</w:t>
      </w:r>
      <w:r>
        <w:rPr>
          <w:rFonts w:hint="eastAsia" w:ascii="Times New Roman" w:hAnsi="Times New Roman" w:eastAsia="方正仿宋_GBK" w:cs="Times New Roman"/>
          <w:sz w:val="32"/>
          <w:szCs w:val="32"/>
        </w:rPr>
        <w:t>。地质灾害共计威胁5987户22604人，威胁总资产47889万元，威胁对象主要有分散农户、公路、耕地、河流等，分散性较强，地质灾害风险管控增加难度。</w:t>
      </w:r>
    </w:p>
    <w:p>
      <w:pPr>
        <w:spacing w:line="600" w:lineRule="exact"/>
        <w:ind w:firstLine="643" w:firstLineChars="200"/>
        <w:rPr>
          <w:rFonts w:ascii="Times New Roman" w:hAnsi="Times New Roman" w:eastAsia="方正仿宋_GBK" w:cs="Times New Roman"/>
          <w:color w:val="FF0000"/>
          <w:sz w:val="32"/>
          <w:szCs w:val="32"/>
        </w:rPr>
      </w:pPr>
      <w:r>
        <w:rPr>
          <w:rFonts w:ascii="Times New Roman" w:hAnsi="Times New Roman" w:eastAsia="方正楷体_GBK" w:cs="Times New Roman"/>
          <w:b/>
          <w:bCs/>
          <w:sz w:val="32"/>
          <w:szCs w:val="32"/>
        </w:rPr>
        <w:t>水土流失仍待治理，预防监管仍需加强。</w:t>
      </w:r>
      <w:r>
        <w:rPr>
          <w:rFonts w:ascii="Times New Roman" w:hAnsi="Times New Roman" w:eastAsia="方正仿宋_GBK" w:cs="Times New Roman"/>
          <w:sz w:val="32"/>
          <w:szCs w:val="32"/>
        </w:rPr>
        <w:t>黔江区水土流失面积825.40平方公里，占土地总面积的34.54％，其中轻度侵蚀767.73平方公里，占水土流失面积的93.01%</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全区水土流失空间分布格局由北向南逐渐减轻，由西向东逐渐减轻，中部为城市建设人口聚集区水土流失较强</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全区山洪沟点多分散，治理难度大，水土流失治理需求较为迫切，流域生态系统整体性治理与保护有待加强。</w:t>
      </w:r>
    </w:p>
    <w:p>
      <w:pPr>
        <w:spacing w:line="600" w:lineRule="exact"/>
        <w:ind w:firstLine="643" w:firstLineChars="200"/>
        <w:rPr>
          <w:rFonts w:ascii="Times New Roman" w:hAnsi="Times New Roman" w:eastAsia="方正仿宋_GBK" w:cs="Times New Roman"/>
          <w:color w:val="FF0000"/>
          <w:sz w:val="32"/>
          <w:szCs w:val="32"/>
        </w:rPr>
      </w:pPr>
      <w:r>
        <w:rPr>
          <w:rFonts w:ascii="Times New Roman" w:hAnsi="Times New Roman" w:eastAsia="方正楷体_GBK" w:cs="Times New Roman"/>
          <w:b/>
          <w:bCs/>
          <w:sz w:val="32"/>
          <w:szCs w:val="32"/>
        </w:rPr>
        <w:t>石漠化</w:t>
      </w:r>
      <w:r>
        <w:rPr>
          <w:rFonts w:hint="eastAsia" w:ascii="Times New Roman" w:hAnsi="Times New Roman" w:eastAsia="方正楷体_GBK" w:cs="Times New Roman"/>
          <w:b/>
          <w:bCs/>
          <w:sz w:val="32"/>
          <w:szCs w:val="32"/>
        </w:rPr>
        <w:t>现象严重，土地质量提升受到阻碍</w:t>
      </w:r>
      <w:r>
        <w:rPr>
          <w:rFonts w:ascii="Times New Roman" w:hAnsi="Times New Roman" w:eastAsia="方正楷体_GBK" w:cs="Times New Roman"/>
          <w:b/>
          <w:bCs/>
          <w:sz w:val="32"/>
          <w:szCs w:val="32"/>
        </w:rPr>
        <w:t>。</w:t>
      </w:r>
      <w:r>
        <w:rPr>
          <w:rFonts w:ascii="Times New Roman" w:hAnsi="Times New Roman" w:eastAsia="方正仿宋_GBK" w:cs="Times New Roman"/>
          <w:sz w:val="32"/>
          <w:szCs w:val="32"/>
        </w:rPr>
        <w:t>黔江区石漠化敏感性中等以上区域面积为142.81平方公里，占全</w:t>
      </w:r>
      <w:r>
        <w:rPr>
          <w:rFonts w:hint="eastAsia" w:ascii="Times New Roman" w:hAnsi="Times New Roman" w:eastAsia="方正仿宋_GBK" w:cs="Times New Roman"/>
          <w:sz w:val="32"/>
          <w:szCs w:val="32"/>
        </w:rPr>
        <w:t>区</w:t>
      </w:r>
      <w:r>
        <w:rPr>
          <w:rFonts w:ascii="Times New Roman" w:hAnsi="Times New Roman" w:eastAsia="方正仿宋_GBK" w:cs="Times New Roman"/>
          <w:sz w:val="32"/>
          <w:szCs w:val="32"/>
        </w:rPr>
        <w:t>面积的5.97%，多集中于重庆市黔江区东部（舟白街道、邻鄂镇、阿蓬江镇、濯水镇、中塘镇、五里镇、蓬东乡等乡镇）阿蓬江两岸水源涵养区。该区域连续性差，耕地贫瘠，持水保肥力低，造林成活差，土地有效利用面积低，人地矛盾突出，并在不同程度上影响着当地群众的生产、生活状况。</w:t>
      </w:r>
    </w:p>
    <w:p>
      <w:pPr>
        <w:spacing w:line="600" w:lineRule="exact"/>
        <w:ind w:firstLine="643" w:firstLineChars="200"/>
        <w:rPr>
          <w:rFonts w:ascii="Times New Roman" w:hAnsi="Times New Roman" w:eastAsia="方正仿宋_GBK" w:cs="Times New Roman"/>
          <w:sz w:val="32"/>
          <w:szCs w:val="32"/>
        </w:rPr>
      </w:pPr>
      <w:r>
        <w:rPr>
          <w:rFonts w:hint="eastAsia" w:ascii="方正楷体_GBK" w:hAnsi="方正楷体_GBK" w:eastAsia="方正楷体_GBK" w:cs="方正楷体_GBK"/>
          <w:b/>
          <w:bCs/>
          <w:sz w:val="32"/>
          <w:szCs w:val="32"/>
        </w:rPr>
        <w:t>历史遗留矿山问题多分布广，治理难度大。</w:t>
      </w:r>
      <w:r>
        <w:rPr>
          <w:rFonts w:hint="eastAsia" w:ascii="Times New Roman" w:hAnsi="Times New Roman" w:eastAsia="方正仿宋_GBK" w:cs="Times New Roman"/>
          <w:sz w:val="32"/>
          <w:szCs w:val="32"/>
        </w:rPr>
        <w:t>黔江区历史遗留矿山91个，面积为59.6675公顷，主要分布在舟白街道、黑溪镇、邻鄂镇、沙坝镇、濯水镇、蓬东乡、水田乡、白土乡等地；有责任主体的废弃矿山54个，面积为69.2328公顷，主要分布在舟白街道、鹅池镇、邻鄂镇、蓬东乡、水田乡等地。历史遗留及废弃矿山对于当地的生态及地质环境均有影响，会造成植被破坏、土地裸露，破坏了原有的自然景观、毁坏原有森林植被。</w:t>
      </w:r>
    </w:p>
    <w:p>
      <w:pPr>
        <w:spacing w:line="600" w:lineRule="exact"/>
        <w:ind w:firstLine="643" w:firstLineChars="200"/>
        <w:rPr>
          <w:rFonts w:ascii="Times New Roman" w:hAnsi="Times New Roman" w:eastAsia="方正仿宋_GBK" w:cs="Times New Roman"/>
          <w:color w:val="FF0000"/>
          <w:sz w:val="32"/>
          <w:szCs w:val="32"/>
        </w:rPr>
      </w:pPr>
      <w:r>
        <w:rPr>
          <w:rFonts w:hint="eastAsia" w:ascii="方正楷体_GBK" w:hAnsi="方正楷体_GBK" w:eastAsia="方正楷体_GBK" w:cs="方正楷体_GBK"/>
          <w:b/>
          <w:bCs/>
          <w:sz w:val="32"/>
          <w:szCs w:val="32"/>
        </w:rPr>
        <w:t>水资源利用与保护有差距，河流生态水量下泄受影响。</w:t>
      </w:r>
      <w:r>
        <w:rPr>
          <w:rFonts w:hint="eastAsia" w:ascii="Times New Roman" w:hAnsi="Times New Roman" w:eastAsia="方正仿宋_GBK" w:cs="Times New Roman"/>
          <w:sz w:val="32"/>
          <w:szCs w:val="32"/>
        </w:rPr>
        <w:t>黔江区降雨时空分布不均，夏季降雨量是冬季的8.8倍，由于特殊的地理、地质环境以及缺乏足够的水利设施，造成全区水利工程性缺水。次级河流径流量小，水体自净能力较差。大部分水库、水电站缺乏生态流量泄放措施，造成河流生态水量下泄不足。</w:t>
      </w:r>
    </w:p>
    <w:p>
      <w:pPr>
        <w:spacing w:line="600" w:lineRule="exact"/>
        <w:ind w:firstLine="643" w:firstLineChars="200"/>
        <w:rPr>
          <w:rFonts w:ascii="Times New Roman" w:hAnsi="Times New Roman" w:eastAsia="方正楷体_GBK" w:cs="Times New Roman"/>
          <w:color w:val="FF0000"/>
          <w:sz w:val="32"/>
          <w:szCs w:val="32"/>
        </w:rPr>
      </w:pPr>
      <w:r>
        <w:rPr>
          <w:rFonts w:hint="eastAsia" w:ascii="方正楷体_GBK" w:hAnsi="方正楷体_GBK" w:eastAsia="方正楷体_GBK" w:cs="方正楷体_GBK"/>
          <w:b/>
          <w:bCs/>
          <w:sz w:val="32"/>
          <w:szCs w:val="32"/>
        </w:rPr>
        <w:t>植被</w:t>
      </w:r>
      <w:r>
        <w:rPr>
          <w:rFonts w:hint="eastAsia" w:ascii="Times New Roman" w:hAnsi="Times New Roman" w:eastAsia="方正楷体_GBK" w:cs="Times New Roman"/>
          <w:b/>
          <w:bCs/>
          <w:sz w:val="32"/>
          <w:szCs w:val="32"/>
        </w:rPr>
        <w:t>退化趋势明显，生物多样性受到威胁。</w:t>
      </w:r>
      <w:r>
        <w:rPr>
          <w:rFonts w:hint="eastAsia" w:ascii="方正仿宋_GBK" w:hAnsi="方正仿宋_GBK" w:eastAsia="方正仿宋_GBK" w:cs="方正仿宋_GBK"/>
          <w:sz w:val="32"/>
          <w:szCs w:val="32"/>
        </w:rPr>
        <w:t>黔江区中心城区人口聚集量大，人为活动强烈，导致该地区的地带性阔叶林逐渐被次生植物所取代，一些地区呈森林→灌木→草地的退化趋势，会直接影响到本区珍稀濒危物种的生境，使得全区生物多样性遭受威胁。</w:t>
      </w:r>
    </w:p>
    <w:p>
      <w:pPr>
        <w:spacing w:line="600" w:lineRule="exact"/>
        <w:ind w:firstLine="643" w:firstLineChars="200"/>
        <w:rPr>
          <w:rFonts w:ascii="Times New Roman" w:hAnsi="Times New Roman" w:eastAsia="方正仿宋_GBK" w:cs="Times New Roman"/>
          <w:sz w:val="32"/>
          <w:szCs w:val="32"/>
        </w:rPr>
      </w:pPr>
      <w:bookmarkStart w:id="41" w:name="_Toc18151"/>
      <w:r>
        <w:rPr>
          <w:rFonts w:hint="eastAsia" w:ascii="Times New Roman" w:hAnsi="Times New Roman" w:eastAsia="方正楷体_GBK" w:cs="Times New Roman"/>
          <w:b/>
          <w:bCs/>
          <w:sz w:val="32"/>
          <w:szCs w:val="32"/>
        </w:rPr>
        <w:t>人均耕地占有率低，严守耕地保护红线任务仍艰巨。</w:t>
      </w:r>
      <w:r>
        <w:rPr>
          <w:rFonts w:hint="eastAsia" w:ascii="方正仿宋_GBK" w:hAnsi="方正仿宋_GBK" w:eastAsia="方正仿宋_GBK" w:cs="方正仿宋_GBK"/>
          <w:sz w:val="32"/>
          <w:szCs w:val="32"/>
        </w:rPr>
        <w:t>黔江区人均</w:t>
      </w:r>
      <w:r>
        <w:rPr>
          <w:rFonts w:ascii="Times New Roman" w:hAnsi="Times New Roman" w:eastAsia="方正仿宋_GBK" w:cs="Times New Roman"/>
          <w:sz w:val="32"/>
          <w:szCs w:val="32"/>
        </w:rPr>
        <w:t>耕地1.28亩，低于全国平均水平1.46亩</w:t>
      </w:r>
      <w:r>
        <w:rPr>
          <w:rFonts w:hint="eastAsia" w:ascii="Times New Roman" w:hAnsi="Times New Roman" w:eastAsia="方正仿宋_GBK" w:cs="Times New Roman"/>
          <w:sz w:val="32"/>
          <w:szCs w:val="32"/>
        </w:rPr>
        <w:t>，高等耕地6.44平方公里，仅占全区耕地面积1.35%。全区坡度在25°以上的耕地面积约144.02平方公里，约占耕地面积的30.21%。</w:t>
      </w:r>
      <w:r>
        <w:rPr>
          <w:rFonts w:ascii="Times New Roman" w:hAnsi="Times New Roman" w:eastAsia="方正仿宋_GBK" w:cs="Times New Roman"/>
          <w:sz w:val="32"/>
          <w:szCs w:val="32"/>
        </w:rPr>
        <w:t>部分地区耕地开发强度过大、地力严重透支，非耕化现象增多，</w:t>
      </w:r>
      <w:r>
        <w:rPr>
          <w:rFonts w:hint="eastAsia" w:ascii="Times New Roman" w:hAnsi="Times New Roman" w:eastAsia="方正仿宋_GBK" w:cs="Times New Roman"/>
          <w:sz w:val="32"/>
          <w:szCs w:val="32"/>
        </w:rPr>
        <w:t>导致全区</w:t>
      </w:r>
      <w:r>
        <w:rPr>
          <w:rFonts w:ascii="Times New Roman" w:hAnsi="Times New Roman" w:eastAsia="方正仿宋_GBK" w:cs="Times New Roman"/>
          <w:sz w:val="32"/>
          <w:szCs w:val="32"/>
        </w:rPr>
        <w:t>后备耕地资源严重不足，新增耕地补充来源少且难度大。</w:t>
      </w:r>
    </w:p>
    <w:p>
      <w:pPr>
        <w:spacing w:line="600" w:lineRule="exact"/>
        <w:ind w:firstLine="643" w:firstLineChars="200"/>
        <w:rPr>
          <w:rFonts w:ascii="Times New Roman" w:hAnsi="Times New Roman" w:eastAsia="方正仿宋_GBK" w:cs="Times New Roman"/>
          <w:sz w:val="32"/>
          <w:szCs w:val="32"/>
        </w:rPr>
      </w:pPr>
      <w:r>
        <w:rPr>
          <w:rFonts w:hint="eastAsia" w:ascii="Times New Roman" w:hAnsi="Times New Roman" w:eastAsia="方正楷体_GBK" w:cs="Times New Roman"/>
          <w:b/>
          <w:bCs/>
          <w:sz w:val="32"/>
          <w:szCs w:val="32"/>
        </w:rPr>
        <w:t>城市生态系统韧性弹性不足，人地矛盾问题需加快缓解。</w:t>
      </w:r>
      <w:r>
        <w:rPr>
          <w:rFonts w:ascii="Times New Roman" w:hAnsi="Times New Roman" w:eastAsia="方正仿宋_GBK" w:cs="Times New Roman"/>
          <w:sz w:val="32"/>
          <w:szCs w:val="32"/>
        </w:rPr>
        <w:t>城市内部自然生境多样性不足，城市水资源分布不均衡，各类自然生态景观养护力度不大，城市抵御灾害能力和灾后恢复能力较弱，生态修复难度大。</w:t>
      </w:r>
      <w:r>
        <w:rPr>
          <w:rFonts w:hint="eastAsia" w:ascii="Times New Roman" w:hAnsi="Times New Roman" w:eastAsia="方正仿宋_GBK" w:cs="Times New Roman"/>
          <w:sz w:val="32"/>
          <w:szCs w:val="32"/>
        </w:rPr>
        <w:t>规划城市建设用地中绿地和开敞空间用地比例偏低，现状城市建成区绿地率偏低，仅为31%（而国家生态园林城市对建成区绿地率的要求为40%，重庆市生态园林城市对建成区绿地率的要求为39%），城市公园数量偏少，布局不均衡，公园服务半径覆盖率低，能够提升市民幸福感和获得感的街头游园、广场和社区公园等绿地空间较缺乏</w:t>
      </w:r>
      <w:r>
        <w:rPr>
          <w:rFonts w:ascii="Times New Roman" w:hAnsi="Times New Roman" w:eastAsia="方正仿宋_GBK" w:cs="Times New Roman"/>
          <w:sz w:val="32"/>
          <w:szCs w:val="32"/>
        </w:rPr>
        <w:t>。</w:t>
      </w:r>
    </w:p>
    <w:bookmarkEnd w:id="41"/>
    <w:p>
      <w:pPr>
        <w:spacing w:before="312" w:beforeLines="100" w:after="156" w:afterLines="50" w:line="600" w:lineRule="exact"/>
        <w:ind w:firstLine="640" w:firstLineChars="200"/>
        <w:outlineLvl w:val="1"/>
        <w:rPr>
          <w:rFonts w:ascii="方正小标宋_GBK" w:hAnsi="方正小标宋_GBK" w:eastAsia="方正小标宋_GBK" w:cs="方正小标宋_GBK"/>
          <w:sz w:val="32"/>
          <w:szCs w:val="32"/>
        </w:rPr>
      </w:pPr>
      <w:bookmarkStart w:id="42" w:name="_Toc32058"/>
      <w:bookmarkStart w:id="43" w:name="_Toc31559"/>
      <w:bookmarkStart w:id="44" w:name="_Toc24542"/>
      <w:r>
        <w:rPr>
          <w:rFonts w:hint="eastAsia" w:ascii="方正小标宋_GBK" w:hAnsi="方正小标宋_GBK" w:eastAsia="方正小标宋_GBK" w:cs="方正小标宋_GBK"/>
          <w:sz w:val="32"/>
          <w:szCs w:val="32"/>
        </w:rPr>
        <w:t>第四节 生态保护修复工作成效</w:t>
      </w:r>
      <w:bookmarkEnd w:id="42"/>
      <w:bookmarkEnd w:id="43"/>
      <w:bookmarkEnd w:id="44"/>
    </w:p>
    <w:p>
      <w:pPr>
        <w:snapToGrid w:val="0"/>
        <w:spacing w:line="579" w:lineRule="exact"/>
        <w:ind w:firstLine="643" w:firstLineChars="200"/>
        <w:rPr>
          <w:rFonts w:ascii="Times New Roman" w:hAnsi="Times New Roman" w:eastAsia="方正仿宋_GBK" w:cs="Times New Roman"/>
          <w:color w:val="FF0000"/>
          <w:sz w:val="32"/>
          <w:szCs w:val="30"/>
        </w:rPr>
      </w:pPr>
      <w:r>
        <w:rPr>
          <w:rFonts w:ascii="Times New Roman" w:hAnsi="Times New Roman" w:eastAsia="方正楷体_GBK" w:cs="Times New Roman"/>
          <w:b/>
          <w:bCs/>
          <w:sz w:val="32"/>
          <w:szCs w:val="30"/>
        </w:rPr>
        <w:t>生态</w:t>
      </w:r>
      <w:r>
        <w:rPr>
          <w:rFonts w:hint="eastAsia" w:ascii="Times New Roman" w:hAnsi="Times New Roman" w:eastAsia="方正楷体_GBK" w:cs="Times New Roman"/>
          <w:b/>
          <w:bCs/>
          <w:sz w:val="32"/>
          <w:szCs w:val="30"/>
        </w:rPr>
        <w:t>环境治理持续改善</w:t>
      </w:r>
      <w:r>
        <w:rPr>
          <w:rFonts w:ascii="Times New Roman" w:hAnsi="Times New Roman" w:eastAsia="方正楷体_GBK" w:cs="Times New Roman"/>
          <w:b/>
          <w:bCs/>
          <w:sz w:val="32"/>
          <w:szCs w:val="30"/>
        </w:rPr>
        <w:t>。</w:t>
      </w:r>
      <w:r>
        <w:rPr>
          <w:rFonts w:ascii="Times New Roman" w:hAnsi="Times New Roman" w:eastAsia="方正仿宋_GBK" w:cs="Times New Roman"/>
          <w:sz w:val="32"/>
          <w:szCs w:val="30"/>
        </w:rPr>
        <w:t>全区划定579.48平方公里的生态保护红线，占全区辖区面积的</w:t>
      </w:r>
      <w:r>
        <w:rPr>
          <w:rFonts w:ascii="Times New Roman" w:hAnsi="Times New Roman" w:eastAsia="仿宋" w:cs="Times New Roman"/>
          <w:sz w:val="32"/>
          <w:szCs w:val="32"/>
        </w:rPr>
        <w:t>24.12</w:t>
      </w:r>
      <w:r>
        <w:rPr>
          <w:rFonts w:ascii="Times New Roman" w:hAnsi="Times New Roman" w:eastAsia="方正仿宋_GBK" w:cs="Times New Roman"/>
          <w:sz w:val="32"/>
          <w:szCs w:val="30"/>
        </w:rPr>
        <w:t>%，严格管控生态保护红线区内开发建设活动</w:t>
      </w:r>
      <w:r>
        <w:rPr>
          <w:rFonts w:hint="eastAsia" w:ascii="Times New Roman" w:hAnsi="Times New Roman" w:eastAsia="方正仿宋_GBK" w:cs="Times New Roman"/>
          <w:sz w:val="32"/>
          <w:szCs w:val="30"/>
        </w:rPr>
        <w:t>。</w:t>
      </w:r>
      <w:r>
        <w:rPr>
          <w:rFonts w:ascii="Times New Roman" w:hAnsi="Times New Roman" w:eastAsia="方正仿宋_GBK" w:cs="Times New Roman"/>
          <w:sz w:val="32"/>
          <w:szCs w:val="30"/>
        </w:rPr>
        <w:t>实施关闭矿山生态修复和绿色矿山建设，建立历史遗留及关闭矿山目录库并核查，完成大堡石灰岩和棕树坪石灰岩绿色矿山建设</w:t>
      </w:r>
      <w:r>
        <w:rPr>
          <w:rFonts w:hint="eastAsia" w:ascii="Times New Roman" w:hAnsi="Times New Roman" w:eastAsia="方正仿宋_GBK" w:cs="Times New Roman"/>
          <w:sz w:val="32"/>
          <w:szCs w:val="30"/>
        </w:rPr>
        <w:t>。持续推进“增绿添园”，2020年新增绿地面积19.27万平方米，人均公园绿地达到19.6平方米/人。依托国土绿化提升行动，开展退耕还林、植树造林，全区森林覆盖率达到60%，“中国森林氧吧”品牌持续打响；加快推进水土流失治理，完成约323平方公里治理。生态环境状况指数均保持70以上，生态安全得到有效保障。</w:t>
      </w:r>
    </w:p>
    <w:p>
      <w:pPr>
        <w:snapToGrid w:val="0"/>
        <w:spacing w:line="579" w:lineRule="exact"/>
        <w:ind w:firstLine="643" w:firstLineChars="200"/>
        <w:rPr>
          <w:rFonts w:ascii="Times New Roman" w:hAnsi="Times New Roman" w:eastAsia="方正仿宋_GBK" w:cs="Times New Roman"/>
          <w:sz w:val="32"/>
          <w:szCs w:val="30"/>
        </w:rPr>
      </w:pPr>
      <w:r>
        <w:rPr>
          <w:rFonts w:hint="eastAsia" w:ascii="Times New Roman" w:hAnsi="Times New Roman" w:eastAsia="方正楷体_GBK" w:cs="Times New Roman"/>
          <w:b/>
          <w:bCs/>
          <w:sz w:val="32"/>
          <w:szCs w:val="30"/>
        </w:rPr>
        <w:t>水环境质量改善效果显著。</w:t>
      </w:r>
      <w:r>
        <w:rPr>
          <w:rFonts w:ascii="Times New Roman" w:hAnsi="Times New Roman" w:eastAsia="方正仿宋_GBK" w:cs="Times New Roman"/>
          <w:sz w:val="32"/>
          <w:szCs w:val="30"/>
        </w:rPr>
        <w:t>全区深入贯彻国务</w:t>
      </w:r>
      <w:r>
        <w:rPr>
          <w:rFonts w:hint="eastAsia" w:ascii="方正仿宋_GBK" w:hAnsi="方正仿宋_GBK" w:eastAsia="方正仿宋_GBK" w:cs="方正仿宋_GBK"/>
          <w:sz w:val="32"/>
          <w:szCs w:val="30"/>
        </w:rPr>
        <w:t>院“水十条”，扎实</w:t>
      </w:r>
      <w:r>
        <w:rPr>
          <w:rFonts w:ascii="Times New Roman" w:hAnsi="Times New Roman" w:eastAsia="方正仿宋_GBK" w:cs="Times New Roman"/>
          <w:sz w:val="32"/>
          <w:szCs w:val="30"/>
        </w:rPr>
        <w:t>推进重点流域水污染防治工作，2020年阿蓬江两河出境断面稳定保持在II类水质以上，黔江河水质稳定在IV类以上，阿</w:t>
      </w:r>
      <w:r>
        <w:rPr>
          <w:rFonts w:ascii="方正仿宋_GBK" w:hAnsi="方正仿宋_GBK" w:eastAsia="方正仿宋_GBK" w:cs="方正仿宋_GBK"/>
          <w:sz w:val="32"/>
          <w:szCs w:val="30"/>
        </w:rPr>
        <w:t>蓬江成功获评“长江经济带美丽河流”</w:t>
      </w:r>
      <w:r>
        <w:rPr>
          <w:rFonts w:hint="eastAsia" w:ascii="方正仿宋_GBK" w:hAnsi="方正仿宋_GBK" w:eastAsia="方正仿宋_GBK" w:cs="方正仿宋_GBK"/>
          <w:sz w:val="32"/>
          <w:szCs w:val="30"/>
        </w:rPr>
        <w:t>。</w:t>
      </w:r>
      <w:r>
        <w:rPr>
          <w:rFonts w:ascii="Times New Roman" w:hAnsi="Times New Roman" w:eastAsia="方正仿宋_GBK" w:cs="Times New Roman"/>
          <w:sz w:val="32"/>
          <w:szCs w:val="30"/>
        </w:rPr>
        <w:t>完成全部39个城乡集中式饮用水水源地环境问题整治和规范化建设，饮用水安全得到有效保障，水源地水质达标率连续5年保持100%</w:t>
      </w:r>
      <w:r>
        <w:rPr>
          <w:rFonts w:hint="eastAsia" w:ascii="Times New Roman" w:hAnsi="Times New Roman" w:eastAsia="方正仿宋_GBK" w:cs="Times New Roman"/>
          <w:sz w:val="32"/>
          <w:szCs w:val="30"/>
        </w:rPr>
        <w:t>。</w:t>
      </w:r>
      <w:r>
        <w:rPr>
          <w:rFonts w:ascii="Times New Roman" w:hAnsi="Times New Roman" w:eastAsia="方正仿宋_GBK" w:cs="Times New Roman"/>
          <w:sz w:val="32"/>
          <w:szCs w:val="30"/>
        </w:rPr>
        <w:t>区境内无黑臭水体和劣V类水体</w:t>
      </w:r>
      <w:r>
        <w:rPr>
          <w:rFonts w:hint="eastAsia" w:ascii="方正仿宋_GBK" w:hAnsi="方正仿宋_GBK" w:eastAsia="方正仿宋_GBK" w:cs="方正仿宋_GBK"/>
          <w:sz w:val="32"/>
          <w:szCs w:val="30"/>
        </w:rPr>
        <w:t>。“十三五”期</w:t>
      </w:r>
      <w:r>
        <w:rPr>
          <w:rFonts w:ascii="Times New Roman" w:hAnsi="Times New Roman" w:eastAsia="方正仿宋_GBK" w:cs="Times New Roman"/>
          <w:sz w:val="32"/>
          <w:szCs w:val="30"/>
        </w:rPr>
        <w:t>间未发生重、特大突发环境污染事件。</w:t>
      </w:r>
    </w:p>
    <w:p>
      <w:pPr>
        <w:snapToGrid w:val="0"/>
        <w:spacing w:line="579" w:lineRule="exact"/>
        <w:ind w:firstLine="643" w:firstLineChars="200"/>
        <w:rPr>
          <w:rFonts w:ascii="Times New Roman" w:hAnsi="Times New Roman" w:eastAsia="方正仿宋_GBK" w:cs="Times New Roman"/>
          <w:b/>
          <w:bCs/>
          <w:sz w:val="32"/>
          <w:szCs w:val="30"/>
        </w:rPr>
      </w:pPr>
      <w:r>
        <w:rPr>
          <w:rFonts w:hint="eastAsia" w:ascii="Times New Roman" w:hAnsi="Times New Roman" w:eastAsia="方正楷体_GBK" w:cs="Times New Roman"/>
          <w:b/>
          <w:bCs/>
          <w:sz w:val="32"/>
          <w:szCs w:val="30"/>
        </w:rPr>
        <w:t>林业生态效益稳固增加。</w:t>
      </w:r>
      <w:r>
        <w:rPr>
          <w:rFonts w:ascii="Times New Roman" w:hAnsi="Times New Roman" w:eastAsia="方正仿宋_GBK" w:cs="Times New Roman"/>
          <w:sz w:val="32"/>
          <w:szCs w:val="30"/>
        </w:rPr>
        <w:t>通过规模化营造林，有效发挥森林生态系统的多种生态功能，提高森林生态质量，改善大气环境与水环境，保护地表与地下水资源，调节小气候，防风固沙，保护生物多样性，净化空气等。</w:t>
      </w:r>
      <w:r>
        <w:rPr>
          <w:rFonts w:hint="eastAsia" w:ascii="Times New Roman" w:hAnsi="Times New Roman" w:eastAsia="方正仿宋_GBK" w:cs="Times New Roman"/>
          <w:sz w:val="32"/>
          <w:szCs w:val="30"/>
        </w:rPr>
        <w:t>“十三五”期间，</w:t>
      </w:r>
      <w:r>
        <w:rPr>
          <w:rFonts w:ascii="Times New Roman" w:hAnsi="Times New Roman" w:eastAsia="方正仿宋_GBK" w:cs="Times New Roman"/>
          <w:sz w:val="32"/>
          <w:szCs w:val="30"/>
        </w:rPr>
        <w:t>提升森林数量48.9556万亩；每年可吸收二氧化碳522193吨、释放氧气391644吨，固碳释氧效益为32375万元</w:t>
      </w:r>
      <w:r>
        <w:rPr>
          <w:rFonts w:hint="eastAsia" w:ascii="Times New Roman" w:hAnsi="Times New Roman" w:eastAsia="方正仿宋_GBK" w:cs="Times New Roman"/>
          <w:sz w:val="32"/>
          <w:szCs w:val="30"/>
        </w:rPr>
        <w:t>。</w:t>
      </w:r>
      <w:r>
        <w:rPr>
          <w:rFonts w:ascii="Times New Roman" w:hAnsi="Times New Roman" w:eastAsia="方正仿宋_GBK" w:cs="Times New Roman"/>
          <w:sz w:val="32"/>
          <w:szCs w:val="30"/>
        </w:rPr>
        <w:t>涵养水源量12862万立方米，涵养水源价值136422万元</w:t>
      </w:r>
      <w:r>
        <w:rPr>
          <w:rFonts w:hint="eastAsia" w:ascii="Times New Roman" w:hAnsi="Times New Roman" w:eastAsia="方正仿宋_GBK" w:cs="Times New Roman"/>
          <w:sz w:val="32"/>
          <w:szCs w:val="30"/>
        </w:rPr>
        <w:t>。</w:t>
      </w:r>
      <w:r>
        <w:rPr>
          <w:rFonts w:ascii="Times New Roman" w:hAnsi="Times New Roman" w:eastAsia="方正仿宋_GBK" w:cs="Times New Roman"/>
          <w:sz w:val="32"/>
          <w:szCs w:val="30"/>
        </w:rPr>
        <w:t>固土975848千克、固土保土效益3590万元，有效发挥其生态银行作用。</w:t>
      </w:r>
    </w:p>
    <w:p>
      <w:pPr>
        <w:snapToGrid w:val="0"/>
        <w:spacing w:line="579" w:lineRule="exact"/>
        <w:ind w:firstLine="643" w:firstLineChars="200"/>
        <w:rPr>
          <w:rFonts w:ascii="Times New Roman" w:hAnsi="Times New Roman" w:eastAsia="方正仿宋_GBK" w:cs="Times New Roman"/>
          <w:sz w:val="32"/>
          <w:szCs w:val="30"/>
        </w:rPr>
      </w:pPr>
      <w:r>
        <w:rPr>
          <w:rFonts w:hint="eastAsia" w:ascii="Times New Roman" w:hAnsi="Times New Roman" w:eastAsia="方正楷体_GBK" w:cs="Times New Roman"/>
          <w:b/>
          <w:bCs/>
          <w:sz w:val="32"/>
          <w:szCs w:val="30"/>
        </w:rPr>
        <w:t>水灾害防御能力持续提升。</w:t>
      </w:r>
      <w:r>
        <w:rPr>
          <w:rFonts w:ascii="Times New Roman" w:hAnsi="Times New Roman" w:eastAsia="方正仿宋_GBK" w:cs="Times New Roman"/>
          <w:sz w:val="32"/>
          <w:szCs w:val="30"/>
        </w:rPr>
        <w:t>黔江区实施阿蓬江重庆黔江</w:t>
      </w:r>
      <w:r>
        <w:rPr>
          <w:rFonts w:hint="eastAsia" w:ascii="Times New Roman" w:hAnsi="Times New Roman" w:eastAsia="方正仿宋_GBK" w:cs="Times New Roman"/>
          <w:sz w:val="32"/>
          <w:szCs w:val="30"/>
        </w:rPr>
        <w:t>段</w:t>
      </w:r>
      <w:r>
        <w:rPr>
          <w:rFonts w:ascii="Times New Roman" w:hAnsi="Times New Roman" w:eastAsia="方正仿宋_GBK" w:cs="Times New Roman"/>
          <w:sz w:val="32"/>
          <w:szCs w:val="30"/>
        </w:rPr>
        <w:t>中小河流治理项目</w:t>
      </w:r>
      <w:r>
        <w:rPr>
          <w:rFonts w:hint="eastAsia" w:ascii="Times New Roman" w:hAnsi="Times New Roman" w:eastAsia="方正仿宋_GBK" w:cs="Times New Roman"/>
          <w:sz w:val="32"/>
          <w:szCs w:val="30"/>
        </w:rPr>
        <w:t>，</w:t>
      </w:r>
      <w:r>
        <w:rPr>
          <w:rFonts w:ascii="Times New Roman" w:hAnsi="Times New Roman" w:eastAsia="方正仿宋_GBK" w:cs="Times New Roman"/>
          <w:sz w:val="32"/>
          <w:szCs w:val="30"/>
        </w:rPr>
        <w:t>共涉及9个，共计治理河道总长35公里，新建堤防40公里</w:t>
      </w:r>
      <w:r>
        <w:rPr>
          <w:rFonts w:hint="eastAsia" w:ascii="Times New Roman" w:hAnsi="Times New Roman" w:eastAsia="方正仿宋_GBK" w:cs="Times New Roman"/>
          <w:sz w:val="32"/>
          <w:szCs w:val="30"/>
        </w:rPr>
        <w:t>；实施水毁修复等项目，攻击修复水毁河堤3.77公里，可</w:t>
      </w:r>
      <w:r>
        <w:rPr>
          <w:rFonts w:ascii="Times New Roman" w:hAnsi="Times New Roman" w:eastAsia="方正仿宋_GBK" w:cs="Times New Roman"/>
          <w:sz w:val="32"/>
          <w:szCs w:val="30"/>
        </w:rPr>
        <w:t>有效提升全区对水灾害的防御能力。</w:t>
      </w:r>
    </w:p>
    <w:p>
      <w:pPr>
        <w:snapToGrid w:val="0"/>
        <w:spacing w:line="579" w:lineRule="exact"/>
        <w:ind w:firstLine="643" w:firstLineChars="200"/>
        <w:rPr>
          <w:rFonts w:ascii="Times New Roman" w:hAnsi="Times New Roman" w:eastAsia="方正仿宋_GBK" w:cs="Times New Roman"/>
          <w:sz w:val="32"/>
          <w:szCs w:val="30"/>
        </w:rPr>
      </w:pPr>
      <w:r>
        <w:rPr>
          <w:rFonts w:ascii="Times New Roman" w:hAnsi="Times New Roman" w:eastAsia="方正楷体_GBK" w:cs="Times New Roman"/>
          <w:b/>
          <w:bCs/>
          <w:sz w:val="32"/>
          <w:szCs w:val="30"/>
        </w:rPr>
        <w:t>农村人居环境综合整治</w:t>
      </w:r>
      <w:r>
        <w:rPr>
          <w:rFonts w:hint="eastAsia" w:ascii="Times New Roman" w:hAnsi="Times New Roman" w:eastAsia="方正楷体_GBK" w:cs="Times New Roman"/>
          <w:b/>
          <w:bCs/>
          <w:sz w:val="32"/>
          <w:szCs w:val="30"/>
        </w:rPr>
        <w:t>效果显著</w:t>
      </w:r>
      <w:r>
        <w:rPr>
          <w:rFonts w:ascii="Times New Roman" w:hAnsi="Times New Roman" w:eastAsia="方正楷体_GBK" w:cs="Times New Roman"/>
          <w:b/>
          <w:bCs/>
          <w:sz w:val="32"/>
          <w:szCs w:val="30"/>
        </w:rPr>
        <w:t>。</w:t>
      </w:r>
      <w:r>
        <w:rPr>
          <w:rFonts w:hint="eastAsia" w:ascii="方正仿宋_GBK" w:hAnsi="方正仿宋_GBK" w:eastAsia="方正仿宋_GBK" w:cs="方正仿宋_GBK"/>
          <w:sz w:val="32"/>
          <w:szCs w:val="30"/>
        </w:rPr>
        <w:t>“十三五”以来</w:t>
      </w:r>
      <w:r>
        <w:rPr>
          <w:rFonts w:ascii="Times New Roman" w:hAnsi="Times New Roman" w:eastAsia="方正仿宋_GBK" w:cs="Times New Roman"/>
          <w:sz w:val="32"/>
          <w:szCs w:val="30"/>
        </w:rPr>
        <w:t>，全区共计完成106个农村人居环境整治。成片推进阿蓬江农村人居环境整治示范片建设，持续开展村庄清洁行动。全面完成农村人居环境整治三年行动计划重点工程23项任务。全区行政村有效治理率达100%，农村卫生厕所普及率达86%。</w:t>
      </w:r>
      <w:bookmarkStart w:id="45" w:name="_Hlk119801554"/>
      <w:r>
        <w:rPr>
          <w:rFonts w:ascii="Times New Roman" w:hAnsi="Times New Roman" w:eastAsia="方正仿宋_GBK" w:cs="Times New Roman"/>
          <w:sz w:val="32"/>
          <w:szCs w:val="30"/>
        </w:rPr>
        <w:t>印发实施《重庆市黔江区农村生活污水治理专项规划（2021-2025年）》，不断完善农村污水处理工程，累计建成村级污水处理设施17个，有效改善了农村人居环境，提升了农村居民幸福感。</w:t>
      </w:r>
    </w:p>
    <w:bookmarkEnd w:id="45"/>
    <w:p>
      <w:pPr>
        <w:spacing w:line="600" w:lineRule="exact"/>
        <w:ind w:firstLine="643" w:firstLineChars="200"/>
        <w:rPr>
          <w:rFonts w:ascii="Times New Roman" w:hAnsi="Times New Roman" w:eastAsia="方正仿宋_GBK" w:cs="Times New Roman"/>
          <w:sz w:val="32"/>
          <w:szCs w:val="32"/>
        </w:rPr>
      </w:pPr>
      <w:r>
        <w:rPr>
          <w:rFonts w:ascii="Times New Roman" w:hAnsi="Times New Roman" w:eastAsia="方正楷体_GBK" w:cs="Times New Roman"/>
          <w:b/>
          <w:bCs/>
          <w:sz w:val="32"/>
          <w:szCs w:val="32"/>
        </w:rPr>
        <w:t>农业面源污染得到有效控制。</w:t>
      </w:r>
      <w:r>
        <w:rPr>
          <w:rFonts w:ascii="Times New Roman" w:hAnsi="Times New Roman" w:eastAsia="方正仿宋_GBK" w:cs="Times New Roman"/>
          <w:sz w:val="32"/>
          <w:szCs w:val="32"/>
        </w:rPr>
        <w:t>建成年加工能力16万吨的区域性粪污集中处理中心，完成291个生猪规模养殖场粪污设施新建或者改造升级，生猪规模场粪污设施配套率达100%，设施使用率达95%，畜禽粪污综合利用率达91.44%。推进化肥农药减量行动，全面推广农作物配方施肥、有机肥替代等生产技术，主要农作物化肥平均利用率达40.4%，化肥使用量减少1.01%，测土配方施肥技术推广覆盖率达到93.3%。主要农作物化肥、农药施用量实现零增长，化肥利用率提高到40%。推进秸秆综合利用，结合机耕、机收、秸秆覆盖，实施油菜、水稻等主要农作物秸秆粉碎还田和覆盖还田13.53万亩，农作物秸秆综合利用率达92%</w:t>
      </w:r>
      <w:r>
        <w:rPr>
          <w:rFonts w:hint="eastAsia" w:ascii="Times New Roman" w:hAnsi="Times New Roman" w:eastAsia="方正仿宋_GBK" w:cs="Times New Roman"/>
          <w:sz w:val="32"/>
          <w:szCs w:val="32"/>
        </w:rPr>
        <w:t>。</w:t>
      </w:r>
    </w:p>
    <w:p>
      <w:pPr>
        <w:spacing w:before="312" w:beforeLines="100" w:after="156" w:afterLines="50" w:line="600" w:lineRule="exact"/>
        <w:ind w:firstLine="640" w:firstLineChars="200"/>
        <w:outlineLvl w:val="1"/>
        <w:rPr>
          <w:rFonts w:ascii="方正小标宋_GBK" w:hAnsi="方正小标宋_GBK" w:eastAsia="方正小标宋_GBK" w:cs="方正小标宋_GBK"/>
          <w:sz w:val="32"/>
          <w:szCs w:val="32"/>
        </w:rPr>
      </w:pPr>
      <w:bookmarkStart w:id="46" w:name="_Toc24926"/>
      <w:bookmarkStart w:id="47" w:name="_Toc401"/>
      <w:bookmarkStart w:id="48" w:name="_Toc15889"/>
      <w:r>
        <w:rPr>
          <w:rFonts w:hint="eastAsia" w:ascii="方正小标宋_GBK" w:hAnsi="方正小标宋_GBK" w:eastAsia="方正小标宋_GBK" w:cs="方正小标宋_GBK"/>
          <w:sz w:val="32"/>
          <w:szCs w:val="32"/>
        </w:rPr>
        <w:t>第五节 机遇与挑战</w:t>
      </w:r>
      <w:bookmarkEnd w:id="46"/>
      <w:bookmarkEnd w:id="47"/>
      <w:bookmarkEnd w:id="48"/>
    </w:p>
    <w:p>
      <w:pPr>
        <w:spacing w:line="600" w:lineRule="exact"/>
        <w:ind w:firstLine="640" w:firstLineChars="200"/>
        <w:outlineLvl w:val="2"/>
        <w:rPr>
          <w:rFonts w:ascii="Times New Roman" w:hAnsi="Times New Roman" w:eastAsia="方正仿宋_GBK" w:cs="Times New Roman"/>
          <w:sz w:val="32"/>
          <w:szCs w:val="32"/>
        </w:rPr>
      </w:pPr>
      <w:bookmarkStart w:id="49" w:name="_Toc3746"/>
      <w:bookmarkStart w:id="50" w:name="_Toc29137"/>
      <w:bookmarkStart w:id="51" w:name="_Toc15821"/>
      <w:bookmarkStart w:id="52" w:name="_Toc25658"/>
      <w:r>
        <w:rPr>
          <w:rFonts w:hint="eastAsia" w:ascii="方正黑体_GBK" w:hAnsi="方正黑体_GBK" w:eastAsia="方正黑体_GBK" w:cs="方正黑体_GBK"/>
          <w:sz w:val="32"/>
          <w:szCs w:val="32"/>
        </w:rPr>
        <w:t>一、重大机遇</w:t>
      </w:r>
      <w:bookmarkEnd w:id="49"/>
      <w:bookmarkEnd w:id="50"/>
      <w:bookmarkEnd w:id="51"/>
      <w:bookmarkEnd w:id="52"/>
    </w:p>
    <w:p>
      <w:pPr>
        <w:adjustRightInd w:val="0"/>
        <w:snapToGrid w:val="0"/>
        <w:spacing w:line="560" w:lineRule="exact"/>
        <w:ind w:firstLine="640" w:firstLineChars="200"/>
        <w:rPr>
          <w:rFonts w:ascii="Times New Roman" w:hAnsi="Times New Roman" w:eastAsia="方正仿宋_GBK" w:cs="Times New Roman"/>
          <w:sz w:val="32"/>
          <w:szCs w:val="32"/>
        </w:rPr>
      </w:pPr>
      <w:bookmarkStart w:id="53" w:name="_Toc17337"/>
      <w:r>
        <w:rPr>
          <w:rFonts w:ascii="Times New Roman" w:hAnsi="Times New Roman" w:eastAsia="方正楷体_GBK" w:cs="Times New Roman"/>
          <w:sz w:val="32"/>
          <w:szCs w:val="32"/>
        </w:rPr>
        <w:t>（一）生态文明建设引领绿色发展新方向。</w:t>
      </w:r>
      <w:r>
        <w:rPr>
          <w:rFonts w:ascii="Times New Roman" w:hAnsi="Times New Roman" w:eastAsia="方正仿宋_GBK" w:cs="Times New Roman"/>
          <w:sz w:val="32"/>
          <w:szCs w:val="32"/>
        </w:rPr>
        <w:t>生态文明建设是关系中华民族永续发展的根本大计，以习近平同志为核心的党中央国务院把生态文明建设放在突出地位，融入中国经济社会发展各方面和全过程。建设生态文明要求全面推进绿色发展，更需要聚焦国家生态安全屏障建设、突出对国家重大战略的生态支撑，为生态保护修复营造出了前所未有的有利背景。</w:t>
      </w:r>
      <w:r>
        <w:rPr>
          <w:rFonts w:ascii="Times New Roman" w:hAnsi="Times New Roman" w:eastAsia="方正仿宋_GBK" w:cs="Times New Roman"/>
          <w:sz w:val="32"/>
          <w:szCs w:val="32"/>
          <w:shd w:val="clear" w:color="auto" w:fill="FFFFFF"/>
        </w:rPr>
        <w:t>国土是生态文明建设的空间载体，必须合理开发、利用整治和保护，推进生态文明建设步伐。党中央、国务院多次就“国土空间生态修复”做出重要部署，为保障国土空间生态修复推进，破解制约生态修复的体制机制障碍，构建系统化、可操作的绿色发展制度，提高经济绿色化程度，发展生态产业经济，生态文化赋予了关键动力，从而为国土生态保护与修复带来了前所未有的重大机遇。</w:t>
      </w:r>
    </w:p>
    <w:p>
      <w:pPr>
        <w:spacing w:line="579"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（二）重要战略</w:t>
      </w:r>
      <w:r>
        <w:rPr>
          <w:rFonts w:hint="eastAsia" w:ascii="Times New Roman" w:hAnsi="Times New Roman" w:eastAsia="方正楷体_GBK" w:cs="Times New Roman"/>
          <w:sz w:val="32"/>
          <w:szCs w:val="32"/>
        </w:rPr>
        <w:t>指引</w:t>
      </w:r>
      <w:r>
        <w:rPr>
          <w:rFonts w:ascii="Times New Roman" w:hAnsi="Times New Roman" w:eastAsia="方正楷体_GBK" w:cs="Times New Roman"/>
          <w:sz w:val="32"/>
          <w:szCs w:val="32"/>
        </w:rPr>
        <w:t>开创美丽黔江新阶段。</w:t>
      </w:r>
      <w:r>
        <w:rPr>
          <w:rFonts w:ascii="Times New Roman" w:hAnsi="Times New Roman" w:eastAsia="方正仿宋_GBK" w:cs="Times New Roman"/>
          <w:bCs/>
          <w:sz w:val="32"/>
          <w:szCs w:val="32"/>
        </w:rPr>
        <w:t>党中央高度重视长江经济带发展和新时代西部大开发战略，习近平总书记多次作出重要指示，切实要求“共抓大保护、不搞大开发”，加强生态环境保护成为重要政治责任。黔江地处长江经济带，将充分利用好国家政策红利，有效解决一批突出环境问题，不断优化产业布局和产业结构，更好彰显城市特色与生态底色，为重庆在推进长江经济带绿色发展中发挥示范作用展现大担当、实现新作为。中央将成渝地区双城经济圈建设上升为国家战略，势必推动全区融入区域发展一体化统筹布局，将紧紧围绕推动成渝地区双城经济圈一体化发展，统筹区域生态环境保护统一谋划、一体部署、相互协作、共同实施，以生态环境保护推动形成节约资源和保护生态环境的绿色发展方式和生活方式，推动生态产业化、产业生态化，从根本上减少污染物的产生，切实提升发展“绿色含量”。</w:t>
      </w:r>
    </w:p>
    <w:p>
      <w:pPr>
        <w:adjustRightInd w:val="0"/>
        <w:snapToGrid w:val="0"/>
        <w:spacing w:line="560" w:lineRule="exact"/>
        <w:ind w:firstLine="640" w:firstLineChars="200"/>
        <w:rPr>
          <w:rFonts w:ascii="Times New Roman" w:hAnsi="Times New Roman" w:eastAsia="方正仿宋_GBK" w:cs="Times New Roman"/>
          <w:sz w:val="32"/>
          <w:szCs w:val="32"/>
          <w:shd w:val="clear" w:color="auto" w:fill="FFFFFF"/>
        </w:rPr>
      </w:pPr>
      <w:r>
        <w:rPr>
          <w:rFonts w:ascii="Times New Roman" w:hAnsi="Times New Roman" w:eastAsia="方正楷体_GBK" w:cs="Times New Roman"/>
          <w:sz w:val="32"/>
          <w:szCs w:val="32"/>
        </w:rPr>
        <w:t>（三）</w:t>
      </w:r>
      <w:r>
        <w:rPr>
          <w:rFonts w:hint="eastAsia" w:ascii="Times New Roman" w:hAnsi="Times New Roman" w:eastAsia="方正楷体_GBK" w:cs="Times New Roman"/>
          <w:sz w:val="32"/>
          <w:szCs w:val="32"/>
        </w:rPr>
        <w:t>生态修复类项目获财政支持力度不断加大</w:t>
      </w:r>
      <w:r>
        <w:rPr>
          <w:rFonts w:ascii="Times New Roman" w:hAnsi="Times New Roman" w:eastAsia="方正楷体_GBK" w:cs="Times New Roman"/>
          <w:sz w:val="32"/>
          <w:szCs w:val="32"/>
        </w:rPr>
        <w:t>。</w:t>
      </w:r>
      <w:r>
        <w:rPr>
          <w:rFonts w:ascii="Times New Roman" w:hAnsi="Times New Roman" w:eastAsia="方正仿宋_GBK" w:cs="Times New Roman"/>
          <w:sz w:val="32"/>
          <w:szCs w:val="32"/>
          <w:shd w:val="clear" w:color="auto" w:fill="FFFFFF"/>
        </w:rPr>
        <w:t>生态文明建设将融入到经济、政治、文化、社会建设的各方面和全过程，国家将加大生态建设力度，继续实施和启动大批重点生态工程。国家实施长江防护林三期、退耕还林、天然林保护、森林质量精准提升等重大生态修复工程，启动国家公园体制试点筹建工作，长江干流岸线保护和利用专项检查行动、巩固非法码头和非法采砂专项整治成果、非法码头生态复绿、城市修补和生态修复、海绵城市建设，实施增绿添园等生态工程，对推进生态文明建设具有重要的支撑作用。</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（四）国土生态修复事业已奠定良好的发展基础。</w:t>
      </w:r>
      <w:r>
        <w:rPr>
          <w:rFonts w:ascii="Times New Roman" w:hAnsi="Times New Roman" w:eastAsia="方正仿宋_GBK" w:cs="Times New Roman"/>
          <w:sz w:val="32"/>
          <w:szCs w:val="32"/>
          <w:shd w:val="clear" w:color="auto" w:fill="FFFFFF"/>
        </w:rPr>
        <w:t>“十三五”时期，市委、市政府高度重视生态保护和修复工作，牢固树立绿水青山就是金山银山理念，坚持共抓大保护、不搞大开发，把生态保护和修复纳入“3+8”行动计划，凝聚各方力量，统筹各类资源，大力实施生态优先绿色发展行动计划，持续开展国土绿化提升行动，深入推进岩溶石漠化综合治理、水土流失综合治理、湿地保护修复、生物多样性保护等工作，取得显著成效</w:t>
      </w:r>
      <w:r>
        <w:rPr>
          <w:rFonts w:hint="eastAsia" w:ascii="Times New Roman" w:hAnsi="Times New Roman" w:eastAsia="方正仿宋_GBK" w:cs="Times New Roman"/>
          <w:sz w:val="32"/>
          <w:szCs w:val="32"/>
          <w:shd w:val="clear" w:color="auto" w:fill="FFFFFF"/>
        </w:rPr>
        <w:t>，为</w:t>
      </w:r>
      <w:r>
        <w:rPr>
          <w:rFonts w:ascii="Times New Roman" w:hAnsi="Times New Roman" w:eastAsia="方正仿宋_GBK" w:cs="Times New Roman"/>
          <w:sz w:val="32"/>
          <w:szCs w:val="32"/>
          <w:shd w:val="clear" w:color="auto" w:fill="FFFFFF"/>
        </w:rPr>
        <w:t>深入推动黔江区国土生态修复奠定了坚实基础。</w:t>
      </w:r>
    </w:p>
    <w:p>
      <w:pPr>
        <w:spacing w:line="600" w:lineRule="exact"/>
        <w:ind w:firstLine="640" w:firstLineChars="200"/>
        <w:outlineLvl w:val="2"/>
        <w:rPr>
          <w:rFonts w:ascii="Times New Roman" w:hAnsi="Times New Roman" w:eastAsia="方正黑体_GBK" w:cs="Times New Roman"/>
          <w:sz w:val="32"/>
          <w:szCs w:val="32"/>
        </w:rPr>
      </w:pPr>
      <w:bookmarkStart w:id="54" w:name="_Toc14659"/>
      <w:bookmarkStart w:id="55" w:name="_Toc6746"/>
      <w:bookmarkStart w:id="56" w:name="_Toc87889493"/>
      <w:bookmarkStart w:id="57" w:name="_Toc86676484"/>
      <w:bookmarkStart w:id="58" w:name="_Toc87797806"/>
      <w:bookmarkStart w:id="59" w:name="_Toc89966293"/>
      <w:bookmarkStart w:id="60" w:name="_Toc31360"/>
      <w:bookmarkStart w:id="61" w:name="_Toc32680"/>
      <w:bookmarkStart w:id="62" w:name="_Toc17549"/>
      <w:bookmarkStart w:id="63" w:name="_Hlk86747285"/>
      <w:r>
        <w:rPr>
          <w:rFonts w:ascii="Times New Roman" w:hAnsi="Times New Roman" w:eastAsia="方正黑体_GBK" w:cs="Times New Roman"/>
          <w:sz w:val="32"/>
          <w:szCs w:val="32"/>
        </w:rPr>
        <w:t>二、面临挑战</w:t>
      </w:r>
      <w:bookmarkEnd w:id="54"/>
      <w:bookmarkEnd w:id="55"/>
      <w:bookmarkEnd w:id="56"/>
      <w:bookmarkEnd w:id="57"/>
      <w:bookmarkEnd w:id="58"/>
      <w:bookmarkEnd w:id="59"/>
      <w:bookmarkEnd w:id="60"/>
      <w:bookmarkEnd w:id="61"/>
      <w:bookmarkEnd w:id="62"/>
    </w:p>
    <w:bookmarkEnd w:id="63"/>
    <w:p>
      <w:pPr>
        <w:adjustRightInd w:val="0"/>
        <w:snapToGrid w:val="0"/>
        <w:spacing w:line="560" w:lineRule="exact"/>
        <w:ind w:firstLine="640" w:firstLineChars="200"/>
        <w:rPr>
          <w:rFonts w:ascii="Times New Roman" w:hAnsi="Times New Roman" w:eastAsia="方正仿宋_GBK" w:cs="Times New Roman"/>
          <w:kern w:val="0"/>
          <w:sz w:val="32"/>
          <w:szCs w:val="32"/>
        </w:rPr>
      </w:pPr>
      <w:r>
        <w:rPr>
          <w:rFonts w:ascii="Times New Roman" w:hAnsi="Times New Roman" w:eastAsia="方正楷体_GBK" w:cs="Times New Roman"/>
          <w:sz w:val="32"/>
          <w:szCs w:val="32"/>
        </w:rPr>
        <w:t>（一）国土空间生态修复历史欠账多、任务重。</w:t>
      </w:r>
      <w:r>
        <w:rPr>
          <w:rFonts w:ascii="Times New Roman" w:hAnsi="Times New Roman" w:eastAsia="方正仿宋_GBK" w:cs="Times New Roman"/>
          <w:kern w:val="0"/>
          <w:sz w:val="32"/>
          <w:szCs w:val="32"/>
        </w:rPr>
        <w:t>全区</w:t>
      </w:r>
      <w:r>
        <w:rPr>
          <w:rFonts w:ascii="Times New Roman" w:hAnsi="Times New Roman" w:eastAsia="方正仿宋_GBK" w:cs="Times New Roman"/>
          <w:sz w:val="32"/>
          <w:szCs w:val="32"/>
        </w:rPr>
        <w:t>“散乱污”企业历史欠账多、投入大、整治周期长，短期内难以根本解决</w:t>
      </w:r>
      <w:r>
        <w:rPr>
          <w:rFonts w:hint="eastAsia" w:ascii="Times New Roman" w:hAnsi="Times New Roman" w:eastAsia="方正仿宋_GBK" w:cs="Times New Roman"/>
          <w:sz w:val="32"/>
          <w:szCs w:val="32"/>
        </w:rPr>
        <w:t>。</w:t>
      </w:r>
      <w:r>
        <w:rPr>
          <w:rFonts w:ascii="Times New Roman" w:hAnsi="Times New Roman" w:eastAsia="方正仿宋_GBK" w:cs="Times New Roman"/>
          <w:kern w:val="0"/>
          <w:sz w:val="32"/>
          <w:szCs w:val="32"/>
        </w:rPr>
        <w:t>水泥、建材、工业喷涂等行业依然是主要的工业污染源，污染物减排和碳排放控制困难，生态环保的根源性压力依然较大。绿色低碳循环发展经济体系仍需健全，光伏、风电等资源有限，提高非化石能源占比难度大，实现碳达峰、碳中和任务艰巨。</w:t>
      </w:r>
    </w:p>
    <w:p>
      <w:pPr>
        <w:spacing w:line="579" w:lineRule="exact"/>
        <w:ind w:firstLine="640" w:firstLineChars="200"/>
        <w:rPr>
          <w:rFonts w:ascii="Times New Roman" w:hAnsi="Times New Roman" w:eastAsia="方正仿宋_GBK" w:cs="Times New Roman"/>
          <w:sz w:val="32"/>
          <w:szCs w:val="32"/>
          <w:shd w:val="clear" w:color="auto" w:fill="FFFFFF"/>
        </w:rPr>
      </w:pPr>
      <w:r>
        <w:rPr>
          <w:rFonts w:ascii="Times New Roman" w:hAnsi="Times New Roman" w:eastAsia="方正楷体_GBK" w:cs="Times New Roman"/>
          <w:sz w:val="32"/>
          <w:szCs w:val="32"/>
        </w:rPr>
        <w:t>（二）生态环境质量持续改善难度大</w:t>
      </w:r>
      <w:r>
        <w:rPr>
          <w:rFonts w:ascii="Times New Roman" w:hAnsi="Times New Roman" w:eastAsia="方正楷体_GBK" w:cs="Times New Roman"/>
          <w:bCs/>
          <w:sz w:val="32"/>
          <w:szCs w:val="32"/>
        </w:rPr>
        <w:t>。</w:t>
      </w:r>
      <w:r>
        <w:rPr>
          <w:rFonts w:ascii="Times New Roman" w:hAnsi="Times New Roman" w:eastAsia="方正仿宋_GBK" w:cs="Times New Roman"/>
          <w:bCs/>
          <w:sz w:val="32"/>
          <w:szCs w:val="32"/>
        </w:rPr>
        <w:t>未来5年，面临多领域、多类型、多层面的生态环境问题累积叠加交织。水环境质量总体呈现</w:t>
      </w:r>
      <w:r>
        <w:rPr>
          <w:rFonts w:ascii="Times New Roman" w:hAnsi="Times New Roman" w:eastAsia="方正仿宋_GBK" w:cs="Times New Roman"/>
          <w:sz w:val="32"/>
          <w:szCs w:val="32"/>
        </w:rPr>
        <w:t>干流水质好、支流水质较差现象，以黔江河为典型，流经城镇的河流因</w:t>
      </w:r>
      <w:r>
        <w:rPr>
          <w:rFonts w:ascii="Times New Roman" w:hAnsi="Times New Roman" w:eastAsia="方正仿宋_GBK" w:cs="Times New Roman"/>
          <w:bCs/>
          <w:sz w:val="32"/>
          <w:szCs w:val="32"/>
        </w:rPr>
        <w:t>雨污分流不彻底、二三级管网不完善所导致的部分生活、生产污水未得到有效处理而流入黔江河，水环境超标风险较大。土壤环境问题呈现多样性和复合性的特点，建设用地、农用地的污染特征、污染分布和污染面积底数不清，风险管控难度进一步加大。农业面源污染点多面广，城乡结合部、农村污水、农村垃圾等基础设施建设仍不完善，农业种植养殖、水产养殖等污染控制困难，农业面源污染防治任务艰巨。</w:t>
      </w:r>
      <w:bookmarkStart w:id="64" w:name="_Hlk122194255"/>
      <w:r>
        <w:rPr>
          <w:rFonts w:ascii="Times New Roman" w:hAnsi="Times New Roman" w:eastAsia="方正仿宋_GBK" w:cs="Times New Roman"/>
          <w:sz w:val="32"/>
          <w:szCs w:val="32"/>
          <w:shd w:val="clear" w:color="auto" w:fill="FFFFFF"/>
        </w:rPr>
        <w:t>生态修复所需的空间资源面临很大压力</w:t>
      </w:r>
      <w:bookmarkEnd w:id="64"/>
      <w:r>
        <w:rPr>
          <w:rFonts w:ascii="Times New Roman" w:hAnsi="Times New Roman" w:eastAsia="方正仿宋_GBK" w:cs="Times New Roman"/>
          <w:sz w:val="32"/>
          <w:szCs w:val="32"/>
          <w:shd w:val="clear" w:color="auto" w:fill="FFFFFF"/>
        </w:rPr>
        <w:t>，加之受工矿建设、资源开发、城镇扩张等影响，局地生态空间被挤占、局部区域生态退化问题严重。</w:t>
      </w:r>
    </w:p>
    <w:p>
      <w:pPr>
        <w:spacing w:line="600" w:lineRule="exact"/>
        <w:ind w:firstLine="640" w:firstLineChars="200"/>
        <w:rPr>
          <w:rFonts w:ascii="方正小标宋_GBK" w:hAnsi="方正小标宋_GBK" w:eastAsia="方正小标宋_GBK" w:cs="方正小标宋_GBK"/>
          <w:sz w:val="44"/>
          <w:szCs w:val="44"/>
        </w:rPr>
        <w:sectPr>
          <w:footerReference r:id="rId5" w:type="default"/>
          <w:pgSz w:w="11906" w:h="16838"/>
          <w:pgMar w:top="1701" w:right="1474" w:bottom="1440" w:left="1587" w:header="851" w:footer="992" w:gutter="0"/>
          <w:pgNumType w:start="1"/>
          <w:cols w:space="0" w:num="1"/>
          <w:docGrid w:type="lines" w:linePitch="312" w:charSpace="0"/>
        </w:sectPr>
      </w:pPr>
      <w:r>
        <w:rPr>
          <w:rFonts w:ascii="Times New Roman" w:hAnsi="Times New Roman" w:eastAsia="方正楷体_GBK" w:cs="Times New Roman"/>
          <w:sz w:val="32"/>
          <w:szCs w:val="32"/>
        </w:rPr>
        <w:t>（</w:t>
      </w:r>
      <w:r>
        <w:rPr>
          <w:rFonts w:hint="eastAsia" w:ascii="Times New Roman" w:hAnsi="Times New Roman" w:eastAsia="方正楷体_GBK" w:cs="Times New Roman"/>
          <w:sz w:val="32"/>
          <w:szCs w:val="32"/>
        </w:rPr>
        <w:t>三</w:t>
      </w:r>
      <w:r>
        <w:rPr>
          <w:rFonts w:ascii="Times New Roman" w:hAnsi="Times New Roman" w:eastAsia="方正楷体_GBK" w:cs="Times New Roman"/>
          <w:sz w:val="32"/>
          <w:szCs w:val="32"/>
        </w:rPr>
        <w:t>）生态环境治理和监管水平仍待提升。</w:t>
      </w:r>
      <w:r>
        <w:rPr>
          <w:rFonts w:ascii="Times New Roman" w:hAnsi="Times New Roman" w:eastAsia="方正仿宋_GBK" w:cs="Times New Roman"/>
          <w:sz w:val="32"/>
          <w:szCs w:val="32"/>
          <w:shd w:val="clear" w:color="auto" w:fill="FFFFFF"/>
        </w:rPr>
        <w:t>生态环保资金投入压力持续加大，黔江区国土空间生态修复项目仍以政府财政投入为主，生态损害责任方赔偿或其他筹集方式占比很小，在经济下行压力加大、政府大力实施减税降费的背景下，财政收支矛盾突出，而生态环境治理任务艰巨，可用财力有限与生态环保资金需求的矛盾进一步凸显；生态修复涉及部门多，协调难度大，导致国土生态修复项目易碎片化、时序不一，国土生态修复的点、线、面等空间要素难以有机结合</w:t>
      </w:r>
      <w:r>
        <w:rPr>
          <w:rFonts w:eastAsia="方正仿宋_GBK"/>
          <w:bCs/>
          <w:sz w:val="32"/>
          <w:szCs w:val="32"/>
        </w:rPr>
        <w:t>。</w:t>
      </w:r>
      <w:bookmarkEnd w:id="53"/>
    </w:p>
    <w:p>
      <w:pPr>
        <w:spacing w:before="312" w:beforeLines="100" w:after="312" w:afterLines="100" w:line="600" w:lineRule="exact"/>
        <w:jc w:val="center"/>
        <w:outlineLvl w:val="0"/>
        <w:rPr>
          <w:rFonts w:ascii="方正小标宋_GBK" w:hAnsi="方正小标宋_GBK" w:eastAsia="方正小标宋_GBK" w:cs="方正小标宋_GBK"/>
          <w:sz w:val="44"/>
          <w:szCs w:val="44"/>
        </w:rPr>
      </w:pPr>
      <w:bookmarkStart w:id="65" w:name="_Toc14159"/>
      <w:bookmarkStart w:id="66" w:name="_Toc21136"/>
      <w:r>
        <w:rPr>
          <w:rFonts w:hint="eastAsia" w:ascii="方正小标宋_GBK" w:hAnsi="方正小标宋_GBK" w:eastAsia="方正小标宋_GBK" w:cs="方正小标宋_GBK"/>
          <w:sz w:val="44"/>
          <w:szCs w:val="44"/>
        </w:rPr>
        <w:t>第二章 总体要求</w:t>
      </w:r>
      <w:bookmarkEnd w:id="12"/>
      <w:bookmarkEnd w:id="13"/>
      <w:bookmarkEnd w:id="65"/>
      <w:bookmarkEnd w:id="66"/>
    </w:p>
    <w:p>
      <w:pPr>
        <w:spacing w:before="312" w:beforeLines="100" w:after="156" w:afterLines="50" w:line="600" w:lineRule="exact"/>
        <w:ind w:firstLine="640" w:firstLineChars="200"/>
        <w:outlineLvl w:val="1"/>
        <w:rPr>
          <w:rFonts w:ascii="方正小标宋_GBK" w:hAnsi="方正小标宋_GBK" w:eastAsia="方正小标宋_GBK" w:cs="方正小标宋_GBK"/>
          <w:sz w:val="32"/>
          <w:szCs w:val="32"/>
        </w:rPr>
      </w:pPr>
      <w:bookmarkStart w:id="67" w:name="_Toc25301"/>
      <w:bookmarkStart w:id="68" w:name="_Toc17529"/>
      <w:bookmarkStart w:id="69" w:name="_Toc30876"/>
      <w:bookmarkStart w:id="70" w:name="_Toc12429"/>
      <w:r>
        <w:rPr>
          <w:rFonts w:hint="eastAsia" w:ascii="方正小标宋_GBK" w:hAnsi="方正小标宋_GBK" w:eastAsia="方正小标宋_GBK" w:cs="方正小标宋_GBK"/>
          <w:sz w:val="32"/>
          <w:szCs w:val="32"/>
        </w:rPr>
        <w:t>第一节 指导思想</w:t>
      </w:r>
      <w:bookmarkEnd w:id="67"/>
      <w:bookmarkEnd w:id="68"/>
      <w:bookmarkEnd w:id="69"/>
      <w:bookmarkEnd w:id="70"/>
    </w:p>
    <w:p>
      <w:pPr>
        <w:spacing w:line="579" w:lineRule="exact"/>
        <w:ind w:firstLine="640" w:firstLineChars="200"/>
        <w:rPr>
          <w:rFonts w:eastAsia="方正仿宋_GBK"/>
          <w:kern w:val="24"/>
          <w:sz w:val="32"/>
          <w:szCs w:val="32"/>
        </w:rPr>
      </w:pPr>
      <w:r>
        <w:rPr>
          <w:rFonts w:ascii="Times New Roman" w:hAnsi="Times New Roman" w:eastAsia="方正仿宋_GBK" w:cs="Times New Roman"/>
          <w:sz w:val="32"/>
          <w:szCs w:val="32"/>
        </w:rPr>
        <w:t>以习近平新时代中国特色社会主义思想为指导，全面贯彻党的</w:t>
      </w:r>
      <w:r>
        <w:rPr>
          <w:rFonts w:hint="eastAsia" w:ascii="Times New Roman" w:hAnsi="Times New Roman" w:eastAsia="方正仿宋_GBK" w:cs="Times New Roman"/>
          <w:sz w:val="32"/>
          <w:szCs w:val="32"/>
        </w:rPr>
        <w:t>二十大</w:t>
      </w:r>
      <w:r>
        <w:rPr>
          <w:rFonts w:hint="eastAsia" w:ascii="方正仿宋_GBK" w:hAnsi="方正仿宋_GBK" w:eastAsia="方正仿宋_GBK" w:cs="方正仿宋_GBK"/>
          <w:sz w:val="32"/>
          <w:szCs w:val="32"/>
        </w:rPr>
        <w:t>精神，</w:t>
      </w:r>
      <w:r>
        <w:rPr>
          <w:rFonts w:eastAsia="方正仿宋_GBK"/>
          <w:kern w:val="24"/>
          <w:sz w:val="32"/>
          <w:szCs w:val="32"/>
        </w:rPr>
        <w:t>深学笃用</w:t>
      </w:r>
      <w:r>
        <w:rPr>
          <w:rFonts w:eastAsia="方正仿宋_GBK"/>
          <w:sz w:val="32"/>
          <w:szCs w:val="32"/>
        </w:rPr>
        <w:t>习近平生态文明思想，立足新发展阶段，贯彻新发展理念，融入新发展格局，全面落实习近平总书记对重庆提出的营造良好政治生态</w:t>
      </w:r>
      <w:r>
        <w:rPr>
          <w:rFonts w:hint="eastAsia" w:ascii="方正仿宋_GBK" w:hAnsi="方正仿宋_GBK" w:eastAsia="方正仿宋_GBK" w:cs="方正仿宋_GBK"/>
          <w:sz w:val="32"/>
          <w:szCs w:val="32"/>
        </w:rPr>
        <w:t>，坚持“两点”定位、“两地”“两高”目标，发挥“三个作用”和推动成渝地区双城经济圈建设等重要指示要求，牢固树立“绿水青山就是金山银山”理念，坚决贯彻“共抓大保护、不搞大开发”方针，统筹山水林田湖草沙一体化保护和系统治理，</w:t>
      </w:r>
      <w:r>
        <w:rPr>
          <w:rFonts w:ascii="Times New Roman" w:hAnsi="Times New Roman" w:eastAsia="方正仿宋_GBK" w:cs="Times New Roman"/>
          <w:sz w:val="32"/>
          <w:szCs w:val="32"/>
        </w:rPr>
        <w:t>以全面提升生态安全屏障质量、促进生态系统良性循环和永续利用为目标，以统筹山水林田湖草</w:t>
      </w:r>
      <w:r>
        <w:rPr>
          <w:rFonts w:hint="eastAsia" w:ascii="Times New Roman" w:hAnsi="Times New Roman" w:eastAsia="方正仿宋_GBK" w:cs="Times New Roman"/>
          <w:sz w:val="32"/>
          <w:szCs w:val="32"/>
        </w:rPr>
        <w:t>沙</w:t>
      </w:r>
      <w:r>
        <w:rPr>
          <w:rFonts w:ascii="Times New Roman" w:hAnsi="Times New Roman" w:eastAsia="方正仿宋_GBK" w:cs="Times New Roman"/>
          <w:sz w:val="32"/>
          <w:szCs w:val="32"/>
        </w:rPr>
        <w:t>一体化保护和修复为主线，科学布局和组织实施重要生态系统保护和修复重大工程，着力提高生态系统自我修复能力，显著提升生态系统功能，推进形成生态保护和修复新格局</w:t>
      </w:r>
      <w:r>
        <w:rPr>
          <w:rFonts w:hint="eastAsia" w:ascii="Times New Roman" w:hAnsi="Times New Roman" w:eastAsia="方正仿宋_GBK" w:cs="Times New Roman"/>
          <w:sz w:val="32"/>
          <w:szCs w:val="32"/>
        </w:rPr>
        <w:t>，</w:t>
      </w:r>
      <w:r>
        <w:rPr>
          <w:rFonts w:eastAsia="方正仿宋_GBK"/>
          <w:kern w:val="24"/>
          <w:sz w:val="32"/>
          <w:szCs w:val="32"/>
        </w:rPr>
        <w:t>使长江上游重要生态屏障更加巩固，把黔江建设成为高品质生活宜居地和长江</w:t>
      </w:r>
      <w:r>
        <w:rPr>
          <w:rFonts w:eastAsia="方正仿宋_GBK"/>
          <w:bCs/>
          <w:sz w:val="32"/>
          <w:szCs w:val="32"/>
        </w:rPr>
        <w:t>经济带绿色发展示范高地</w:t>
      </w:r>
      <w:r>
        <w:rPr>
          <w:rFonts w:eastAsia="方正仿宋_GBK"/>
          <w:kern w:val="24"/>
          <w:sz w:val="32"/>
          <w:szCs w:val="32"/>
        </w:rPr>
        <w:t>。</w:t>
      </w:r>
    </w:p>
    <w:p>
      <w:pPr>
        <w:spacing w:before="312" w:beforeLines="100" w:after="156" w:afterLines="50" w:line="600" w:lineRule="exact"/>
        <w:ind w:firstLine="640" w:firstLineChars="200"/>
        <w:outlineLvl w:val="1"/>
        <w:rPr>
          <w:rFonts w:ascii="方正小标宋_GBK" w:hAnsi="方正小标宋_GBK" w:eastAsia="方正小标宋_GBK" w:cs="方正小标宋_GBK"/>
          <w:sz w:val="32"/>
          <w:szCs w:val="32"/>
        </w:rPr>
      </w:pPr>
      <w:bookmarkStart w:id="71" w:name="_Toc6313"/>
      <w:bookmarkStart w:id="72" w:name="_Toc29209"/>
      <w:bookmarkStart w:id="73" w:name="_Toc5868"/>
      <w:bookmarkStart w:id="74" w:name="_Toc9036"/>
      <w:r>
        <w:rPr>
          <w:rFonts w:hint="eastAsia" w:ascii="方正小标宋_GBK" w:hAnsi="方正小标宋_GBK" w:eastAsia="方正小标宋_GBK" w:cs="方正小标宋_GBK"/>
          <w:sz w:val="32"/>
          <w:szCs w:val="32"/>
        </w:rPr>
        <w:t>第二节 规划原则</w:t>
      </w:r>
      <w:bookmarkEnd w:id="71"/>
      <w:bookmarkEnd w:id="72"/>
      <w:bookmarkEnd w:id="73"/>
      <w:bookmarkEnd w:id="74"/>
    </w:p>
    <w:p>
      <w:pPr>
        <w:spacing w:line="579" w:lineRule="exact"/>
        <w:ind w:firstLine="640" w:firstLineChars="200"/>
        <w:rPr>
          <w:rFonts w:eastAsia="方正仿宋_GBK"/>
          <w:kern w:val="24"/>
          <w:sz w:val="32"/>
          <w:szCs w:val="32"/>
        </w:rPr>
      </w:pPr>
      <w:r>
        <w:rPr>
          <w:rFonts w:hint="eastAsia" w:ascii="方正楷体_GBK" w:hAnsi="方正楷体_GBK" w:eastAsia="方正楷体_GBK" w:cs="方正楷体_GBK"/>
          <w:bCs/>
          <w:sz w:val="32"/>
          <w:szCs w:val="32"/>
        </w:rPr>
        <w:t>——</w:t>
      </w:r>
      <w:r>
        <w:rPr>
          <w:rFonts w:hint="eastAsia" w:ascii="方正楷体_GBK" w:hAnsi="方正楷体_GBK" w:eastAsia="方正楷体_GBK" w:cs="方正楷体_GBK"/>
          <w:sz w:val="32"/>
          <w:szCs w:val="32"/>
        </w:rPr>
        <w:t>生态优先、标本兼治</w:t>
      </w:r>
      <w:r>
        <w:rPr>
          <w:rFonts w:hint="eastAsia" w:ascii="方正楷体_GBK" w:hAnsi="方正楷体_GBK" w:eastAsia="方正楷体_GBK" w:cs="方正楷体_GBK"/>
          <w:bCs/>
          <w:sz w:val="32"/>
          <w:szCs w:val="32"/>
        </w:rPr>
        <w:t>。</w:t>
      </w:r>
      <w:r>
        <w:rPr>
          <w:rFonts w:eastAsia="方正仿宋_GBK"/>
          <w:bCs/>
          <w:sz w:val="32"/>
          <w:szCs w:val="32"/>
        </w:rPr>
        <w:t>深学笃用习近平生态文明思想，坚持人与自然和谐共生基本方略，树</w:t>
      </w:r>
      <w:r>
        <w:rPr>
          <w:rFonts w:hint="eastAsia" w:ascii="方正仿宋_GBK" w:hAnsi="方正仿宋_GBK" w:eastAsia="方正仿宋_GBK" w:cs="方正仿宋_GBK"/>
          <w:bCs/>
          <w:sz w:val="32"/>
          <w:szCs w:val="32"/>
        </w:rPr>
        <w:t>立“绿水青山就是金山银山”</w:t>
      </w:r>
      <w:r>
        <w:rPr>
          <w:rFonts w:eastAsia="方正仿宋_GBK"/>
          <w:bCs/>
          <w:sz w:val="32"/>
          <w:szCs w:val="32"/>
        </w:rPr>
        <w:t>发展理念，加快形成绿色生产方式和生活方式</w:t>
      </w:r>
      <w:r>
        <w:rPr>
          <w:rFonts w:hint="eastAsia" w:eastAsia="方正仿宋_GBK"/>
          <w:bCs/>
          <w:sz w:val="32"/>
          <w:szCs w:val="32"/>
        </w:rPr>
        <w:t>，</w:t>
      </w:r>
      <w:r>
        <w:rPr>
          <w:rFonts w:eastAsia="方正仿宋_GBK"/>
          <w:bCs/>
          <w:sz w:val="32"/>
          <w:szCs w:val="32"/>
        </w:rPr>
        <w:t>从根本上解决生态环境问题，助推更高质量、更有效率、更加公平、更可持续、更为安全的发展，夯实高质量发展的绿色底色和成色，创造高品质生活。</w:t>
      </w:r>
    </w:p>
    <w:p>
      <w:pPr>
        <w:adjustRightInd w:val="0"/>
        <w:snapToGrid w:val="0"/>
        <w:spacing w:line="560" w:lineRule="exact"/>
        <w:ind w:firstLine="704" w:firstLineChars="220"/>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——问题导向、突出重点。</w:t>
      </w:r>
      <w:r>
        <w:rPr>
          <w:rFonts w:hint="eastAsia" w:ascii="方正仿宋_GBK" w:hAnsi="方正仿宋_GBK" w:eastAsia="方正仿宋_GBK" w:cs="方正仿宋_GBK"/>
          <w:sz w:val="32"/>
          <w:szCs w:val="32"/>
        </w:rPr>
        <w:t>全面深入分析全区主要生态问题，聚焦重点生态功能区、生态保护红线、自然保护地等重点区域，突出问题导向、目标导向，妥善处理保护和发展、整体和重点、当前和长远的关系，针对生态系统退化、生态功能发挥不足、生态问题突出、生态产品和服务供给能力不足等重点区域，优先布局重点修复工程。</w:t>
      </w:r>
    </w:p>
    <w:p>
      <w:pPr>
        <w:adjustRightInd w:val="0"/>
        <w:snapToGrid w:val="0"/>
        <w:spacing w:line="560" w:lineRule="exact"/>
        <w:ind w:firstLine="704" w:firstLineChars="220"/>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——因地制宜、分类施策。</w:t>
      </w:r>
      <w:r>
        <w:rPr>
          <w:rFonts w:hint="eastAsia" w:ascii="方正仿宋_GBK" w:hAnsi="方正仿宋_GBK" w:eastAsia="方正仿宋_GBK" w:cs="方正仿宋_GBK"/>
          <w:sz w:val="32"/>
          <w:szCs w:val="32"/>
        </w:rPr>
        <w:t>考虑区域自然地理条件、生态系统特征和格局演变规律，立足区域特色与资源禀赋，因地制宜的分区分类合理配置保护和修复、自然和人工、生物和工程等修复措施，科学配置保护保育、自然恢复、辅助修复、生态重塑等四种保护修复模式，确保生态修复工程有序实施，严控人造景观工程、形象工程和政绩工程。</w:t>
      </w:r>
    </w:p>
    <w:p>
      <w:pPr>
        <w:spacing w:line="579" w:lineRule="exact"/>
        <w:ind w:firstLine="640" w:firstLineChars="200"/>
        <w:rPr>
          <w:rFonts w:eastAsia="方正仿宋_GBK"/>
          <w:bCs/>
          <w:sz w:val="32"/>
          <w:szCs w:val="32"/>
        </w:rPr>
      </w:pPr>
      <w:r>
        <w:rPr>
          <w:rFonts w:hint="eastAsia" w:ascii="方正楷体_GBK" w:hAnsi="方正楷体_GBK" w:eastAsia="方正楷体_GBK" w:cs="方正楷体_GBK"/>
          <w:kern w:val="24"/>
          <w:sz w:val="32"/>
          <w:szCs w:val="32"/>
        </w:rPr>
        <w:t>——</w:t>
      </w:r>
      <w:r>
        <w:rPr>
          <w:rFonts w:hint="eastAsia" w:ascii="方正楷体_GBK" w:hAnsi="方正楷体_GBK" w:eastAsia="方正楷体_GBK" w:cs="方正楷体_GBK"/>
          <w:sz w:val="32"/>
          <w:szCs w:val="32"/>
        </w:rPr>
        <w:t>区域协同、社会共治</w:t>
      </w:r>
      <w:r>
        <w:rPr>
          <w:rFonts w:hint="eastAsia" w:ascii="方正楷体_GBK" w:hAnsi="方正楷体_GBK" w:eastAsia="方正楷体_GBK" w:cs="方正楷体_GBK"/>
          <w:kern w:val="24"/>
          <w:sz w:val="32"/>
          <w:szCs w:val="32"/>
        </w:rPr>
        <w:t>。</w:t>
      </w:r>
      <w:r>
        <w:rPr>
          <w:rFonts w:eastAsia="方正仿宋_GBK"/>
          <w:kern w:val="24"/>
          <w:sz w:val="32"/>
          <w:szCs w:val="32"/>
        </w:rPr>
        <w:t>推动区域生态环境共建共保，积</w:t>
      </w:r>
      <w:r>
        <w:rPr>
          <w:rFonts w:hint="eastAsia" w:ascii="方正仿宋_GBK" w:hAnsi="方正仿宋_GBK" w:eastAsia="方正仿宋_GBK" w:cs="方正仿宋_GBK"/>
          <w:kern w:val="24"/>
          <w:sz w:val="32"/>
          <w:szCs w:val="32"/>
        </w:rPr>
        <w:t>极融入长江经济带、新时代西部大开发、成渝地区双城经济圈和“一区两群”战略，推进统一谋划、一体部署、相互协作和共同实施。加强</w:t>
      </w:r>
      <w:r>
        <w:rPr>
          <w:rFonts w:hint="eastAsia" w:ascii="方正仿宋_GBK" w:hAnsi="方正仿宋_GBK" w:eastAsia="方正仿宋_GBK" w:cs="方正仿宋_GBK"/>
          <w:bCs/>
          <w:sz w:val="32"/>
          <w:szCs w:val="32"/>
        </w:rPr>
        <w:t>信息公开和舆论监督，引导社会公</w:t>
      </w:r>
      <w:r>
        <w:rPr>
          <w:rFonts w:eastAsia="方正仿宋_GBK"/>
          <w:bCs/>
          <w:sz w:val="32"/>
          <w:szCs w:val="32"/>
        </w:rPr>
        <w:t>众有序参与生态环境治理和监督，形成政府、企业、公众合力推进的长效机制和格局</w:t>
      </w:r>
      <w:r>
        <w:rPr>
          <w:rFonts w:hint="eastAsia" w:eastAsia="方正仿宋_GBK"/>
          <w:bCs/>
          <w:sz w:val="32"/>
          <w:szCs w:val="32"/>
        </w:rPr>
        <w:t>。</w:t>
      </w:r>
    </w:p>
    <w:p>
      <w:pPr>
        <w:adjustRightInd w:val="0"/>
        <w:snapToGrid w:val="0"/>
        <w:spacing w:line="600" w:lineRule="exact"/>
        <w:ind w:firstLine="640" w:firstLineChars="200"/>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——统筹协调，规划衔接。</w:t>
      </w:r>
      <w:r>
        <w:rPr>
          <w:rFonts w:hint="eastAsia" w:ascii="方正仿宋_GBK" w:hAnsi="方正仿宋_GBK" w:eastAsia="方正仿宋_GBK" w:cs="方正仿宋_GBK"/>
          <w:sz w:val="32"/>
          <w:szCs w:val="32"/>
        </w:rPr>
        <w:t>坚持山水林田湖草沙生命共同体理念，统筹考虑自然生态系统各要素与农田、城市人工生态系统之间的协同性，注重山上山下、岸上岸下、上游下游、河流湖泊等国土空间的整体性、系统性，体现综合治理，突出整体效益。与国家和区域重大战略、重庆市国土空间生态修复规划和黔江区国土空间规划加强衔接。</w:t>
      </w:r>
    </w:p>
    <w:p>
      <w:pPr>
        <w:spacing w:before="312" w:beforeLines="100" w:after="156" w:afterLines="50" w:line="600" w:lineRule="exact"/>
        <w:ind w:firstLine="640" w:firstLineChars="200"/>
        <w:outlineLvl w:val="1"/>
        <w:rPr>
          <w:rFonts w:ascii="方正小标宋_GBK" w:hAnsi="方正小标宋_GBK" w:eastAsia="方正小标宋_GBK" w:cs="方正小标宋_GBK"/>
          <w:sz w:val="32"/>
          <w:szCs w:val="32"/>
        </w:rPr>
      </w:pPr>
      <w:bookmarkStart w:id="75" w:name="_Toc28685"/>
      <w:bookmarkStart w:id="76" w:name="_Toc15001"/>
      <w:bookmarkStart w:id="77" w:name="_Toc7710"/>
      <w:bookmarkStart w:id="78" w:name="_Toc20319"/>
      <w:r>
        <w:rPr>
          <w:rFonts w:hint="eastAsia" w:ascii="方正小标宋_GBK" w:hAnsi="方正小标宋_GBK" w:eastAsia="方正小标宋_GBK" w:cs="方正小标宋_GBK"/>
          <w:sz w:val="32"/>
          <w:szCs w:val="32"/>
        </w:rPr>
        <w:t>第三节 规划目标</w:t>
      </w:r>
      <w:bookmarkEnd w:id="75"/>
      <w:bookmarkEnd w:id="76"/>
      <w:bookmarkEnd w:id="77"/>
      <w:bookmarkEnd w:id="78"/>
    </w:p>
    <w:p>
      <w:pPr>
        <w:adjustRightInd w:val="0"/>
        <w:snapToGrid w:val="0"/>
        <w:spacing w:line="600" w:lineRule="exact"/>
        <w:ind w:firstLine="640" w:firstLineChars="200"/>
        <w:rPr>
          <w:rFonts w:ascii="方正仿宋_GBK" w:hAnsi="方正仿宋_GBK" w:eastAsia="方正仿宋_GBK" w:cs="方正仿宋_GBK"/>
          <w:sz w:val="32"/>
          <w:szCs w:val="32"/>
        </w:rPr>
      </w:pPr>
      <w:bookmarkStart w:id="79" w:name="_Toc86676502"/>
      <w:bookmarkStart w:id="80" w:name="_Toc89966312"/>
      <w:bookmarkStart w:id="81" w:name="_Toc87797824"/>
      <w:bookmarkStart w:id="82" w:name="_Toc87889512"/>
      <w:r>
        <w:rPr>
          <w:rFonts w:hint="eastAsia" w:ascii="方正楷体_GBK" w:hAnsi="方正楷体_GBK" w:eastAsia="方正楷体_GBK" w:cs="方正楷体_GBK"/>
          <w:sz w:val="32"/>
          <w:szCs w:val="32"/>
        </w:rPr>
        <w:t>（一）总体目标。</w:t>
      </w:r>
      <w:r>
        <w:rPr>
          <w:rFonts w:hint="eastAsia" w:ascii="方正仿宋_GBK" w:hAnsi="方正仿宋_GBK" w:eastAsia="方正仿宋_GBK" w:cs="方正仿宋_GBK"/>
          <w:sz w:val="32"/>
          <w:szCs w:val="32"/>
        </w:rPr>
        <w:t>深入贯彻落实习近平生态文明思想，全</w:t>
      </w:r>
      <w:r>
        <w:rPr>
          <w:rFonts w:eastAsia="方正仿宋_GBK"/>
          <w:sz w:val="32"/>
          <w:szCs w:val="32"/>
        </w:rPr>
        <w:t>面融入</w:t>
      </w:r>
      <w:r>
        <w:rPr>
          <w:rFonts w:eastAsia="方正仿宋_GBK"/>
          <w:bCs/>
          <w:sz w:val="32"/>
          <w:szCs w:val="32"/>
        </w:rPr>
        <w:t>长江经济带发展、成渝地区双</w:t>
      </w:r>
      <w:r>
        <w:rPr>
          <w:rFonts w:hint="eastAsia" w:ascii="方正仿宋_GBK" w:hAnsi="方正仿宋_GBK" w:eastAsia="方正仿宋_GBK" w:cs="方正仿宋_GBK"/>
          <w:bCs/>
          <w:sz w:val="32"/>
          <w:szCs w:val="32"/>
        </w:rPr>
        <w:t>城经济圈建设等国家战略，加快建设渝东南区域中心城市，深入实施“工业强区、旅游大区、城市靓区”建设</w:t>
      </w:r>
      <w:r>
        <w:rPr>
          <w:rFonts w:hint="eastAsia" w:eastAsia="方正仿宋_GBK"/>
          <w:bCs/>
          <w:sz w:val="32"/>
          <w:szCs w:val="32"/>
        </w:rPr>
        <w:t>，牢筑长江上游生态屏障，提升统筹山水林田湖草沙系统治理现代化水平，</w:t>
      </w:r>
      <w:bookmarkStart w:id="83" w:name="_Hlk127655093"/>
      <w:r>
        <w:rPr>
          <w:rFonts w:hint="eastAsia" w:ascii="方正仿宋_GBK" w:hAnsi="方正仿宋_GBK" w:eastAsia="方正仿宋_GBK" w:cs="方正仿宋_GBK"/>
          <w:bCs/>
          <w:sz w:val="32"/>
          <w:szCs w:val="32"/>
        </w:rPr>
        <w:t>进一步优化全区生态本底，</w:t>
      </w:r>
      <w:bookmarkEnd w:id="83"/>
      <w:r>
        <w:rPr>
          <w:rFonts w:hint="eastAsia" w:eastAsia="方正仿宋_GBK"/>
          <w:bCs/>
          <w:sz w:val="32"/>
          <w:szCs w:val="32"/>
        </w:rPr>
        <w:t>提高生态系统质量和稳定性，生态环境根本好转，保障生态产品供给能力，建立可持续的生态产品价值实现机制，服务生态文明建设和高质量发展，着力优化“</w:t>
      </w:r>
      <w:r>
        <w:rPr>
          <w:rFonts w:hint="eastAsia" w:ascii="Times New Roman" w:hAnsi="Times New Roman" w:eastAsia="方正仿宋_GBK" w:cs="Times New Roman"/>
          <w:sz w:val="32"/>
          <w:szCs w:val="32"/>
        </w:rPr>
        <w:t>一屏三带三区多绿核</w:t>
      </w:r>
      <w:r>
        <w:rPr>
          <w:rFonts w:hint="eastAsia" w:eastAsia="方正仿宋_GBK"/>
          <w:bCs/>
          <w:sz w:val="32"/>
          <w:szCs w:val="32"/>
        </w:rPr>
        <w:t>”生态安全格局，</w:t>
      </w:r>
      <w:r>
        <w:rPr>
          <w:rFonts w:eastAsia="方正仿宋_GBK"/>
          <w:kern w:val="24"/>
          <w:sz w:val="32"/>
          <w:szCs w:val="32"/>
        </w:rPr>
        <w:t>建成长江经济带绿色发展示范高地</w:t>
      </w:r>
      <w:r>
        <w:rPr>
          <w:rFonts w:hint="eastAsia" w:eastAsia="方正仿宋_GBK"/>
          <w:kern w:val="24"/>
          <w:sz w:val="32"/>
          <w:szCs w:val="32"/>
        </w:rPr>
        <w:t>，</w:t>
      </w:r>
      <w:r>
        <w:rPr>
          <w:rFonts w:hint="eastAsia" w:ascii="方正仿宋_GBK" w:hAnsi="方正仿宋_GBK" w:eastAsia="方正仿宋_GBK" w:cs="方正仿宋_GBK"/>
          <w:bCs/>
          <w:sz w:val="32"/>
          <w:szCs w:val="32"/>
        </w:rPr>
        <w:t>为“中国峡谷城·武陵会客厅”建设提供高品质生态环境支撑。</w:t>
      </w:r>
    </w:p>
    <w:bookmarkEnd w:id="79"/>
    <w:bookmarkEnd w:id="80"/>
    <w:bookmarkEnd w:id="81"/>
    <w:bookmarkEnd w:id="82"/>
    <w:p>
      <w:pPr>
        <w:adjustRightInd w:val="0"/>
        <w:snapToGrid w:val="0"/>
        <w:spacing w:line="600" w:lineRule="exact"/>
        <w:ind w:firstLine="640" w:firstLineChars="200"/>
        <w:rPr>
          <w:rStyle w:val="26"/>
        </w:rPr>
      </w:pPr>
      <w:bookmarkStart w:id="84" w:name="_Toc86676503"/>
      <w:bookmarkStart w:id="85" w:name="_Toc89966313"/>
      <w:bookmarkStart w:id="86" w:name="_Toc87797825"/>
      <w:bookmarkStart w:id="87" w:name="_Toc87889513"/>
      <w:r>
        <w:rPr>
          <w:rFonts w:hint="eastAsia" w:ascii="方正楷体_GBK" w:hAnsi="方正楷体_GBK" w:eastAsia="方正楷体_GBK" w:cs="方正楷体_GBK"/>
          <w:sz w:val="32"/>
          <w:szCs w:val="32"/>
        </w:rPr>
        <w:t>（二）分期目标</w:t>
      </w:r>
      <w:bookmarkEnd w:id="84"/>
      <w:bookmarkEnd w:id="85"/>
      <w:bookmarkEnd w:id="86"/>
      <w:bookmarkEnd w:id="87"/>
      <w:r>
        <w:rPr>
          <w:rFonts w:hint="eastAsia" w:ascii="方正楷体_GBK" w:hAnsi="方正楷体_GBK" w:eastAsia="方正楷体_GBK" w:cs="方正楷体_GBK"/>
          <w:sz w:val="32"/>
          <w:szCs w:val="32"/>
        </w:rPr>
        <w:t>。</w:t>
      </w:r>
      <w:r>
        <w:rPr>
          <w:rFonts w:hint="eastAsia" w:ascii="方正黑体_GBK" w:hAnsi="方正黑体_GBK" w:eastAsia="方正黑体_GBK" w:cs="方正黑体_GBK"/>
          <w:sz w:val="32"/>
          <w:szCs w:val="32"/>
        </w:rPr>
        <w:t>到2025年，</w:t>
      </w:r>
      <w:r>
        <w:rPr>
          <w:rFonts w:hint="eastAsia" w:ascii="方正仿宋_GBK" w:hAnsi="方正仿宋_GBK" w:eastAsia="方正仿宋_GBK" w:cs="方正仿宋_GBK"/>
          <w:sz w:val="32"/>
          <w:szCs w:val="32"/>
        </w:rPr>
        <w:t>生态系统治理体系逐步建立健全，城乡人居环境更加优美，重要生态屏障更加牢固，基本</w:t>
      </w:r>
      <w:r>
        <w:rPr>
          <w:rFonts w:eastAsia="方正仿宋_GBK"/>
          <w:kern w:val="24"/>
          <w:sz w:val="32"/>
          <w:szCs w:val="32"/>
        </w:rPr>
        <w:t>建成长江经济带绿色发展示范高地</w:t>
      </w:r>
      <w:r>
        <w:rPr>
          <w:rFonts w:hint="eastAsia" w:ascii="方正仿宋_GBK" w:hAnsi="方正仿宋_GBK" w:eastAsia="方正仿宋_GBK" w:cs="方正仿宋_GBK"/>
          <w:sz w:val="32"/>
          <w:szCs w:val="32"/>
        </w:rPr>
        <w:t>。</w:t>
      </w:r>
      <w:r>
        <w:rPr>
          <w:rFonts w:hint="eastAsia" w:ascii="方正黑体_GBK" w:hAnsi="方正黑体_GBK" w:eastAsia="方正黑体_GBK" w:cs="方正黑体_GBK"/>
          <w:sz w:val="32"/>
          <w:szCs w:val="32"/>
        </w:rPr>
        <w:t>到2035年，</w:t>
      </w:r>
      <w:r>
        <w:rPr>
          <w:rFonts w:ascii="Times New Roman" w:hAnsi="Times New Roman" w:eastAsia="方正仿宋_GBK" w:cs="Times New Roman"/>
          <w:sz w:val="32"/>
          <w:szCs w:val="32"/>
        </w:rPr>
        <w:t>全</w:t>
      </w:r>
      <w:r>
        <w:rPr>
          <w:rFonts w:hint="eastAsia" w:ascii="Times New Roman" w:hAnsi="Times New Roman" w:eastAsia="方正仿宋_GBK" w:cs="Times New Roman"/>
          <w:sz w:val="32"/>
          <w:szCs w:val="32"/>
        </w:rPr>
        <w:t>区</w:t>
      </w:r>
      <w:r>
        <w:rPr>
          <w:rFonts w:ascii="Times New Roman" w:hAnsi="Times New Roman" w:eastAsia="方正仿宋_GBK" w:cs="Times New Roman"/>
          <w:sz w:val="32"/>
          <w:szCs w:val="32"/>
        </w:rPr>
        <w:t>森林、河湖、农田、城镇等生态状况实现根本好转</w:t>
      </w:r>
      <w:r>
        <w:rPr>
          <w:rFonts w:hint="eastAsia" w:ascii="方正仿宋_GBK" w:hAnsi="方正仿宋_GBK" w:eastAsia="方正仿宋_GBK" w:cs="方正仿宋_GBK"/>
          <w:sz w:val="32"/>
          <w:szCs w:val="32"/>
        </w:rPr>
        <w:t>，</w:t>
      </w:r>
      <w:r>
        <w:rPr>
          <w:rFonts w:eastAsia="方正仿宋_GBK"/>
          <w:kern w:val="24"/>
          <w:sz w:val="32"/>
          <w:szCs w:val="32"/>
        </w:rPr>
        <w:t>基本建成山清水秀美丽之地，建成高品质生活宜居地，基本实现人与自然和谐共生的现代化。</w:t>
      </w:r>
    </w:p>
    <w:p>
      <w:pPr>
        <w:adjustRightInd w:val="0"/>
        <w:snapToGrid w:val="0"/>
        <w:spacing w:line="600" w:lineRule="exact"/>
        <w:ind w:firstLine="640" w:firstLineChars="200"/>
        <w:rPr>
          <w:rStyle w:val="26"/>
          <w:rFonts w:ascii="Times New Roman" w:hAnsi="Times New Roman" w:eastAsia="方正仿宋_GBK" w:cs="Times New Roman"/>
          <w:sz w:val="32"/>
          <w:szCs w:val="32"/>
        </w:rPr>
      </w:pPr>
      <w:r>
        <w:rPr>
          <w:rStyle w:val="26"/>
          <w:rFonts w:hint="eastAsia" w:ascii="方正楷体_GBK" w:hAnsi="方正楷体_GBK" w:eastAsia="方正楷体_GBK" w:cs="方正楷体_GBK"/>
          <w:sz w:val="32"/>
          <w:szCs w:val="32"/>
        </w:rPr>
        <w:t>——生态格局更加优化。</w:t>
      </w:r>
      <w:r>
        <w:rPr>
          <w:rStyle w:val="26"/>
          <w:rFonts w:hint="eastAsia" w:ascii="Times New Roman" w:hAnsi="Times New Roman" w:eastAsia="方正仿宋_GBK" w:cs="Times New Roman"/>
          <w:sz w:val="32"/>
          <w:szCs w:val="32"/>
        </w:rPr>
        <w:t>优化完善</w:t>
      </w:r>
      <w:r>
        <w:rPr>
          <w:rFonts w:hint="eastAsia" w:ascii="方正仿宋_GBK" w:hAnsi="方正仿宋_GBK" w:eastAsia="方正仿宋_GBK" w:cs="方正仿宋_GBK"/>
          <w:sz w:val="32"/>
          <w:szCs w:val="32"/>
        </w:rPr>
        <w:t>生态空间格局，</w:t>
      </w:r>
      <w:r>
        <w:rPr>
          <w:rStyle w:val="26"/>
          <w:rFonts w:ascii="Times New Roman" w:hAnsi="Times New Roman" w:eastAsia="方正仿宋_GBK" w:cs="Times New Roman"/>
          <w:sz w:val="32"/>
          <w:szCs w:val="32"/>
        </w:rPr>
        <w:t>严守生态保护红线，划定生态空间，分类施行生态管制，</w:t>
      </w:r>
      <w:r>
        <w:rPr>
          <w:rStyle w:val="26"/>
          <w:rFonts w:hint="eastAsia" w:ascii="Times New Roman" w:hAnsi="Times New Roman" w:eastAsia="方正仿宋_GBK" w:cs="Times New Roman"/>
          <w:sz w:val="32"/>
          <w:szCs w:val="32"/>
        </w:rPr>
        <w:t>规划期内，</w:t>
      </w:r>
      <w:r>
        <w:rPr>
          <w:rFonts w:hint="eastAsia" w:ascii="方正仿宋_GBK" w:hAnsi="方正仿宋_GBK" w:eastAsia="方正仿宋_GBK" w:cs="方正仿宋_GBK"/>
          <w:sz w:val="32"/>
          <w:szCs w:val="32"/>
        </w:rPr>
        <w:t>阿蓬江、诸佛江、黔江河等生态廊道初步建成，郁江-九曲河农田生态系统和沿黔江河城镇生态系统质量明显改善，阿蓬江、灰千梁子等重要生态屏障更加牢固。</w:t>
      </w:r>
    </w:p>
    <w:p>
      <w:pPr>
        <w:adjustRightInd w:val="0"/>
        <w:snapToGrid w:val="0"/>
        <w:spacing w:line="600" w:lineRule="exact"/>
        <w:ind w:firstLine="640" w:firstLineChars="200"/>
        <w:rPr>
          <w:rStyle w:val="26"/>
          <w:rFonts w:ascii="Times New Roman" w:hAnsi="Times New Roman" w:eastAsia="方正仿宋_GBK" w:cs="Times New Roman"/>
          <w:sz w:val="32"/>
          <w:szCs w:val="32"/>
        </w:rPr>
      </w:pPr>
      <w:r>
        <w:rPr>
          <w:rStyle w:val="26"/>
          <w:rFonts w:ascii="方正楷体_GBK" w:hAnsi="方正楷体_GBK" w:eastAsia="方正楷体_GBK" w:cs="方正楷体_GBK"/>
          <w:sz w:val="32"/>
          <w:szCs w:val="32"/>
        </w:rPr>
        <w:t>——生态服务功能大幅提升。</w:t>
      </w:r>
      <w:r>
        <w:rPr>
          <w:rStyle w:val="26"/>
          <w:rFonts w:ascii="Times New Roman" w:hAnsi="Times New Roman" w:eastAsia="方正仿宋_GBK" w:cs="Times New Roman"/>
          <w:sz w:val="32"/>
          <w:szCs w:val="32"/>
        </w:rPr>
        <w:t>加强生态系统保护修复。</w:t>
      </w:r>
      <w:r>
        <w:rPr>
          <w:rStyle w:val="26"/>
          <w:rFonts w:hint="eastAsia" w:ascii="Times New Roman" w:hAnsi="Times New Roman" w:eastAsia="方正仿宋_GBK" w:cs="Times New Roman"/>
          <w:sz w:val="32"/>
          <w:szCs w:val="32"/>
        </w:rPr>
        <w:t>森林、矿山、水污染、水土流失等得到有效提升和治理。规划期末，</w:t>
      </w:r>
      <w:r>
        <w:rPr>
          <w:rFonts w:hint="eastAsia" w:ascii="方正仿宋_GBK" w:hAnsi="方正仿宋_GBK" w:eastAsia="方正仿宋_GBK" w:cs="方正仿宋_GBK"/>
          <w:sz w:val="32"/>
          <w:szCs w:val="32"/>
        </w:rPr>
        <w:t>全区森林覆盖率达</w:t>
      </w:r>
      <w:r>
        <w:rPr>
          <w:rFonts w:ascii="Times New Roman" w:hAnsi="Times New Roman" w:eastAsia="方正仿宋_GBK" w:cs="Times New Roman"/>
          <w:sz w:val="32"/>
          <w:szCs w:val="32"/>
        </w:rPr>
        <w:t>到65%以上，天然林保有量</w:t>
      </w:r>
      <w:r>
        <w:rPr>
          <w:rFonts w:hint="eastAsia" w:ascii="Times New Roman" w:hAnsi="Times New Roman" w:eastAsia="方正仿宋_GBK" w:cs="Times New Roman"/>
          <w:sz w:val="32"/>
          <w:szCs w:val="32"/>
        </w:rPr>
        <w:t>1615.1平方公里</w:t>
      </w:r>
      <w:r>
        <w:rPr>
          <w:rFonts w:ascii="Times New Roman" w:hAnsi="Times New Roman" w:eastAsia="方正仿宋_GBK" w:cs="Times New Roman"/>
          <w:sz w:val="32"/>
          <w:szCs w:val="32"/>
        </w:rPr>
        <w:t>，森林蓄积量达472.09万</w:t>
      </w:r>
      <w:r>
        <w:rPr>
          <w:rFonts w:hint="eastAsia" w:ascii="方正仿宋_GBK" w:hAnsi="方正仿宋_GBK" w:eastAsia="方正仿宋_GBK" w:cs="方正仿宋_GBK"/>
          <w:sz w:val="32"/>
          <w:szCs w:val="32"/>
        </w:rPr>
        <w:t>立方米，自然保护地面积占比</w:t>
      </w:r>
      <w:r>
        <w:rPr>
          <w:rFonts w:ascii="Times New Roman" w:hAnsi="Times New Roman" w:eastAsia="方正仿宋_GBK" w:cs="Times New Roman"/>
          <w:sz w:val="32"/>
          <w:szCs w:val="32"/>
        </w:rPr>
        <w:t>达</w:t>
      </w:r>
      <w:r>
        <w:rPr>
          <w:rFonts w:hint="eastAsia" w:ascii="Times New Roman" w:hAnsi="Times New Roman" w:eastAsia="方正仿宋_GBK" w:cs="Times New Roman"/>
          <w:sz w:val="32"/>
          <w:szCs w:val="32"/>
        </w:rPr>
        <w:t>16.68</w:t>
      </w:r>
      <w:r>
        <w:rPr>
          <w:rFonts w:ascii="Times New Roman" w:hAnsi="Times New Roman" w:eastAsia="方正仿宋_GBK" w:cs="Times New Roman"/>
          <w:sz w:val="32"/>
          <w:szCs w:val="32"/>
        </w:rPr>
        <w:t>%</w:t>
      </w:r>
      <w:r>
        <w:rPr>
          <w:rStyle w:val="26"/>
          <w:rFonts w:hint="eastAsia" w:ascii="Times New Roman" w:hAnsi="Times New Roman" w:eastAsia="方正仿宋_GBK" w:cs="Times New Roman"/>
          <w:sz w:val="32"/>
          <w:szCs w:val="32"/>
        </w:rPr>
        <w:t>，全区</w:t>
      </w:r>
      <w:r>
        <w:rPr>
          <w:rFonts w:ascii="Times New Roman" w:hAnsi="Times New Roman" w:eastAsia="方正仿宋_GBK" w:cs="Times New Roman"/>
          <w:sz w:val="32"/>
          <w:szCs w:val="32"/>
        </w:rPr>
        <w:t>生态系统质量</w:t>
      </w:r>
      <w:r>
        <w:rPr>
          <w:rFonts w:hint="eastAsia" w:ascii="方正仿宋_GBK" w:hAnsi="方正仿宋_GBK" w:eastAsia="方正仿宋_GBK" w:cs="方正仿宋_GBK"/>
          <w:sz w:val="32"/>
          <w:szCs w:val="32"/>
        </w:rPr>
        <w:t>和稳定性持续提升</w:t>
      </w:r>
      <w:r>
        <w:rPr>
          <w:rFonts w:hint="eastAsia" w:eastAsia="方正仿宋_GBK"/>
          <w:bCs/>
          <w:sz w:val="32"/>
          <w:szCs w:val="32"/>
        </w:rPr>
        <w:t>。</w:t>
      </w:r>
    </w:p>
    <w:p>
      <w:pPr>
        <w:adjustRightInd w:val="0"/>
        <w:snapToGrid w:val="0"/>
        <w:spacing w:line="600" w:lineRule="exact"/>
        <w:ind w:firstLine="640" w:firstLineChars="200"/>
        <w:rPr>
          <w:rStyle w:val="26"/>
          <w:rFonts w:ascii="Times New Roman" w:hAnsi="Times New Roman" w:eastAsia="方正仿宋_GBK" w:cs="Times New Roman"/>
          <w:sz w:val="32"/>
          <w:szCs w:val="32"/>
        </w:rPr>
      </w:pPr>
      <w:r>
        <w:rPr>
          <w:rStyle w:val="26"/>
          <w:rFonts w:hint="eastAsia" w:ascii="方正楷体_GBK" w:hAnsi="方正楷体_GBK" w:eastAsia="方正楷体_GBK" w:cs="方正楷体_GBK"/>
          <w:sz w:val="32"/>
          <w:szCs w:val="32"/>
        </w:rPr>
        <w:t>——城乡人居品质显著改善。</w:t>
      </w:r>
      <w:r>
        <w:rPr>
          <w:rStyle w:val="26"/>
          <w:rFonts w:ascii="Times New Roman" w:hAnsi="Times New Roman" w:eastAsia="方正仿宋_GBK" w:cs="Times New Roman"/>
          <w:sz w:val="32"/>
          <w:szCs w:val="32"/>
        </w:rPr>
        <w:t>提升城乡空间品质与人居环境质量，统筹布局城乡资源要素，构建以城带乡、城乡一体、协调发展的城乡关系</w:t>
      </w:r>
      <w:r>
        <w:rPr>
          <w:rStyle w:val="26"/>
          <w:rFonts w:hint="eastAsia" w:ascii="Times New Roman" w:hAnsi="Times New Roman" w:eastAsia="方正仿宋_GBK" w:cs="Times New Roman"/>
          <w:sz w:val="32"/>
          <w:szCs w:val="32"/>
        </w:rPr>
        <w:t>。规划期末，全区人居环境品质得到显著提升。</w:t>
      </w:r>
    </w:p>
    <w:p>
      <w:pPr>
        <w:adjustRightInd w:val="0"/>
        <w:snapToGrid w:val="0"/>
        <w:spacing w:line="560" w:lineRule="exact"/>
        <w:ind w:firstLine="704" w:firstLineChars="220"/>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（三）指标体系。</w:t>
      </w:r>
      <w:r>
        <w:rPr>
          <w:rFonts w:hint="eastAsia" w:ascii="方正仿宋_GBK" w:hAnsi="方正仿宋_GBK" w:eastAsia="方正仿宋_GBK" w:cs="方正仿宋_GBK"/>
          <w:sz w:val="32"/>
          <w:szCs w:val="32"/>
        </w:rPr>
        <w:t>从生态保护和生态修复两个方面</w:t>
      </w:r>
      <w:r>
        <w:rPr>
          <w:rFonts w:ascii="Times New Roman" w:hAnsi="Times New Roman" w:eastAsia="方正仿宋_GBK" w:cs="Times New Roman"/>
          <w:sz w:val="32"/>
          <w:szCs w:val="32"/>
        </w:rPr>
        <w:t>构建</w:t>
      </w:r>
      <w:r>
        <w:rPr>
          <w:rFonts w:hint="eastAsia" w:ascii="Times New Roman" w:hAnsi="Times New Roman" w:eastAsia="方正仿宋_GBK" w:cs="Times New Roman"/>
          <w:sz w:val="32"/>
          <w:szCs w:val="32"/>
        </w:rPr>
        <w:t>12</w:t>
      </w:r>
      <w:r>
        <w:rPr>
          <w:rFonts w:ascii="Times New Roman" w:hAnsi="Times New Roman" w:eastAsia="方正仿宋_GBK" w:cs="Times New Roman"/>
          <w:sz w:val="32"/>
          <w:szCs w:val="32"/>
        </w:rPr>
        <w:t>个指</w:t>
      </w:r>
      <w:r>
        <w:rPr>
          <w:rFonts w:hint="eastAsia" w:ascii="方正仿宋_GBK" w:hAnsi="方正仿宋_GBK" w:eastAsia="方正仿宋_GBK" w:cs="方正仿宋_GBK"/>
          <w:sz w:val="32"/>
          <w:szCs w:val="32"/>
        </w:rPr>
        <w:t>标。</w:t>
      </w:r>
    </w:p>
    <w:p>
      <w:pPr>
        <w:adjustRightInd w:val="0"/>
        <w:snapToGrid w:val="0"/>
        <w:spacing w:line="560" w:lineRule="exact"/>
        <w:jc w:val="center"/>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表2-1 黔江区国土空间生态保护修复规划目标表</w:t>
      </w:r>
    </w:p>
    <w:tbl>
      <w:tblPr>
        <w:tblStyle w:val="19"/>
        <w:tblW w:w="49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867"/>
        <w:gridCol w:w="2372"/>
        <w:gridCol w:w="1191"/>
        <w:gridCol w:w="1020"/>
        <w:gridCol w:w="1020"/>
        <w:gridCol w:w="1020"/>
        <w:gridCol w:w="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51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b/>
                <w:bCs/>
                <w:color w:val="000000"/>
                <w:sz w:val="24"/>
              </w:rPr>
            </w:pPr>
            <w:r>
              <w:rPr>
                <w:rFonts w:hint="eastAsia" w:ascii="Times New Roman" w:hAnsi="Times New Roman" w:eastAsia="方正仿宋_GBK" w:cs="Times New Roman"/>
                <w:color w:val="000000"/>
                <w:kern w:val="0"/>
                <w:sz w:val="24"/>
                <w:lang w:bidi="ar"/>
              </w:rPr>
              <w:t>序号</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b/>
                <w:bCs/>
                <w:color w:val="000000"/>
                <w:sz w:val="24"/>
              </w:rPr>
            </w:pPr>
            <w:r>
              <w:rPr>
                <w:rFonts w:hint="eastAsia" w:ascii="Times New Roman" w:hAnsi="Times New Roman" w:eastAsia="方正仿宋_GBK" w:cs="Times New Roman"/>
                <w:color w:val="000000"/>
                <w:kern w:val="0"/>
                <w:sz w:val="24"/>
                <w:lang w:bidi="ar"/>
              </w:rPr>
              <w:t>指标类型</w:t>
            </w:r>
          </w:p>
        </w:tc>
        <w:tc>
          <w:tcPr>
            <w:tcW w:w="23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b/>
                <w:bCs/>
                <w:color w:val="000000"/>
                <w:sz w:val="24"/>
              </w:rPr>
            </w:pPr>
            <w:r>
              <w:rPr>
                <w:rFonts w:hint="eastAsia" w:ascii="Times New Roman" w:hAnsi="Times New Roman" w:eastAsia="方正仿宋_GBK" w:cs="Times New Roman"/>
                <w:color w:val="000000"/>
                <w:kern w:val="0"/>
                <w:sz w:val="24"/>
                <w:lang w:bidi="ar"/>
              </w:rPr>
              <w:t>指标名称</w:t>
            </w:r>
          </w:p>
        </w:tc>
        <w:tc>
          <w:tcPr>
            <w:tcW w:w="119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b/>
                <w:bCs/>
                <w:color w:val="000000"/>
                <w:sz w:val="24"/>
              </w:rPr>
            </w:pPr>
            <w:r>
              <w:rPr>
                <w:rFonts w:hint="eastAsia" w:ascii="Times New Roman" w:hAnsi="Times New Roman" w:eastAsia="方正仿宋_GBK" w:cs="Times New Roman"/>
                <w:color w:val="000000"/>
                <w:kern w:val="0"/>
                <w:sz w:val="24"/>
                <w:lang w:bidi="ar"/>
              </w:rPr>
              <w:t>单位</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b/>
                <w:bCs/>
                <w:color w:val="000000"/>
                <w:sz w:val="24"/>
              </w:rPr>
            </w:pPr>
            <w:r>
              <w:rPr>
                <w:rFonts w:ascii="Times New Roman" w:hAnsi="Times New Roman" w:eastAsia="方正仿宋_GBK" w:cs="Times New Roman"/>
                <w:color w:val="000000"/>
                <w:kern w:val="0"/>
                <w:sz w:val="24"/>
                <w:lang w:bidi="ar"/>
              </w:rPr>
              <w:t>2020</w:t>
            </w:r>
            <w:r>
              <w:rPr>
                <w:rFonts w:hint="eastAsia" w:ascii="Times New Roman" w:hAnsi="Times New Roman" w:eastAsia="方正仿宋_GBK" w:cs="Times New Roman"/>
                <w:color w:val="000000"/>
                <w:kern w:val="0"/>
                <w:sz w:val="24"/>
                <w:lang w:bidi="ar"/>
              </w:rPr>
              <w:t>年</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b/>
                <w:bCs/>
                <w:color w:val="000000"/>
                <w:sz w:val="24"/>
              </w:rPr>
            </w:pPr>
            <w:r>
              <w:rPr>
                <w:rFonts w:ascii="Times New Roman" w:hAnsi="Times New Roman" w:eastAsia="方正仿宋_GBK" w:cs="Times New Roman"/>
                <w:color w:val="000000"/>
                <w:kern w:val="0"/>
                <w:sz w:val="24"/>
                <w:lang w:bidi="ar"/>
              </w:rPr>
              <w:t>2025</w:t>
            </w:r>
            <w:r>
              <w:rPr>
                <w:rFonts w:hint="eastAsia" w:ascii="Times New Roman" w:hAnsi="Times New Roman" w:eastAsia="方正仿宋_GBK" w:cs="Times New Roman"/>
                <w:color w:val="000000"/>
                <w:kern w:val="0"/>
                <w:sz w:val="24"/>
                <w:lang w:bidi="ar"/>
              </w:rPr>
              <w:t>年</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b/>
                <w:bCs/>
                <w:color w:val="000000"/>
                <w:sz w:val="24"/>
              </w:rPr>
            </w:pPr>
            <w:r>
              <w:rPr>
                <w:rFonts w:ascii="Times New Roman" w:hAnsi="Times New Roman" w:eastAsia="方正仿宋_GBK" w:cs="Times New Roman"/>
                <w:color w:val="000000"/>
                <w:kern w:val="0"/>
                <w:sz w:val="24"/>
                <w:lang w:bidi="ar"/>
              </w:rPr>
              <w:t>2035</w:t>
            </w:r>
            <w:r>
              <w:rPr>
                <w:rFonts w:hint="eastAsia" w:ascii="Times New Roman" w:hAnsi="Times New Roman" w:eastAsia="方正仿宋_GBK" w:cs="Times New Roman"/>
                <w:color w:val="000000"/>
                <w:kern w:val="0"/>
                <w:sz w:val="24"/>
                <w:lang w:bidi="ar"/>
              </w:rPr>
              <w:t>年</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b/>
                <w:bCs/>
                <w:color w:val="000000"/>
                <w:sz w:val="24"/>
              </w:rPr>
            </w:pPr>
            <w:r>
              <w:rPr>
                <w:rFonts w:hint="eastAsia" w:ascii="Times New Roman" w:hAnsi="Times New Roman" w:eastAsia="方正仿宋_GBK" w:cs="Times New Roman"/>
                <w:color w:val="000000"/>
                <w:kern w:val="0"/>
                <w:sz w:val="24"/>
                <w:lang w:bidi="ar"/>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51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color w:val="000000"/>
                <w:sz w:val="24"/>
              </w:rPr>
            </w:pPr>
            <w:r>
              <w:rPr>
                <w:rFonts w:ascii="Times New Roman" w:hAnsi="Times New Roman" w:eastAsia="方正仿宋_GBK" w:cs="Times New Roman"/>
                <w:color w:val="000000"/>
                <w:kern w:val="0"/>
                <w:sz w:val="24"/>
                <w:lang w:bidi="ar"/>
              </w:rPr>
              <w:t>1</w:t>
            </w:r>
          </w:p>
        </w:tc>
        <w:tc>
          <w:tcPr>
            <w:tcW w:w="86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color w:val="000000"/>
                <w:sz w:val="24"/>
              </w:rPr>
            </w:pPr>
            <w:r>
              <w:rPr>
                <w:rStyle w:val="63"/>
                <w:rFonts w:hint="default" w:ascii="Times New Roman" w:hAnsi="Times New Roman" w:cs="Times New Roman"/>
                <w:sz w:val="24"/>
                <w:lang w:bidi="ar"/>
              </w:rPr>
              <w:t>生态保护</w:t>
            </w:r>
          </w:p>
        </w:tc>
        <w:tc>
          <w:tcPr>
            <w:tcW w:w="23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hint="eastAsia" w:ascii="Times New Roman" w:hAnsi="Times New Roman" w:eastAsia="方正仿宋_GBK" w:cs="Times New Roman"/>
                <w:kern w:val="0"/>
                <w:sz w:val="24"/>
                <w:lang w:bidi="ar"/>
              </w:rPr>
              <w:t>生态保护红线面积</w:t>
            </w:r>
          </w:p>
        </w:tc>
        <w:tc>
          <w:tcPr>
            <w:tcW w:w="119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Style w:val="63"/>
                <w:rFonts w:hint="default" w:ascii="Times New Roman" w:hAnsi="Times New Roman" w:cs="Times New Roman"/>
                <w:sz w:val="24"/>
                <w:lang w:bidi="ar"/>
              </w:rPr>
              <w:t>平方公里</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616</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579.41</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579.41</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Style w:val="64"/>
                <w:rFonts w:hint="default" w:ascii="Times New Roman" w:hAnsi="Times New Roman" w:cs="Times New Roman"/>
                <w:sz w:val="24"/>
                <w:lang w:bidi="ar"/>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51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color w:val="000000"/>
                <w:sz w:val="24"/>
              </w:rPr>
            </w:pPr>
            <w:r>
              <w:rPr>
                <w:rFonts w:ascii="Times New Roman" w:hAnsi="Times New Roman" w:eastAsia="方正仿宋_GBK" w:cs="Times New Roman"/>
                <w:color w:val="000000"/>
                <w:kern w:val="0"/>
                <w:sz w:val="24"/>
                <w:lang w:bidi="ar"/>
              </w:rPr>
              <w:t>2</w:t>
            </w:r>
          </w:p>
        </w:tc>
        <w:tc>
          <w:tcPr>
            <w:tcW w:w="86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sz w:val="20"/>
                <w:szCs w:val="20"/>
              </w:rPr>
            </w:pPr>
          </w:p>
        </w:tc>
        <w:tc>
          <w:tcPr>
            <w:tcW w:w="23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 w:val="24"/>
                <w:lang w:bidi="ar"/>
              </w:rPr>
            </w:pPr>
            <w:r>
              <w:rPr>
                <w:rFonts w:hint="eastAsia" w:ascii="Times New Roman" w:hAnsi="Times New Roman" w:eastAsia="方正仿宋_GBK" w:cs="Times New Roman"/>
                <w:kern w:val="0"/>
                <w:sz w:val="24"/>
                <w:lang w:bidi="ar"/>
              </w:rPr>
              <w:t>重要湖泊水功能</w:t>
            </w:r>
          </w:p>
          <w:p>
            <w:pPr>
              <w:widowControl/>
              <w:adjustRightInd w:val="0"/>
              <w:snapToGrid w:val="0"/>
              <w:jc w:val="center"/>
              <w:textAlignment w:val="center"/>
              <w:rPr>
                <w:rFonts w:ascii="Times New Roman" w:hAnsi="Times New Roman" w:eastAsia="方正仿宋_GBK" w:cs="Times New Roman"/>
                <w:sz w:val="24"/>
              </w:rPr>
            </w:pPr>
            <w:r>
              <w:rPr>
                <w:rFonts w:hint="eastAsia" w:ascii="Times New Roman" w:hAnsi="Times New Roman" w:eastAsia="方正仿宋_GBK" w:cs="Times New Roman"/>
                <w:kern w:val="0"/>
                <w:sz w:val="24"/>
                <w:lang w:bidi="ar"/>
              </w:rPr>
              <w:t>水质达标率</w:t>
            </w:r>
          </w:p>
        </w:tc>
        <w:tc>
          <w:tcPr>
            <w:tcW w:w="119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90</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95</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Style w:val="64"/>
                <w:rFonts w:hint="default" w:ascii="Times New Roman" w:hAnsi="Times New Roman" w:cs="Times New Roman"/>
                <w:sz w:val="24"/>
                <w:lang w:bidi="ar"/>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51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color w:val="000000"/>
                <w:sz w:val="24"/>
              </w:rPr>
            </w:pPr>
            <w:r>
              <w:rPr>
                <w:rFonts w:ascii="Times New Roman" w:hAnsi="Times New Roman" w:eastAsia="方正仿宋_GBK" w:cs="Times New Roman"/>
                <w:color w:val="000000"/>
                <w:kern w:val="0"/>
                <w:sz w:val="24"/>
                <w:lang w:bidi="ar"/>
              </w:rPr>
              <w:t>3</w:t>
            </w:r>
          </w:p>
        </w:tc>
        <w:tc>
          <w:tcPr>
            <w:tcW w:w="86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sz w:val="20"/>
                <w:szCs w:val="20"/>
              </w:rPr>
            </w:pPr>
          </w:p>
        </w:tc>
        <w:tc>
          <w:tcPr>
            <w:tcW w:w="23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hint="eastAsia" w:ascii="Times New Roman" w:hAnsi="Times New Roman" w:eastAsia="方正仿宋_GBK" w:cs="Times New Roman"/>
                <w:kern w:val="0"/>
                <w:sz w:val="24"/>
                <w:lang w:bidi="ar"/>
              </w:rPr>
              <w:t>森林覆盖率</w:t>
            </w:r>
          </w:p>
        </w:tc>
        <w:tc>
          <w:tcPr>
            <w:tcW w:w="119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6</w:t>
            </w:r>
            <w:r>
              <w:rPr>
                <w:rFonts w:hint="eastAsia" w:ascii="Times New Roman" w:hAnsi="Times New Roman" w:eastAsia="方正仿宋_GBK" w:cs="Times New Roman"/>
                <w:kern w:val="0"/>
                <w:sz w:val="24"/>
                <w:lang w:bidi="ar"/>
              </w:rPr>
              <w:t>0</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hint="eastAsia" w:ascii="Times New Roman" w:hAnsi="Times New Roman" w:eastAsia="方正仿宋_GBK" w:cs="Times New Roman"/>
                <w:kern w:val="0"/>
                <w:sz w:val="24"/>
                <w:lang w:bidi="ar"/>
              </w:rPr>
              <w:t>≥</w:t>
            </w:r>
            <w:r>
              <w:rPr>
                <w:rFonts w:ascii="Times New Roman" w:hAnsi="Times New Roman" w:eastAsia="方正仿宋_GBK" w:cs="Times New Roman"/>
                <w:kern w:val="0"/>
                <w:sz w:val="24"/>
                <w:lang w:bidi="ar"/>
              </w:rPr>
              <w:t>65</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hint="eastAsia" w:ascii="Times New Roman" w:hAnsi="Times New Roman" w:eastAsia="方正仿宋_GBK" w:cs="Times New Roman"/>
                <w:kern w:val="0"/>
                <w:sz w:val="24"/>
                <w:lang w:bidi="ar"/>
              </w:rPr>
              <w:t>≥</w:t>
            </w:r>
            <w:r>
              <w:rPr>
                <w:rFonts w:ascii="Times New Roman" w:hAnsi="Times New Roman" w:eastAsia="方正仿宋_GBK" w:cs="Times New Roman"/>
                <w:kern w:val="0"/>
                <w:sz w:val="24"/>
                <w:lang w:bidi="ar"/>
              </w:rPr>
              <w:t>65</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Style w:val="64"/>
                <w:rFonts w:hint="default" w:ascii="Times New Roman" w:hAnsi="Times New Roman" w:cs="Times New Roman"/>
                <w:sz w:val="24"/>
                <w:lang w:bidi="ar"/>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1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color w:val="000000"/>
                <w:sz w:val="24"/>
              </w:rPr>
            </w:pPr>
            <w:r>
              <w:rPr>
                <w:rFonts w:ascii="Times New Roman" w:hAnsi="Times New Roman" w:eastAsia="方正仿宋_GBK" w:cs="Times New Roman"/>
                <w:color w:val="000000"/>
                <w:kern w:val="0"/>
                <w:sz w:val="24"/>
                <w:lang w:bidi="ar"/>
              </w:rPr>
              <w:t>4</w:t>
            </w:r>
          </w:p>
        </w:tc>
        <w:tc>
          <w:tcPr>
            <w:tcW w:w="86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sz w:val="20"/>
                <w:szCs w:val="20"/>
              </w:rPr>
            </w:pPr>
          </w:p>
        </w:tc>
        <w:tc>
          <w:tcPr>
            <w:tcW w:w="23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 w:val="24"/>
                <w:lang w:bidi="ar"/>
              </w:rPr>
            </w:pPr>
            <w:r>
              <w:rPr>
                <w:rFonts w:hint="eastAsia" w:ascii="Times New Roman" w:hAnsi="Times New Roman" w:eastAsia="方正仿宋_GBK" w:cs="Times New Roman"/>
                <w:kern w:val="0"/>
                <w:sz w:val="24"/>
                <w:lang w:bidi="ar"/>
              </w:rPr>
              <w:t>天然林保有量</w:t>
            </w:r>
          </w:p>
          <w:p>
            <w:pPr>
              <w:widowControl/>
              <w:adjustRightInd w:val="0"/>
              <w:snapToGrid w:val="0"/>
              <w:jc w:val="center"/>
              <w:textAlignment w:val="center"/>
              <w:rPr>
                <w:rFonts w:ascii="Times New Roman" w:hAnsi="Times New Roman" w:eastAsia="方正仿宋_GBK" w:cs="Times New Roman"/>
                <w:sz w:val="24"/>
              </w:rPr>
            </w:pPr>
            <w:r>
              <w:rPr>
                <w:rFonts w:hint="eastAsia" w:ascii="Times New Roman" w:hAnsi="Times New Roman" w:eastAsia="方正仿宋_GBK" w:cs="Times New Roman"/>
                <w:kern w:val="0"/>
                <w:sz w:val="24"/>
                <w:lang w:bidi="ar"/>
              </w:rPr>
              <w:t>（林地保有量）</w:t>
            </w:r>
          </w:p>
        </w:tc>
        <w:tc>
          <w:tcPr>
            <w:tcW w:w="119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Style w:val="63"/>
                <w:rFonts w:hint="default" w:ascii="Times New Roman" w:hAnsi="Times New Roman" w:cs="Times New Roman"/>
                <w:sz w:val="24"/>
                <w:lang w:bidi="ar"/>
              </w:rPr>
              <w:t>平方公里</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hint="eastAsia" w:ascii="Times New Roman" w:hAnsi="Times New Roman" w:eastAsia="方正仿宋_GBK" w:cs="Times New Roman"/>
                <w:kern w:val="0"/>
                <w:sz w:val="24"/>
                <w:lang w:bidi="ar"/>
              </w:rPr>
              <w:t>1634.62</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1629.52</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16</w:t>
            </w:r>
            <w:r>
              <w:rPr>
                <w:rFonts w:hint="eastAsia" w:ascii="Times New Roman" w:hAnsi="Times New Roman" w:eastAsia="方正仿宋_GBK" w:cs="Times New Roman"/>
                <w:kern w:val="0"/>
                <w:sz w:val="24"/>
                <w:lang w:bidi="ar"/>
              </w:rPr>
              <w:t>15.1</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Style w:val="64"/>
                <w:rFonts w:hint="default" w:ascii="Times New Roman" w:hAnsi="Times New Roman" w:cs="Times New Roman"/>
                <w:sz w:val="24"/>
                <w:lang w:bidi="ar"/>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1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color w:val="000000"/>
                <w:sz w:val="24"/>
              </w:rPr>
            </w:pPr>
            <w:r>
              <w:rPr>
                <w:rFonts w:ascii="Times New Roman" w:hAnsi="Times New Roman" w:eastAsia="方正仿宋_GBK" w:cs="Times New Roman"/>
                <w:color w:val="000000"/>
                <w:kern w:val="0"/>
                <w:sz w:val="24"/>
                <w:lang w:bidi="ar"/>
              </w:rPr>
              <w:t>5</w:t>
            </w:r>
          </w:p>
        </w:tc>
        <w:tc>
          <w:tcPr>
            <w:tcW w:w="86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sz w:val="20"/>
                <w:szCs w:val="20"/>
              </w:rPr>
            </w:pPr>
          </w:p>
        </w:tc>
        <w:tc>
          <w:tcPr>
            <w:tcW w:w="23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hint="eastAsia" w:ascii="Times New Roman" w:hAnsi="Times New Roman" w:eastAsia="方正仿宋_GBK" w:cs="Times New Roman"/>
                <w:kern w:val="0"/>
                <w:sz w:val="24"/>
                <w:lang w:bidi="ar"/>
              </w:rPr>
              <w:t>森林蓄积量</w:t>
            </w:r>
          </w:p>
        </w:tc>
        <w:tc>
          <w:tcPr>
            <w:tcW w:w="119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Style w:val="63"/>
                <w:rFonts w:hint="default" w:ascii="Times New Roman" w:hAnsi="Times New Roman" w:cs="Times New Roman"/>
                <w:sz w:val="24"/>
                <w:lang w:bidi="ar"/>
              </w:rPr>
              <w:t>万立方米</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472.09</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472.09</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472.09</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Style w:val="64"/>
                <w:rFonts w:hint="default" w:ascii="Times New Roman" w:hAnsi="Times New Roman" w:cs="Times New Roman"/>
                <w:sz w:val="24"/>
                <w:lang w:bidi="ar"/>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1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color w:val="000000"/>
                <w:sz w:val="24"/>
              </w:rPr>
            </w:pPr>
            <w:r>
              <w:rPr>
                <w:rFonts w:ascii="Times New Roman" w:hAnsi="Times New Roman" w:eastAsia="方正仿宋_GBK" w:cs="Times New Roman"/>
                <w:color w:val="000000"/>
                <w:kern w:val="0"/>
                <w:sz w:val="24"/>
                <w:lang w:bidi="ar"/>
              </w:rPr>
              <w:t>6</w:t>
            </w:r>
          </w:p>
        </w:tc>
        <w:tc>
          <w:tcPr>
            <w:tcW w:w="86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sz w:val="20"/>
                <w:szCs w:val="20"/>
              </w:rPr>
            </w:pPr>
          </w:p>
        </w:tc>
        <w:tc>
          <w:tcPr>
            <w:tcW w:w="23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hint="eastAsia" w:ascii="Times New Roman" w:hAnsi="Times New Roman" w:eastAsia="方正仿宋_GBK" w:cs="Times New Roman"/>
                <w:kern w:val="0"/>
                <w:sz w:val="24"/>
                <w:lang w:bidi="ar"/>
              </w:rPr>
              <w:t>自然保护地面积占比</w:t>
            </w:r>
          </w:p>
        </w:tc>
        <w:tc>
          <w:tcPr>
            <w:tcW w:w="119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16.68</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16.68</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Style w:val="64"/>
                <w:rFonts w:hint="default" w:ascii="Times New Roman" w:hAnsi="Times New Roman" w:cs="Times New Roman"/>
                <w:sz w:val="24"/>
                <w:lang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color w:val="000000"/>
                <w:sz w:val="24"/>
              </w:rPr>
            </w:pPr>
            <w:r>
              <w:rPr>
                <w:rFonts w:ascii="Times New Roman" w:hAnsi="Times New Roman" w:eastAsia="方正仿宋_GBK" w:cs="Times New Roman"/>
                <w:color w:val="000000"/>
                <w:kern w:val="0"/>
                <w:sz w:val="24"/>
                <w:lang w:bidi="ar"/>
              </w:rPr>
              <w:t>7</w:t>
            </w:r>
          </w:p>
        </w:tc>
        <w:tc>
          <w:tcPr>
            <w:tcW w:w="865"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sz w:val="20"/>
                <w:szCs w:val="20"/>
              </w:rPr>
            </w:pPr>
          </w:p>
        </w:tc>
        <w:tc>
          <w:tcPr>
            <w:tcW w:w="23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hint="eastAsia" w:ascii="Times New Roman" w:hAnsi="Times New Roman" w:eastAsia="方正仿宋_GBK" w:cs="Times New Roman"/>
                <w:kern w:val="0"/>
                <w:sz w:val="24"/>
                <w:lang w:bidi="ar"/>
              </w:rPr>
              <w:t>水土保持率</w:t>
            </w:r>
          </w:p>
        </w:tc>
        <w:tc>
          <w:tcPr>
            <w:tcW w:w="119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65</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hint="eastAsia" w:ascii="Times New Roman" w:hAnsi="Times New Roman" w:eastAsia="方正仿宋_GBK" w:cs="Times New Roman"/>
                <w:kern w:val="0"/>
                <w:sz w:val="24"/>
                <w:lang w:bidi="ar"/>
              </w:rPr>
              <w:t>＞</w:t>
            </w:r>
            <w:r>
              <w:rPr>
                <w:rFonts w:ascii="Times New Roman" w:hAnsi="Times New Roman" w:eastAsia="方正仿宋_GBK" w:cs="Times New Roman"/>
                <w:kern w:val="0"/>
                <w:sz w:val="24"/>
                <w:lang w:bidi="ar"/>
              </w:rPr>
              <w:t>73</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hint="eastAsia" w:ascii="Times New Roman" w:hAnsi="Times New Roman" w:eastAsia="方正仿宋_GBK" w:cs="Times New Roman"/>
                <w:kern w:val="0"/>
                <w:sz w:val="24"/>
                <w:lang w:bidi="ar"/>
              </w:rPr>
              <w:t>＞</w:t>
            </w:r>
            <w:r>
              <w:rPr>
                <w:rFonts w:ascii="Times New Roman" w:hAnsi="Times New Roman" w:eastAsia="方正仿宋_GBK" w:cs="Times New Roman"/>
                <w:kern w:val="0"/>
                <w:sz w:val="24"/>
                <w:lang w:bidi="ar"/>
              </w:rPr>
              <w:t>73</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Style w:val="64"/>
                <w:rFonts w:hint="default" w:ascii="Times New Roman" w:hAnsi="Times New Roman" w:cs="Times New Roman"/>
                <w:sz w:val="24"/>
                <w:lang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1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color w:val="000000"/>
                <w:sz w:val="24"/>
              </w:rPr>
            </w:pPr>
            <w:r>
              <w:rPr>
                <w:rFonts w:ascii="Times New Roman" w:hAnsi="Times New Roman" w:eastAsia="方正仿宋_GBK" w:cs="Times New Roman"/>
                <w:color w:val="000000"/>
                <w:kern w:val="0"/>
                <w:sz w:val="24"/>
                <w:lang w:bidi="ar"/>
              </w:rPr>
              <w:t>8</w:t>
            </w:r>
          </w:p>
        </w:tc>
        <w:tc>
          <w:tcPr>
            <w:tcW w:w="86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color w:val="000000"/>
                <w:sz w:val="24"/>
              </w:rPr>
            </w:pPr>
            <w:r>
              <w:rPr>
                <w:rStyle w:val="63"/>
                <w:rFonts w:hint="default" w:ascii="Times New Roman" w:hAnsi="Times New Roman" w:cs="Times New Roman"/>
                <w:sz w:val="24"/>
                <w:lang w:bidi="ar"/>
              </w:rPr>
              <w:t>生态修复</w:t>
            </w:r>
          </w:p>
        </w:tc>
        <w:tc>
          <w:tcPr>
            <w:tcW w:w="238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kern w:val="0"/>
                <w:sz w:val="24"/>
                <w:lang w:bidi="ar"/>
              </w:rPr>
            </w:pPr>
            <w:r>
              <w:rPr>
                <w:rFonts w:hint="eastAsia" w:ascii="Times New Roman" w:hAnsi="Times New Roman" w:eastAsia="方正仿宋_GBK" w:cs="Times New Roman"/>
                <w:kern w:val="0"/>
                <w:sz w:val="24"/>
                <w:lang w:bidi="ar"/>
              </w:rPr>
              <w:t>历史遗留矿山</w:t>
            </w:r>
          </w:p>
          <w:p>
            <w:pPr>
              <w:widowControl/>
              <w:adjustRightInd w:val="0"/>
              <w:snapToGrid w:val="0"/>
              <w:jc w:val="center"/>
              <w:textAlignment w:val="center"/>
              <w:rPr>
                <w:rFonts w:ascii="Times New Roman" w:hAnsi="Times New Roman" w:eastAsia="方正仿宋_GBK" w:cs="Times New Roman"/>
                <w:sz w:val="24"/>
              </w:rPr>
            </w:pPr>
            <w:r>
              <w:rPr>
                <w:rFonts w:hint="eastAsia" w:ascii="Times New Roman" w:hAnsi="Times New Roman" w:eastAsia="方正仿宋_GBK" w:cs="Times New Roman"/>
                <w:kern w:val="0"/>
                <w:sz w:val="24"/>
                <w:lang w:bidi="ar"/>
              </w:rPr>
              <w:t>生态修复面积</w:t>
            </w:r>
          </w:p>
        </w:tc>
        <w:tc>
          <w:tcPr>
            <w:tcW w:w="119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Style w:val="63"/>
                <w:rFonts w:hint="default" w:ascii="Times New Roman" w:hAnsi="Times New Roman" w:cs="Times New Roman"/>
                <w:sz w:val="24"/>
                <w:lang w:bidi="ar"/>
              </w:rPr>
              <w:t>公顷</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[11.42]</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[11.42]</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Style w:val="64"/>
                <w:rFonts w:hint="default" w:ascii="Times New Roman" w:hAnsi="Times New Roman" w:cs="Times New Roman"/>
                <w:sz w:val="24"/>
                <w:lang w:bidi="ar"/>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1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color w:val="000000"/>
                <w:sz w:val="24"/>
              </w:rPr>
            </w:pPr>
            <w:r>
              <w:rPr>
                <w:rFonts w:ascii="Times New Roman" w:hAnsi="Times New Roman" w:eastAsia="方正仿宋_GBK" w:cs="Times New Roman"/>
                <w:color w:val="000000"/>
                <w:kern w:val="0"/>
                <w:sz w:val="24"/>
                <w:lang w:bidi="ar"/>
              </w:rPr>
              <w:t>9</w:t>
            </w:r>
          </w:p>
        </w:tc>
        <w:tc>
          <w:tcPr>
            <w:tcW w:w="8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 w:val="20"/>
                <w:szCs w:val="20"/>
              </w:rPr>
            </w:pPr>
          </w:p>
        </w:tc>
        <w:tc>
          <w:tcPr>
            <w:tcW w:w="23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hint="eastAsia" w:ascii="Times New Roman" w:hAnsi="Times New Roman" w:eastAsia="方正仿宋_GBK" w:cs="Times New Roman"/>
                <w:kern w:val="0"/>
                <w:sz w:val="24"/>
                <w:lang w:bidi="ar"/>
              </w:rPr>
              <w:t>新增石漠化综合治理面积</w:t>
            </w:r>
          </w:p>
        </w:tc>
        <w:tc>
          <w:tcPr>
            <w:tcW w:w="119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Style w:val="63"/>
                <w:rFonts w:hint="default" w:ascii="Times New Roman" w:hAnsi="Times New Roman" w:cs="Times New Roman"/>
                <w:sz w:val="24"/>
                <w:lang w:bidi="ar"/>
              </w:rPr>
              <w:t>平方公里</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w:t>
            </w:r>
            <w:r>
              <w:rPr>
                <w:rFonts w:hint="eastAsia" w:ascii="Times New Roman" w:hAnsi="Times New Roman" w:eastAsia="方正仿宋_GBK" w:cs="Times New Roman"/>
                <w:kern w:val="0"/>
                <w:sz w:val="24"/>
                <w:lang w:bidi="ar"/>
              </w:rPr>
              <w:t>2</w:t>
            </w:r>
            <w:r>
              <w:rPr>
                <w:rFonts w:ascii="Times New Roman" w:hAnsi="Times New Roman" w:eastAsia="方正仿宋_GBK" w:cs="Times New Roman"/>
                <w:kern w:val="0"/>
                <w:sz w:val="24"/>
                <w:lang w:bidi="ar"/>
              </w:rPr>
              <w:t>6.</w:t>
            </w:r>
            <w:r>
              <w:rPr>
                <w:rFonts w:hint="eastAsia" w:ascii="Times New Roman" w:hAnsi="Times New Roman" w:eastAsia="方正仿宋_GBK" w:cs="Times New Roman"/>
                <w:kern w:val="0"/>
                <w:sz w:val="24"/>
                <w:lang w:bidi="ar"/>
              </w:rPr>
              <w:t>11</w:t>
            </w:r>
            <w:r>
              <w:rPr>
                <w:rFonts w:ascii="Times New Roman" w:hAnsi="Times New Roman" w:eastAsia="方正仿宋_GBK" w:cs="Times New Roman"/>
                <w:kern w:val="0"/>
                <w:sz w:val="24"/>
                <w:lang w:bidi="ar"/>
              </w:rPr>
              <w:t>]</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w:t>
            </w:r>
            <w:r>
              <w:rPr>
                <w:rFonts w:hint="eastAsia" w:ascii="Times New Roman" w:hAnsi="Times New Roman" w:eastAsia="方正仿宋_GBK" w:cs="Times New Roman"/>
                <w:kern w:val="0"/>
                <w:sz w:val="24"/>
                <w:lang w:bidi="ar"/>
              </w:rPr>
              <w:t>36</w:t>
            </w:r>
            <w:r>
              <w:rPr>
                <w:rFonts w:ascii="Times New Roman" w:hAnsi="Times New Roman" w:eastAsia="方正仿宋_GBK" w:cs="Times New Roman"/>
                <w:kern w:val="0"/>
                <w:sz w:val="24"/>
                <w:lang w:bidi="ar"/>
              </w:rPr>
              <w:t>.56]</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Style w:val="64"/>
                <w:rFonts w:hint="default" w:ascii="Times New Roman" w:hAnsi="Times New Roman" w:cs="Times New Roman"/>
                <w:sz w:val="24"/>
                <w:lang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51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color w:val="000000"/>
                <w:sz w:val="24"/>
              </w:rPr>
            </w:pPr>
            <w:r>
              <w:rPr>
                <w:rFonts w:ascii="Times New Roman" w:hAnsi="Times New Roman" w:eastAsia="方正仿宋_GBK" w:cs="Times New Roman"/>
                <w:color w:val="000000"/>
                <w:kern w:val="0"/>
                <w:sz w:val="24"/>
                <w:lang w:bidi="ar"/>
              </w:rPr>
              <w:t>10</w:t>
            </w:r>
          </w:p>
        </w:tc>
        <w:tc>
          <w:tcPr>
            <w:tcW w:w="8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 w:val="20"/>
                <w:szCs w:val="20"/>
              </w:rPr>
            </w:pPr>
          </w:p>
        </w:tc>
        <w:tc>
          <w:tcPr>
            <w:tcW w:w="23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 w:val="24"/>
                <w:lang w:bidi="ar"/>
              </w:rPr>
            </w:pPr>
            <w:r>
              <w:rPr>
                <w:rFonts w:hint="eastAsia" w:ascii="Times New Roman" w:hAnsi="Times New Roman" w:eastAsia="方正仿宋_GBK" w:cs="Times New Roman"/>
                <w:kern w:val="0"/>
                <w:sz w:val="24"/>
                <w:lang w:bidi="ar"/>
              </w:rPr>
              <w:t>新增水土流失</w:t>
            </w:r>
          </w:p>
          <w:p>
            <w:pPr>
              <w:widowControl/>
              <w:adjustRightInd w:val="0"/>
              <w:snapToGrid w:val="0"/>
              <w:jc w:val="center"/>
              <w:textAlignment w:val="center"/>
              <w:rPr>
                <w:rFonts w:ascii="Times New Roman" w:hAnsi="Times New Roman" w:eastAsia="方正仿宋_GBK" w:cs="Times New Roman"/>
                <w:sz w:val="24"/>
              </w:rPr>
            </w:pPr>
            <w:r>
              <w:rPr>
                <w:rFonts w:hint="eastAsia" w:ascii="Times New Roman" w:hAnsi="Times New Roman" w:eastAsia="方正仿宋_GBK" w:cs="Times New Roman"/>
                <w:kern w:val="0"/>
                <w:sz w:val="24"/>
                <w:lang w:bidi="ar"/>
              </w:rPr>
              <w:t>综合治理面积</w:t>
            </w:r>
          </w:p>
        </w:tc>
        <w:tc>
          <w:tcPr>
            <w:tcW w:w="119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Style w:val="63"/>
                <w:rFonts w:hint="default" w:ascii="Times New Roman" w:hAnsi="Times New Roman" w:cs="Times New Roman"/>
                <w:sz w:val="24"/>
                <w:lang w:bidi="ar"/>
              </w:rPr>
              <w:t>平方公里</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w:t>
            </w:r>
            <w:r>
              <w:rPr>
                <w:rFonts w:hint="eastAsia" w:ascii="Times New Roman" w:hAnsi="Times New Roman" w:eastAsia="方正仿宋_GBK" w:cs="Times New Roman"/>
                <w:kern w:val="0"/>
                <w:sz w:val="24"/>
                <w:lang w:bidi="ar"/>
              </w:rPr>
              <w:t>25.4</w:t>
            </w:r>
            <w:r>
              <w:rPr>
                <w:rFonts w:ascii="Times New Roman" w:hAnsi="Times New Roman" w:eastAsia="方正仿宋_GBK" w:cs="Times New Roman"/>
                <w:kern w:val="0"/>
                <w:sz w:val="24"/>
                <w:lang w:bidi="ar"/>
              </w:rPr>
              <w:t>]</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w:t>
            </w:r>
            <w:r>
              <w:rPr>
                <w:rFonts w:hint="eastAsia" w:ascii="Times New Roman" w:hAnsi="Times New Roman" w:eastAsia="方正仿宋_GBK" w:cs="Times New Roman"/>
                <w:kern w:val="0"/>
                <w:sz w:val="24"/>
                <w:lang w:bidi="ar"/>
              </w:rPr>
              <w:t>35.57</w:t>
            </w:r>
            <w:r>
              <w:rPr>
                <w:rFonts w:ascii="Times New Roman" w:hAnsi="Times New Roman" w:eastAsia="方正仿宋_GBK" w:cs="Times New Roman"/>
                <w:kern w:val="0"/>
                <w:sz w:val="24"/>
                <w:lang w:bidi="ar"/>
              </w:rPr>
              <w:t>]</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Style w:val="64"/>
                <w:rFonts w:hint="default" w:ascii="Times New Roman" w:hAnsi="Times New Roman" w:cs="Times New Roman"/>
                <w:sz w:val="24"/>
                <w:lang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51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color w:val="000000"/>
                <w:sz w:val="24"/>
              </w:rPr>
            </w:pPr>
            <w:r>
              <w:rPr>
                <w:rFonts w:ascii="Times New Roman" w:hAnsi="Times New Roman" w:eastAsia="方正仿宋_GBK" w:cs="Times New Roman"/>
                <w:color w:val="000000"/>
                <w:kern w:val="0"/>
                <w:sz w:val="24"/>
                <w:lang w:bidi="ar"/>
              </w:rPr>
              <w:t>11</w:t>
            </w:r>
          </w:p>
        </w:tc>
        <w:tc>
          <w:tcPr>
            <w:tcW w:w="8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 w:val="20"/>
                <w:szCs w:val="20"/>
              </w:rPr>
            </w:pPr>
          </w:p>
        </w:tc>
        <w:tc>
          <w:tcPr>
            <w:tcW w:w="23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hint="eastAsia" w:ascii="Times New Roman" w:hAnsi="Times New Roman" w:eastAsia="方正仿宋_GBK" w:cs="Times New Roman"/>
                <w:kern w:val="0"/>
                <w:sz w:val="24"/>
                <w:lang w:bidi="ar"/>
              </w:rPr>
              <w:t>森林质量精准提升</w:t>
            </w:r>
          </w:p>
        </w:tc>
        <w:tc>
          <w:tcPr>
            <w:tcW w:w="119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Style w:val="63"/>
                <w:rFonts w:hint="default" w:ascii="Times New Roman" w:hAnsi="Times New Roman" w:cs="Times New Roman"/>
                <w:sz w:val="24"/>
                <w:lang w:bidi="ar"/>
              </w:rPr>
              <w:t>平方公里</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w:t>
            </w:r>
            <w:r>
              <w:rPr>
                <w:rFonts w:hint="eastAsia" w:ascii="Times New Roman" w:hAnsi="Times New Roman" w:eastAsia="方正仿宋_GBK" w:cs="Times New Roman"/>
                <w:kern w:val="0"/>
                <w:sz w:val="24"/>
                <w:lang w:bidi="ar"/>
              </w:rPr>
              <w:t>45.16</w:t>
            </w:r>
            <w:r>
              <w:rPr>
                <w:rFonts w:ascii="Times New Roman" w:hAnsi="Times New Roman" w:eastAsia="方正仿宋_GBK" w:cs="Times New Roman"/>
                <w:kern w:val="0"/>
                <w:sz w:val="24"/>
                <w:lang w:bidi="ar"/>
              </w:rPr>
              <w:t>]</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[63.23]</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Style w:val="64"/>
                <w:rFonts w:hint="default" w:ascii="Times New Roman" w:hAnsi="Times New Roman" w:cs="Times New Roman"/>
                <w:sz w:val="24"/>
                <w:lang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51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textAlignment w:val="center"/>
              <w:rPr>
                <w:rFonts w:ascii="Times New Roman" w:hAnsi="Times New Roman" w:eastAsia="方正仿宋_GBK" w:cs="Times New Roman"/>
                <w:color w:val="000000"/>
                <w:sz w:val="24"/>
              </w:rPr>
            </w:pPr>
            <w:r>
              <w:rPr>
                <w:rFonts w:ascii="Times New Roman" w:hAnsi="Times New Roman" w:eastAsia="方正仿宋_GBK" w:cs="Times New Roman"/>
                <w:color w:val="000000"/>
                <w:kern w:val="0"/>
                <w:sz w:val="24"/>
                <w:lang w:bidi="ar"/>
              </w:rPr>
              <w:t>12</w:t>
            </w:r>
          </w:p>
        </w:tc>
        <w:tc>
          <w:tcPr>
            <w:tcW w:w="8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 w:val="20"/>
                <w:szCs w:val="20"/>
              </w:rPr>
            </w:pPr>
          </w:p>
        </w:tc>
        <w:tc>
          <w:tcPr>
            <w:tcW w:w="23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hint="eastAsia" w:ascii="Times New Roman" w:hAnsi="Times New Roman" w:eastAsia="方正仿宋_GBK" w:cs="Times New Roman"/>
                <w:kern w:val="0"/>
                <w:sz w:val="24"/>
                <w:lang w:bidi="ar"/>
              </w:rPr>
              <w:t>污染地块安全利用率</w:t>
            </w:r>
          </w:p>
        </w:tc>
        <w:tc>
          <w:tcPr>
            <w:tcW w:w="119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95</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hint="eastAsia" w:ascii="Times New Roman" w:hAnsi="Times New Roman" w:eastAsia="方正仿宋_GBK" w:cs="Times New Roman"/>
                <w:kern w:val="0"/>
                <w:sz w:val="24"/>
                <w:lang w:bidi="ar"/>
              </w:rPr>
              <w:t>≥</w:t>
            </w:r>
            <w:r>
              <w:rPr>
                <w:rFonts w:ascii="Times New Roman" w:hAnsi="Times New Roman" w:eastAsia="方正仿宋_GBK" w:cs="Times New Roman"/>
                <w:kern w:val="0"/>
                <w:sz w:val="24"/>
                <w:lang w:bidi="ar"/>
              </w:rPr>
              <w:t>95</w:t>
            </w:r>
          </w:p>
        </w:tc>
        <w:tc>
          <w:tcPr>
            <w:tcW w:w="10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hint="eastAsia" w:ascii="Times New Roman" w:hAnsi="Times New Roman" w:eastAsia="方正仿宋_GBK" w:cs="Times New Roman"/>
                <w:kern w:val="0"/>
                <w:sz w:val="24"/>
                <w:lang w:bidi="ar"/>
              </w:rPr>
              <w:t>≥</w:t>
            </w:r>
            <w:r>
              <w:rPr>
                <w:rFonts w:ascii="Times New Roman" w:hAnsi="Times New Roman" w:eastAsia="方正仿宋_GBK" w:cs="Times New Roman"/>
                <w:kern w:val="0"/>
                <w:sz w:val="24"/>
                <w:lang w:bidi="ar"/>
              </w:rPr>
              <w:t>95</w:t>
            </w:r>
          </w:p>
        </w:tc>
        <w:tc>
          <w:tcPr>
            <w:tcW w:w="9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Style w:val="64"/>
                <w:rFonts w:hint="default" w:ascii="Times New Roman" w:hAnsi="Times New Roman" w:cs="Times New Roman"/>
                <w:sz w:val="24"/>
                <w:lang w:bidi="ar"/>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8987" w:type="dxa"/>
            <w:gridSpan w:val="8"/>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left"/>
              <w:textAlignment w:val="center"/>
              <w:rPr>
                <w:rStyle w:val="64"/>
                <w:rFonts w:hint="default" w:ascii="Times New Roman" w:hAnsi="Times New Roman" w:cs="Times New Roman"/>
                <w:sz w:val="24"/>
                <w:lang w:bidi="ar"/>
              </w:rPr>
            </w:pPr>
            <w:r>
              <w:rPr>
                <w:rFonts w:hint="eastAsia" w:ascii="Times New Roman" w:hAnsi="Times New Roman" w:eastAsia="方正仿宋_GBK" w:cs="Times New Roman"/>
                <w:color w:val="000000"/>
                <w:kern w:val="0"/>
                <w:sz w:val="24"/>
                <w:lang w:bidi="ar"/>
              </w:rPr>
              <w:t>注：</w:t>
            </w:r>
            <w:r>
              <w:rPr>
                <w:rFonts w:ascii="Times New Roman" w:hAnsi="Times New Roman" w:eastAsia="方正仿宋_GBK" w:cs="Times New Roman"/>
                <w:color w:val="000000"/>
                <w:kern w:val="0"/>
                <w:sz w:val="24"/>
                <w:lang w:bidi="ar"/>
              </w:rPr>
              <w:t>[   ]</w:t>
            </w:r>
            <w:r>
              <w:rPr>
                <w:rFonts w:hint="eastAsia" w:ascii="Times New Roman" w:hAnsi="Times New Roman" w:eastAsia="方正仿宋_GBK" w:cs="Times New Roman"/>
                <w:color w:val="000000"/>
                <w:kern w:val="0"/>
                <w:sz w:val="24"/>
                <w:lang w:bidi="ar"/>
              </w:rPr>
              <w:t>为</w:t>
            </w:r>
            <w:r>
              <w:rPr>
                <w:rFonts w:ascii="Times New Roman" w:hAnsi="Times New Roman" w:eastAsia="方正仿宋_GBK" w:cs="Times New Roman"/>
                <w:color w:val="000000"/>
                <w:kern w:val="0"/>
                <w:sz w:val="24"/>
                <w:lang w:bidi="ar"/>
              </w:rPr>
              <w:t>2021</w:t>
            </w:r>
            <w:r>
              <w:rPr>
                <w:rFonts w:hint="eastAsia" w:ascii="Times New Roman" w:hAnsi="Times New Roman" w:eastAsia="方正仿宋_GBK" w:cs="Times New Roman"/>
                <w:color w:val="000000"/>
                <w:kern w:val="0"/>
                <w:sz w:val="24"/>
                <w:lang w:bidi="ar"/>
              </w:rPr>
              <w:t>年到该年份累计值。</w:t>
            </w:r>
          </w:p>
        </w:tc>
      </w:tr>
    </w:tbl>
    <w:p>
      <w:pPr>
        <w:spacing w:before="312" w:beforeLines="100" w:after="156" w:afterLines="50" w:line="600" w:lineRule="exact"/>
        <w:ind w:firstLine="640" w:firstLineChars="200"/>
        <w:outlineLvl w:val="1"/>
        <w:rPr>
          <w:rFonts w:ascii="方正小标宋_GBK" w:hAnsi="方正小标宋_GBK" w:eastAsia="方正小标宋_GBK" w:cs="方正小标宋_GBK"/>
          <w:sz w:val="32"/>
          <w:szCs w:val="32"/>
        </w:rPr>
      </w:pPr>
      <w:bookmarkStart w:id="88" w:name="_Toc1201"/>
      <w:bookmarkStart w:id="89" w:name="_Toc4651"/>
      <w:bookmarkStart w:id="90" w:name="_Toc12725"/>
      <w:bookmarkStart w:id="91" w:name="_Toc29826"/>
      <w:r>
        <w:rPr>
          <w:rFonts w:hint="eastAsia" w:ascii="方正小标宋_GBK" w:hAnsi="方正小标宋_GBK" w:eastAsia="方正小标宋_GBK" w:cs="方正小标宋_GBK"/>
          <w:sz w:val="32"/>
          <w:szCs w:val="32"/>
        </w:rPr>
        <w:t>第四节 规划范围与期限</w:t>
      </w:r>
      <w:bookmarkEnd w:id="88"/>
      <w:bookmarkEnd w:id="89"/>
      <w:bookmarkEnd w:id="90"/>
      <w:bookmarkEnd w:id="91"/>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规划范围为</w:t>
      </w:r>
      <w:r>
        <w:rPr>
          <w:rFonts w:hint="eastAsia" w:ascii="Times New Roman" w:hAnsi="Times New Roman" w:eastAsia="方正仿宋_GBK" w:cs="Times New Roman"/>
          <w:sz w:val="32"/>
          <w:szCs w:val="32"/>
        </w:rPr>
        <w:t>黔江区</w:t>
      </w:r>
      <w:r>
        <w:rPr>
          <w:rFonts w:ascii="Times New Roman" w:hAnsi="Times New Roman" w:eastAsia="方正仿宋_GBK" w:cs="Times New Roman"/>
          <w:sz w:val="32"/>
          <w:szCs w:val="32"/>
        </w:rPr>
        <w:t>行政管辖区域，总面积2391.88平方公里，下</w:t>
      </w:r>
      <w:r>
        <w:rPr>
          <w:rFonts w:hint="eastAsia" w:ascii="Times New Roman" w:hAnsi="Times New Roman" w:eastAsia="方正仿宋_GBK" w:cs="Times New Roman"/>
          <w:sz w:val="32"/>
          <w:szCs w:val="32"/>
        </w:rPr>
        <w:t>辖6个街道、18个镇、6个乡，</w:t>
      </w:r>
      <w:r>
        <w:rPr>
          <w:rFonts w:ascii="Times New Roman" w:hAnsi="Times New Roman" w:eastAsia="方正仿宋_GBK" w:cs="Times New Roman"/>
          <w:sz w:val="32"/>
          <w:szCs w:val="32"/>
        </w:rPr>
        <w:t>即：</w:t>
      </w:r>
      <w:r>
        <w:rPr>
          <w:rFonts w:hint="eastAsia" w:ascii="Times New Roman" w:hAnsi="Times New Roman" w:eastAsia="方正仿宋_GBK" w:cs="Times New Roman"/>
          <w:sz w:val="32"/>
          <w:szCs w:val="32"/>
        </w:rPr>
        <w:t>城东街道、城南街道、城西街道、舟白街道、正阳街道、冯家街道、小南海镇、邻鄂镇、阿蓬江镇、石会镇、黑溪镇、黄溪镇、黎水镇、金溪镇、马喇镇、濯水镇、石家镇、鹅池镇、中塘镇、沙坝镇、白石镇、太极镇、五里镇、水市镇、蓬东乡、杉岭乡、水田乡、白土乡、金洞乡、新华乡</w:t>
      </w:r>
      <w:r>
        <w:rPr>
          <w:rFonts w:ascii="Times New Roman" w:hAnsi="Times New Roman" w:eastAsia="方正仿宋_GBK" w:cs="Times New Roman"/>
          <w:sz w:val="32"/>
          <w:szCs w:val="32"/>
        </w:rPr>
        <w:t>。</w:t>
      </w:r>
    </w:p>
    <w:p>
      <w:pPr>
        <w:spacing w:line="560" w:lineRule="exact"/>
        <w:ind w:firstLine="640" w:firstLineChars="200"/>
        <w:rPr>
          <w:rFonts w:ascii="Times New Roman" w:hAnsi="Times New Roman" w:eastAsia="方正仿宋_GBK" w:cs="Times New Roman"/>
          <w:sz w:val="32"/>
          <w:szCs w:val="32"/>
        </w:rPr>
        <w:sectPr>
          <w:pgSz w:w="11906" w:h="16838"/>
          <w:pgMar w:top="1701" w:right="1474" w:bottom="1440" w:left="1587" w:header="851" w:footer="992" w:gutter="0"/>
          <w:cols w:space="0" w:num="1"/>
          <w:docGrid w:type="lines" w:linePitch="312" w:charSpace="0"/>
        </w:sectPr>
      </w:pPr>
      <w:r>
        <w:rPr>
          <w:rFonts w:ascii="Times New Roman" w:hAnsi="Times New Roman" w:eastAsia="方正仿宋_GBK" w:cs="Times New Roman"/>
          <w:sz w:val="32"/>
          <w:szCs w:val="32"/>
        </w:rPr>
        <w:t>规划期为2021-2035年，近期至2025年，远期展望至2035年。基准年为2020年。</w:t>
      </w:r>
    </w:p>
    <w:p>
      <w:pPr>
        <w:spacing w:before="312" w:beforeLines="100" w:after="312" w:afterLines="100" w:line="600" w:lineRule="exact"/>
        <w:jc w:val="center"/>
        <w:outlineLvl w:val="0"/>
        <w:rPr>
          <w:rFonts w:ascii="方正小标宋_GBK" w:hAnsi="方正小标宋_GBK" w:eastAsia="方正小标宋_GBK" w:cs="方正小标宋_GBK"/>
          <w:sz w:val="44"/>
          <w:szCs w:val="44"/>
        </w:rPr>
      </w:pPr>
      <w:bookmarkStart w:id="92" w:name="_Toc9768"/>
      <w:bookmarkStart w:id="93" w:name="_Toc1668"/>
      <w:bookmarkStart w:id="94" w:name="_Toc185"/>
      <w:bookmarkStart w:id="95" w:name="_Toc13344"/>
      <w:r>
        <w:rPr>
          <w:rFonts w:hint="eastAsia" w:ascii="方正小标宋_GBK" w:hAnsi="方正小标宋_GBK" w:eastAsia="方正小标宋_GBK" w:cs="方正小标宋_GBK"/>
          <w:sz w:val="44"/>
          <w:szCs w:val="44"/>
        </w:rPr>
        <w:t>第三章 生态保护修复总体布局</w:t>
      </w:r>
      <w:bookmarkEnd w:id="92"/>
      <w:bookmarkEnd w:id="93"/>
      <w:bookmarkEnd w:id="94"/>
      <w:bookmarkEnd w:id="95"/>
    </w:p>
    <w:p>
      <w:pPr>
        <w:spacing w:before="312" w:beforeLines="100" w:after="156" w:afterLines="50" w:line="600" w:lineRule="exact"/>
        <w:ind w:firstLine="640" w:firstLineChars="200"/>
        <w:outlineLvl w:val="1"/>
        <w:rPr>
          <w:rFonts w:ascii="方正小标宋_GBK" w:hAnsi="方正小标宋_GBK" w:eastAsia="方正小标宋_GBK" w:cs="方正小标宋_GBK"/>
          <w:sz w:val="32"/>
          <w:szCs w:val="32"/>
        </w:rPr>
      </w:pPr>
      <w:bookmarkStart w:id="96" w:name="_Toc29825"/>
      <w:bookmarkStart w:id="97" w:name="_Toc25697"/>
      <w:bookmarkStart w:id="98" w:name="_Toc12240"/>
      <w:bookmarkStart w:id="99" w:name="_Toc26166"/>
      <w:r>
        <w:rPr>
          <w:rFonts w:hint="eastAsia" w:ascii="方正小标宋_GBK" w:hAnsi="方正小标宋_GBK" w:eastAsia="方正小标宋_GBK" w:cs="方正小标宋_GBK"/>
          <w:sz w:val="32"/>
          <w:szCs w:val="32"/>
        </w:rPr>
        <w:t>第一节 生态安全总体格局</w:t>
      </w:r>
      <w:bookmarkEnd w:id="96"/>
      <w:bookmarkEnd w:id="97"/>
      <w:bookmarkEnd w:id="98"/>
      <w:bookmarkEnd w:id="99"/>
    </w:p>
    <w:p>
      <w:pPr>
        <w:spacing w:line="60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依托黔江区山清水秀林茂的生态本底，统筹地形地貌、山水空间和生态资源，以自然保护地为重点，构建以灰千梁子生态屏为一屏，以阿蓬江生态带、郁江-九曲河生态带、诸佛江生态带为三带，以三塘盖水土保持生态功能区、八面山自然生态森林保护区、贾角山水源涵养生态功能区为三区，以贾角山、八面山、仰头山、正阳山、三塘盖、麒麟盖、五福岭、七浩岭、灰千梁子等山体为生态绿核的“一屏三带三区多绿核”生态安全格局。</w:t>
      </w:r>
    </w:p>
    <w:p>
      <w:pPr>
        <w:spacing w:line="600" w:lineRule="exact"/>
        <w:ind w:firstLine="640" w:firstLineChars="200"/>
        <w:rPr>
          <w:rFonts w:ascii="方正仿宋_GBK" w:hAnsi="方正仿宋_GBK" w:eastAsia="方正仿宋_GBK" w:cs="方正仿宋_GBK"/>
          <w:sz w:val="32"/>
          <w:szCs w:val="32"/>
        </w:rPr>
      </w:pPr>
      <w:r>
        <w:rPr>
          <w:rFonts w:hint="eastAsia" w:ascii="方正黑体_GBK" w:hAnsi="方正黑体_GBK" w:eastAsia="方正黑体_GBK" w:cs="方正黑体_GBK"/>
          <w:sz w:val="32"/>
          <w:szCs w:val="32"/>
        </w:rPr>
        <w:t>一屏。</w:t>
      </w:r>
      <w:r>
        <w:rPr>
          <w:rFonts w:hint="eastAsia" w:ascii="方正仿宋_GBK" w:hAnsi="方正仿宋_GBK" w:eastAsia="方正仿宋_GBK" w:cs="方正仿宋_GBK"/>
          <w:sz w:val="32"/>
          <w:szCs w:val="32"/>
        </w:rPr>
        <w:t>即灰千梁子生态屏。灰千梁子具有重要的生物多样性保护功能，区内</w:t>
      </w:r>
      <w:r>
        <w:rPr>
          <w:rFonts w:ascii="方正仿宋_GBK" w:hAnsi="方正仿宋_GBK" w:eastAsia="方正仿宋_GBK" w:cs="方正仿宋_GBK"/>
          <w:sz w:val="32"/>
          <w:szCs w:val="40"/>
        </w:rPr>
        <w:t>拥有地球同纬度保存最好的原始森林</w:t>
      </w:r>
      <w:r>
        <w:rPr>
          <w:rFonts w:hint="eastAsia" w:ascii="方正仿宋_GBK" w:hAnsi="方正仿宋_GBK" w:eastAsia="方正仿宋_GBK" w:cs="方正仿宋_GBK"/>
          <w:sz w:val="32"/>
          <w:szCs w:val="40"/>
        </w:rPr>
        <w:t>，</w:t>
      </w:r>
      <w:r>
        <w:rPr>
          <w:rFonts w:hint="eastAsia" w:ascii="Times New Roman" w:hAnsi="Times New Roman" w:eastAsia="方正仿宋_GBK" w:cs="Times New Roman"/>
          <w:sz w:val="32"/>
          <w:szCs w:val="32"/>
        </w:rPr>
        <w:t>有乔木</w:t>
      </w:r>
      <w:r>
        <w:rPr>
          <w:rFonts w:ascii="Times New Roman" w:hAnsi="Times New Roman" w:eastAsia="方正仿宋_GBK" w:cs="Times New Roman"/>
          <w:sz w:val="32"/>
          <w:szCs w:val="32"/>
        </w:rPr>
        <w:t>100</w:t>
      </w:r>
      <w:r>
        <w:rPr>
          <w:rFonts w:hint="eastAsia" w:ascii="Times New Roman" w:hAnsi="Times New Roman" w:eastAsia="方正仿宋_GBK" w:cs="Times New Roman"/>
          <w:sz w:val="32"/>
          <w:szCs w:val="32"/>
        </w:rPr>
        <w:t>种，其中属国家一、二级保护的名贵树种达</w:t>
      </w:r>
      <w:r>
        <w:rPr>
          <w:rFonts w:ascii="Times New Roman" w:hAnsi="Times New Roman" w:eastAsia="方正仿宋_GBK" w:cs="Times New Roman"/>
          <w:sz w:val="32"/>
          <w:szCs w:val="32"/>
        </w:rPr>
        <w:t>20</w:t>
      </w:r>
      <w:r>
        <w:rPr>
          <w:rFonts w:hint="eastAsia" w:ascii="Times New Roman" w:hAnsi="Times New Roman" w:eastAsia="方正仿宋_GBK" w:cs="Times New Roman"/>
          <w:sz w:val="32"/>
          <w:szCs w:val="32"/>
        </w:rPr>
        <w:t>多种。林内有野生动物近</w:t>
      </w:r>
      <w:r>
        <w:rPr>
          <w:rFonts w:ascii="Times New Roman" w:hAnsi="Times New Roman" w:eastAsia="方正仿宋_GBK" w:cs="Times New Roman"/>
          <w:sz w:val="32"/>
          <w:szCs w:val="32"/>
        </w:rPr>
        <w:t>200</w:t>
      </w:r>
      <w:r>
        <w:rPr>
          <w:rFonts w:hint="eastAsia" w:ascii="Times New Roman" w:hAnsi="Times New Roman" w:eastAsia="方正仿宋_GBK" w:cs="Times New Roman"/>
          <w:sz w:val="32"/>
          <w:szCs w:val="32"/>
        </w:rPr>
        <w:t>种，其中属国家一、二级重点保护的野生动物达</w:t>
      </w:r>
      <w:r>
        <w:rPr>
          <w:rFonts w:ascii="Times New Roman" w:hAnsi="Times New Roman" w:eastAsia="方正仿宋_GBK" w:cs="Times New Roman"/>
          <w:sz w:val="32"/>
          <w:szCs w:val="32"/>
        </w:rPr>
        <w:t>40</w:t>
      </w:r>
      <w:r>
        <w:rPr>
          <w:rFonts w:hint="eastAsia" w:ascii="Times New Roman" w:hAnsi="Times New Roman" w:eastAsia="方正仿宋_GBK" w:cs="Times New Roman"/>
          <w:sz w:val="32"/>
          <w:szCs w:val="32"/>
        </w:rPr>
        <w:t>多种。全区海拔最高点即位于灰千梁子主峰——大灰千梁，海拔高</w:t>
      </w:r>
      <w:r>
        <w:rPr>
          <w:rFonts w:ascii="Times New Roman" w:hAnsi="Times New Roman" w:eastAsia="方正仿宋_GBK" w:cs="Times New Roman"/>
          <w:sz w:val="32"/>
          <w:szCs w:val="32"/>
        </w:rPr>
        <w:t>1938.5</w:t>
      </w:r>
      <w:r>
        <w:rPr>
          <w:rFonts w:hint="eastAsia" w:ascii="Times New Roman" w:hAnsi="Times New Roman" w:eastAsia="方正仿宋_GBK" w:cs="Times New Roman"/>
          <w:sz w:val="32"/>
          <w:szCs w:val="32"/>
        </w:rPr>
        <w:t>米。</w:t>
      </w:r>
    </w:p>
    <w:p>
      <w:pPr>
        <w:spacing w:line="600" w:lineRule="exact"/>
        <w:ind w:firstLine="640" w:firstLineChars="200"/>
        <w:rPr>
          <w:rFonts w:ascii="Times New Roman" w:hAnsi="Times New Roman" w:eastAsia="方正仿宋_GBK" w:cs="Times New Roman"/>
          <w:sz w:val="32"/>
          <w:szCs w:val="32"/>
        </w:rPr>
      </w:pPr>
      <w:r>
        <w:rPr>
          <w:rFonts w:hint="eastAsia" w:ascii="方正黑体_GBK" w:hAnsi="方正黑体_GBK" w:eastAsia="方正黑体_GBK" w:cs="方正黑体_GBK"/>
          <w:sz w:val="32"/>
          <w:szCs w:val="32"/>
        </w:rPr>
        <w:t>三带。</w:t>
      </w:r>
      <w:r>
        <w:rPr>
          <w:rFonts w:hint="eastAsia" w:ascii="Times New Roman" w:hAnsi="Times New Roman" w:eastAsia="方正仿宋_GBK" w:cs="Times New Roman"/>
          <w:sz w:val="32"/>
          <w:szCs w:val="32"/>
        </w:rPr>
        <w:t>即</w:t>
      </w:r>
      <w:r>
        <w:rPr>
          <w:rFonts w:ascii="Times New Roman" w:hAnsi="Times New Roman" w:eastAsia="方正仿宋_GBK" w:cs="Times New Roman"/>
          <w:sz w:val="32"/>
          <w:szCs w:val="32"/>
        </w:rPr>
        <w:t>阿蓬江生态带、郁江-九曲河生态带、诸佛江生态带</w:t>
      </w:r>
      <w:r>
        <w:rPr>
          <w:rFonts w:hint="eastAsia" w:ascii="Times New Roman" w:hAnsi="Times New Roman" w:eastAsia="方正仿宋_GBK" w:cs="Times New Roman"/>
          <w:sz w:val="32"/>
          <w:szCs w:val="32"/>
        </w:rPr>
        <w:t>。阿蓬江生态带含阿蓬江流域和黔江流域，其中阿蓬江为黔江第一大河，流域面积为5585平方公里，河长249公里，其中黔江区境内河长 90公里。郁江-九曲河生态带位于全区西北部，生态带内的郁江为乌江右岸一级支流，河长170公里，全流域面积4600平方公里。诸佛江生态带有发源于黔江区新华乡境内的诸佛江，全流域面积760.40平方公里，干流长59.9公里，其中境内面积 146 平方公里，境内河长15.5公里。</w:t>
      </w:r>
    </w:p>
    <w:p>
      <w:pPr>
        <w:spacing w:line="600" w:lineRule="exact"/>
        <w:ind w:firstLine="640" w:firstLineChars="200"/>
        <w:rPr>
          <w:rFonts w:ascii="Times New Roman" w:hAnsi="Times New Roman" w:eastAsia="方正仿宋_GBK" w:cs="Times New Roman"/>
          <w:sz w:val="32"/>
          <w:szCs w:val="32"/>
        </w:rPr>
      </w:pPr>
      <w:r>
        <w:rPr>
          <w:rFonts w:hint="eastAsia" w:ascii="方正黑体_GBK" w:hAnsi="方正黑体_GBK" w:eastAsia="方正黑体_GBK" w:cs="方正黑体_GBK"/>
          <w:sz w:val="32"/>
          <w:szCs w:val="32"/>
        </w:rPr>
        <w:t>三区。</w:t>
      </w:r>
      <w:r>
        <w:rPr>
          <w:rFonts w:hint="eastAsia" w:ascii="Times New Roman" w:hAnsi="Times New Roman" w:eastAsia="方正仿宋_GBK" w:cs="Times New Roman"/>
          <w:sz w:val="32"/>
          <w:szCs w:val="32"/>
        </w:rPr>
        <w:t>三塘盖水土保持生态功能区、八面山自然生态森林保护区、贾角山水源涵养生态功能区。三塘盖水土保持生态功能区是重要的农田保护区域，区内的三塘盖平均海拔在1400米左右，最高海拔1500多米，夏天气温在23摄氏度左右。八面山自然生态森林保护区包含了八面山、仰头山、小南海国际地质公园等区域，是重要的生态森林保护区域，区内八面山面积30平方公里，最高处钟顶山海拔1720米。贾角山水源涵养生态功能区以贾角山为核心，涵盖了郁江-九曲河流域，区内水资源、农田资源丰富。</w:t>
      </w:r>
    </w:p>
    <w:p>
      <w:pPr>
        <w:spacing w:line="600" w:lineRule="exact"/>
        <w:ind w:firstLine="640" w:firstLineChars="200"/>
        <w:rPr>
          <w:rFonts w:ascii="Times New Roman" w:hAnsi="Times New Roman" w:eastAsia="方正仿宋_GBK" w:cs="Times New Roman"/>
          <w:sz w:val="32"/>
          <w:szCs w:val="32"/>
        </w:rPr>
      </w:pPr>
      <w:r>
        <w:rPr>
          <w:rFonts w:hint="eastAsia" w:ascii="方正黑体_GBK" w:hAnsi="方正黑体_GBK" w:eastAsia="方正黑体_GBK" w:cs="方正黑体_GBK"/>
          <w:sz w:val="32"/>
          <w:szCs w:val="32"/>
        </w:rPr>
        <w:t>多绿核。</w:t>
      </w:r>
      <w:r>
        <w:rPr>
          <w:rFonts w:hint="eastAsia" w:ascii="方正仿宋_GBK" w:hAnsi="方正仿宋_GBK" w:eastAsia="方正仿宋_GBK" w:cs="方正仿宋_GBK"/>
          <w:sz w:val="32"/>
          <w:szCs w:val="32"/>
        </w:rPr>
        <w:t>即由贾角山、八面山、仰头山、正阳山、三塘盖、麒麟盖、五福岭、七浩岭、灰千梁子等山体构成的生态绿核。</w:t>
      </w:r>
    </w:p>
    <w:p>
      <w:pPr>
        <w:spacing w:before="312" w:beforeLines="100" w:after="156" w:afterLines="50" w:line="600" w:lineRule="exact"/>
        <w:ind w:firstLine="640" w:firstLineChars="200"/>
        <w:outlineLvl w:val="1"/>
        <w:rPr>
          <w:rFonts w:ascii="方正小标宋_GBK" w:hAnsi="方正小标宋_GBK" w:eastAsia="方正小标宋_GBK" w:cs="方正小标宋_GBK"/>
          <w:sz w:val="32"/>
          <w:szCs w:val="32"/>
        </w:rPr>
      </w:pPr>
      <w:bookmarkStart w:id="100" w:name="_Toc7572"/>
      <w:bookmarkStart w:id="101" w:name="_Toc8422"/>
      <w:bookmarkStart w:id="102" w:name="_Toc15393"/>
      <w:bookmarkStart w:id="103" w:name="_Toc15998"/>
      <w:r>
        <w:rPr>
          <w:rFonts w:hint="eastAsia" w:ascii="方正小标宋_GBK" w:hAnsi="方正小标宋_GBK" w:eastAsia="方正小标宋_GBK" w:cs="方正小标宋_GBK"/>
          <w:sz w:val="32"/>
          <w:szCs w:val="32"/>
        </w:rPr>
        <w:t>第二节 生态保护修复分区</w:t>
      </w:r>
      <w:bookmarkEnd w:id="100"/>
      <w:bookmarkEnd w:id="101"/>
      <w:bookmarkEnd w:id="102"/>
      <w:bookmarkEnd w:id="103"/>
    </w:p>
    <w:p>
      <w:pPr>
        <w:pStyle w:val="2"/>
        <w:ind w:firstLine="640" w:firstLineChars="200"/>
        <w:rPr>
          <w:rStyle w:val="26"/>
        </w:rPr>
      </w:pPr>
      <w:bookmarkStart w:id="104" w:name="_Toc86676508"/>
      <w:bookmarkStart w:id="105" w:name="_Toc81474975"/>
      <w:bookmarkStart w:id="106" w:name="_Toc82622343"/>
      <w:bookmarkStart w:id="107" w:name="_Toc82622513"/>
      <w:bookmarkStart w:id="108" w:name="_Toc89966318"/>
      <w:bookmarkStart w:id="109" w:name="_Toc87797830"/>
      <w:bookmarkStart w:id="110" w:name="_Toc12812"/>
      <w:bookmarkStart w:id="111" w:name="_Toc87889518"/>
      <w:r>
        <w:rPr>
          <w:rFonts w:hint="eastAsia" w:ascii="方正仿宋_GBK" w:hAnsi="方正仿宋_GBK" w:eastAsia="方正仿宋_GBK" w:cs="方正仿宋_GBK"/>
          <w:sz w:val="32"/>
          <w:szCs w:val="32"/>
        </w:rPr>
        <w:t>以地形地貌、流域分区等自然地理格局为基础，以“一屏三带三区多绿核”生态安全格局为指导，系统考虑区域自然地理特征的相似性和一致性，衔接生态保护红线、永久基本农田保护红线、城镇开发边界等空间管控要素，根据主导生态系统和生态功能类型，划定黔江河城市品质提升区、阿蓬江-灰千梁生态屏障区、小南海水源涵养与生物多样性保护区、郁江-九曲河农业生态提升区、黔西乡村人居环境品质提升区5个生态保护修复分区。</w:t>
      </w:r>
    </w:p>
    <w:p>
      <w:pPr>
        <w:pStyle w:val="6"/>
        <w:adjustRightInd w:val="0"/>
        <w:snapToGrid w:val="0"/>
        <w:spacing w:before="0" w:after="0" w:line="600" w:lineRule="exact"/>
        <w:ind w:firstLine="707" w:firstLineChars="221"/>
        <w:rPr>
          <w:rFonts w:ascii="方正黑体_GBK" w:hAnsi="方正黑体_GBK" w:eastAsia="方正黑体_GBK" w:cs="方正黑体_GBK"/>
          <w:b w:val="0"/>
        </w:rPr>
      </w:pPr>
      <w:bookmarkStart w:id="112" w:name="_Toc21967"/>
      <w:bookmarkStart w:id="113" w:name="_Toc24891"/>
      <w:bookmarkStart w:id="114" w:name="_Toc27254"/>
      <w:bookmarkStart w:id="115" w:name="_Toc26110"/>
      <w:bookmarkStart w:id="116" w:name="_Toc10415"/>
      <w:r>
        <w:rPr>
          <w:rFonts w:hint="eastAsia" w:ascii="方正黑体_GBK" w:hAnsi="方正黑体_GBK" w:eastAsia="方正黑体_GBK" w:cs="方正黑体_GBK"/>
          <w:b w:val="0"/>
        </w:rPr>
        <w:t>一、黔江河城市品质提升区</w:t>
      </w:r>
      <w:bookmarkEnd w:id="112"/>
      <w:bookmarkEnd w:id="113"/>
      <w:bookmarkEnd w:id="114"/>
      <w:bookmarkEnd w:id="115"/>
      <w:bookmarkEnd w:id="116"/>
    </w:p>
    <w:p>
      <w:pPr>
        <w:spacing w:line="600" w:lineRule="exact"/>
        <w:ind w:firstLine="640" w:firstLineChars="200"/>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生态现状。</w:t>
      </w:r>
      <w:r>
        <w:rPr>
          <w:rFonts w:hint="eastAsia" w:ascii="方正仿宋_GBK" w:hAnsi="方正仿宋_GBK" w:eastAsia="方正仿宋_GBK" w:cs="方正仿宋_GBK"/>
          <w:sz w:val="32"/>
          <w:szCs w:val="32"/>
        </w:rPr>
        <w:t>该区域位于黔江区城区，</w:t>
      </w:r>
      <w:r>
        <w:rPr>
          <w:rFonts w:ascii="Times New Roman" w:hAnsi="Times New Roman" w:eastAsia="方正仿宋_GBK" w:cs="Times New Roman"/>
          <w:sz w:val="32"/>
          <w:szCs w:val="32"/>
        </w:rPr>
        <w:t>涉及</w:t>
      </w:r>
      <w:r>
        <w:rPr>
          <w:rFonts w:hint="eastAsia" w:ascii="Times New Roman" w:hAnsi="Times New Roman" w:eastAsia="方正仿宋_GBK" w:cs="Times New Roman"/>
          <w:sz w:val="32"/>
          <w:szCs w:val="32"/>
        </w:rPr>
        <w:t>城东街道、城南街道、城西街道、舟白街道、正阳街道、冯家街道</w:t>
      </w:r>
      <w:r>
        <w:rPr>
          <w:rFonts w:ascii="Times New Roman" w:hAnsi="Times New Roman" w:eastAsia="方正仿宋_GBK" w:cs="Times New Roman"/>
          <w:sz w:val="32"/>
          <w:szCs w:val="32"/>
        </w:rPr>
        <w:t>等</w:t>
      </w:r>
      <w:r>
        <w:rPr>
          <w:rFonts w:hint="eastAsia" w:ascii="Times New Roman" w:hAnsi="Times New Roman" w:eastAsia="方正仿宋_GBK" w:cs="Times New Roman"/>
          <w:sz w:val="32"/>
          <w:szCs w:val="32"/>
        </w:rPr>
        <w:t>6</w:t>
      </w:r>
      <w:r>
        <w:rPr>
          <w:rFonts w:ascii="Times New Roman" w:hAnsi="Times New Roman" w:eastAsia="方正仿宋_GBK" w:cs="Times New Roman"/>
          <w:sz w:val="32"/>
          <w:szCs w:val="32"/>
        </w:rPr>
        <w:t>个</w:t>
      </w:r>
      <w:r>
        <w:rPr>
          <w:rFonts w:hint="eastAsia" w:ascii="Times New Roman" w:hAnsi="Times New Roman" w:eastAsia="方正仿宋_GBK" w:cs="Times New Roman"/>
          <w:sz w:val="32"/>
          <w:szCs w:val="32"/>
        </w:rPr>
        <w:t>街道</w:t>
      </w:r>
      <w:r>
        <w:rPr>
          <w:rFonts w:ascii="Times New Roman" w:hAnsi="Times New Roman" w:eastAsia="方正仿宋_GBK" w:cs="Times New Roman"/>
          <w:sz w:val="32"/>
          <w:szCs w:val="32"/>
        </w:rPr>
        <w:t>，总面积</w:t>
      </w:r>
      <w:r>
        <w:rPr>
          <w:rFonts w:hint="eastAsia" w:ascii="Times New Roman" w:hAnsi="Times New Roman" w:eastAsia="方正仿宋_GBK" w:cs="Times New Roman"/>
          <w:sz w:val="32"/>
          <w:szCs w:val="32"/>
        </w:rPr>
        <w:t>387</w:t>
      </w:r>
      <w:r>
        <w:rPr>
          <w:rFonts w:ascii="Times New Roman" w:hAnsi="Times New Roman" w:eastAsia="方正仿宋_GBK" w:cs="Times New Roman"/>
          <w:sz w:val="32"/>
          <w:szCs w:val="32"/>
        </w:rPr>
        <w:t>平方公里。区域</w:t>
      </w:r>
      <w:r>
        <w:rPr>
          <w:rFonts w:hint="eastAsia" w:ascii="Times New Roman" w:hAnsi="Times New Roman" w:eastAsia="方正仿宋_GBK" w:cs="Times New Roman"/>
          <w:sz w:val="32"/>
          <w:szCs w:val="32"/>
        </w:rPr>
        <w:t>属于典型的城市生态系统，城市开发边界面积40平方公里，占全区城镇开发边界面积的87%。该区域是全区人口最为集中、</w:t>
      </w:r>
      <w:r>
        <w:rPr>
          <w:rFonts w:hint="eastAsia" w:ascii="方正仿宋_GBK" w:hAnsi="方正仿宋_GBK" w:eastAsia="方正仿宋_GBK" w:cs="方正仿宋_GBK"/>
          <w:sz w:val="32"/>
          <w:szCs w:val="32"/>
        </w:rPr>
        <w:t>开发强度最大、经济活动最为密集的区域，也是城市化发展重点区域。目前，该区域主要存</w:t>
      </w:r>
      <w:r>
        <w:rPr>
          <w:rFonts w:hint="eastAsia" w:ascii="Times New Roman" w:hAnsi="Times New Roman" w:eastAsia="方正仿宋_GBK" w:cs="Times New Roman"/>
          <w:sz w:val="32"/>
          <w:szCs w:val="32"/>
        </w:rPr>
        <w:t>在地质灾害、防洪保安体系薄弱、水土流失、未治理矿山、水环境质量质量保持难度大等生态问题。</w:t>
      </w:r>
    </w:p>
    <w:p>
      <w:pPr>
        <w:spacing w:line="600" w:lineRule="exact"/>
        <w:ind w:firstLine="640" w:firstLineChars="200"/>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主攻方向。</w:t>
      </w:r>
      <w:r>
        <w:rPr>
          <w:rFonts w:hint="eastAsia" w:ascii="方正仿宋_GBK" w:hAnsi="方正仿宋_GBK" w:eastAsia="方正仿宋_GBK" w:cs="方正仿宋_GBK"/>
          <w:sz w:val="32"/>
          <w:szCs w:val="32"/>
        </w:rPr>
        <w:t>以打造“中国峡谷城·武陵会客厅”为引领，大力推进海绵城市建设、公园城市建设和城市绿地系统完善，协调“水、岸、城”关系，着力打造</w:t>
      </w:r>
      <w:r>
        <w:rPr>
          <w:rFonts w:eastAsia="方正仿宋_GBK"/>
          <w:sz w:val="32"/>
          <w:szCs w:val="32"/>
        </w:rPr>
        <w:t>功能完善、景观优美的生态宜居城市。</w:t>
      </w:r>
      <w:r>
        <w:rPr>
          <w:rFonts w:hint="eastAsia" w:eastAsia="方正仿宋_GBK"/>
          <w:sz w:val="32"/>
          <w:szCs w:val="32"/>
        </w:rPr>
        <w:t>强化区域地质灾害防治和水土流失治理。加强黔江河、阿蓬江、公园水体等河湖水环境治理和防洪体系建设，</w:t>
      </w:r>
      <w:r>
        <w:rPr>
          <w:rFonts w:hint="eastAsia" w:ascii="方正仿宋_GBK" w:hAnsi="方正仿宋_GBK" w:eastAsia="方正仿宋_GBK" w:cs="方正仿宋_GBK"/>
          <w:sz w:val="32"/>
          <w:szCs w:val="32"/>
        </w:rPr>
        <w:t>恢复城市生态系统的自我调节功能，有效提升城市生态系统健康和城市生态品质。</w:t>
      </w:r>
    </w:p>
    <w:p>
      <w:pPr>
        <w:pStyle w:val="6"/>
        <w:adjustRightInd w:val="0"/>
        <w:snapToGrid w:val="0"/>
        <w:spacing w:before="0" w:after="0" w:line="600" w:lineRule="exact"/>
        <w:ind w:firstLine="707" w:firstLineChars="221"/>
        <w:rPr>
          <w:rFonts w:ascii="方正黑体_GBK" w:hAnsi="方正黑体_GBK" w:eastAsia="方正黑体_GBK" w:cs="方正黑体_GBK"/>
          <w:b w:val="0"/>
        </w:rPr>
      </w:pPr>
      <w:bookmarkStart w:id="117" w:name="_Toc22540"/>
      <w:bookmarkStart w:id="118" w:name="_Toc12645"/>
      <w:bookmarkStart w:id="119" w:name="_Toc10680"/>
      <w:bookmarkStart w:id="120" w:name="_Toc20895"/>
      <w:bookmarkStart w:id="121" w:name="_Toc32585"/>
      <w:r>
        <w:rPr>
          <w:rFonts w:hint="eastAsia" w:ascii="方正黑体_GBK" w:hAnsi="方正黑体_GBK" w:eastAsia="方正黑体_GBK" w:cs="方正黑体_GBK"/>
          <w:b w:val="0"/>
        </w:rPr>
        <w:t>二、阿蓬江-灰千梁生态屏障区</w:t>
      </w:r>
      <w:bookmarkEnd w:id="117"/>
      <w:bookmarkEnd w:id="118"/>
      <w:bookmarkEnd w:id="119"/>
      <w:bookmarkEnd w:id="120"/>
      <w:bookmarkEnd w:id="121"/>
    </w:p>
    <w:p>
      <w:pPr>
        <w:spacing w:line="600" w:lineRule="exact"/>
        <w:ind w:firstLine="640" w:firstLineChars="200"/>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生态现状。</w:t>
      </w:r>
      <w:r>
        <w:rPr>
          <w:rFonts w:hint="eastAsia" w:ascii="方正仿宋_GBK" w:hAnsi="方正仿宋_GBK" w:eastAsia="方正仿宋_GBK" w:cs="方正仿宋_GBK"/>
          <w:sz w:val="32"/>
          <w:szCs w:val="32"/>
        </w:rPr>
        <w:t>该区域位于黔江区东部，</w:t>
      </w:r>
      <w:r>
        <w:rPr>
          <w:rFonts w:ascii="Times New Roman" w:hAnsi="Times New Roman" w:eastAsia="方正仿宋_GBK" w:cs="Times New Roman"/>
          <w:sz w:val="32"/>
          <w:szCs w:val="32"/>
        </w:rPr>
        <w:t>涉及</w:t>
      </w:r>
      <w:r>
        <w:rPr>
          <w:rFonts w:hint="eastAsia" w:ascii="Times New Roman" w:hAnsi="Times New Roman" w:eastAsia="方正仿宋_GBK" w:cs="Times New Roman"/>
          <w:sz w:val="32"/>
          <w:szCs w:val="32"/>
        </w:rPr>
        <w:t>邻鄂镇、阿蓬江镇、马喇镇、濯水镇、五里镇、蓬东乡、金洞乡</w:t>
      </w:r>
      <w:r>
        <w:rPr>
          <w:rFonts w:ascii="Times New Roman" w:hAnsi="Times New Roman" w:eastAsia="方正仿宋_GBK" w:cs="Times New Roman"/>
          <w:sz w:val="32"/>
          <w:szCs w:val="32"/>
        </w:rPr>
        <w:t>等</w:t>
      </w:r>
      <w:r>
        <w:rPr>
          <w:rFonts w:hint="eastAsia" w:ascii="Times New Roman" w:hAnsi="Times New Roman" w:eastAsia="方正仿宋_GBK" w:cs="Times New Roman"/>
          <w:sz w:val="32"/>
          <w:szCs w:val="32"/>
        </w:rPr>
        <w:t>7个镇和马喇林场</w:t>
      </w:r>
      <w:r>
        <w:rPr>
          <w:rFonts w:ascii="Times New Roman" w:hAnsi="Times New Roman" w:eastAsia="方正仿宋_GBK" w:cs="Times New Roman"/>
          <w:sz w:val="32"/>
          <w:szCs w:val="32"/>
        </w:rPr>
        <w:t>，总面积</w:t>
      </w:r>
      <w:r>
        <w:rPr>
          <w:rFonts w:hint="eastAsia" w:ascii="Times New Roman" w:hAnsi="Times New Roman" w:eastAsia="方正仿宋_GBK" w:cs="Times New Roman"/>
          <w:sz w:val="32"/>
          <w:szCs w:val="32"/>
        </w:rPr>
        <w:t>630</w:t>
      </w:r>
      <w:r>
        <w:rPr>
          <w:rFonts w:ascii="Times New Roman" w:hAnsi="Times New Roman" w:eastAsia="方正仿宋_GBK" w:cs="Times New Roman"/>
          <w:sz w:val="32"/>
          <w:szCs w:val="32"/>
        </w:rPr>
        <w:t>平方公里。区域</w:t>
      </w:r>
      <w:r>
        <w:rPr>
          <w:rFonts w:hint="eastAsia" w:ascii="Times New Roman" w:hAnsi="Times New Roman" w:eastAsia="方正仿宋_GBK" w:cs="Times New Roman"/>
          <w:sz w:val="32"/>
          <w:szCs w:val="32"/>
        </w:rPr>
        <w:t>属于典型的山地生态系统，生态保护红线面积198平方公里。区域内有全区面积最大的原始森林—灰千梁子，还有重庆黔江阿蓬江国家湿地自然公园。其中灰千梁子面积近百平方公里，最高峰大灰千梁海拔1938.5米，</w:t>
      </w:r>
      <w:r>
        <w:rPr>
          <w:rFonts w:hint="eastAsia" w:ascii="方正仿宋_GBK" w:hAnsi="方正仿宋_GBK" w:eastAsia="方正仿宋_GBK" w:cs="方正仿宋_GBK"/>
          <w:sz w:val="32"/>
          <w:szCs w:val="32"/>
        </w:rPr>
        <w:t>夏季室外最</w:t>
      </w:r>
      <w:r>
        <w:rPr>
          <w:rFonts w:ascii="Times New Roman" w:hAnsi="Times New Roman" w:eastAsia="方正仿宋_GBK" w:cs="Times New Roman"/>
          <w:sz w:val="32"/>
          <w:szCs w:val="32"/>
        </w:rPr>
        <w:t>高气温29℃左右，年平均气温约11℃左右，</w:t>
      </w:r>
      <w:r>
        <w:rPr>
          <w:rFonts w:hint="eastAsia" w:ascii="方正仿宋_GBK" w:hAnsi="方正仿宋_GBK" w:eastAsia="方正仿宋_GBK" w:cs="方正仿宋_GBK"/>
          <w:sz w:val="32"/>
          <w:szCs w:val="32"/>
        </w:rPr>
        <w:t>拥有“中国最美森林氧吧”的称号。目前，该区域主</w:t>
      </w:r>
      <w:r>
        <w:rPr>
          <w:rFonts w:hint="eastAsia" w:ascii="Times New Roman" w:hAnsi="Times New Roman" w:eastAsia="方正仿宋_GBK" w:cs="Times New Roman"/>
          <w:sz w:val="32"/>
          <w:szCs w:val="32"/>
        </w:rPr>
        <w:t>要存在地质灾害、石漠化、未治理矿山、水土流失等生态问题。</w:t>
      </w:r>
    </w:p>
    <w:p>
      <w:pPr>
        <w:spacing w:line="600" w:lineRule="exact"/>
        <w:ind w:firstLine="640" w:firstLineChars="200"/>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主攻方向。</w:t>
      </w:r>
      <w:r>
        <w:rPr>
          <w:rFonts w:hint="eastAsia" w:ascii="方正仿宋_GBK" w:hAnsi="方正仿宋_GBK" w:eastAsia="方正仿宋_GBK" w:cs="方正仿宋_GBK"/>
          <w:sz w:val="32"/>
          <w:szCs w:val="32"/>
        </w:rPr>
        <w:t>以筑牢灰千梁子生态屏障为导向，重点突出森林质量精准提升、生物多样性保护、流域综合治理、水土流失治理、矿山治理与石漠化修复等保护修复工作。加强重要生态空间保护，严格保护灰千梁子原始生态区、</w:t>
      </w:r>
      <w:r>
        <w:rPr>
          <w:rFonts w:hint="eastAsia" w:ascii="Times New Roman" w:hAnsi="Times New Roman" w:eastAsia="方正仿宋_GBK" w:cs="Times New Roman"/>
          <w:sz w:val="32"/>
          <w:szCs w:val="32"/>
        </w:rPr>
        <w:t>重庆黔江阿蓬江国家湿地自然公园等，利用灰千梁子、阿蓬江等重点山脉、河流，连通山水廊道，构建生物多样性保护网络。加强阿蓬江流域综合治理，完善生态水网体系，盘活城市河流水体，提升流域生态环境。</w:t>
      </w:r>
      <w:r>
        <w:rPr>
          <w:rFonts w:hint="eastAsia" w:ascii="方正仿宋_GBK" w:hAnsi="方正仿宋_GBK" w:eastAsia="方正仿宋_GBK" w:cs="方正仿宋_GBK"/>
          <w:sz w:val="32"/>
          <w:szCs w:val="32"/>
        </w:rPr>
        <w:t>开展水土流失综合治理和石漠化修复，重点开展山麓水土流失强烈侵蚀地区的综合治理，加强灰千梁子水土流失重点预防。</w:t>
      </w:r>
    </w:p>
    <w:p>
      <w:pPr>
        <w:pStyle w:val="6"/>
        <w:keepNext w:val="0"/>
        <w:keepLines w:val="0"/>
        <w:adjustRightInd w:val="0"/>
        <w:snapToGrid w:val="0"/>
        <w:spacing w:before="0" w:after="0" w:line="600" w:lineRule="exact"/>
        <w:ind w:firstLine="707" w:firstLineChars="221"/>
        <w:rPr>
          <w:rFonts w:ascii="方正黑体_GBK" w:hAnsi="方正黑体_GBK" w:eastAsia="方正黑体_GBK" w:cs="方正黑体_GBK"/>
          <w:b w:val="0"/>
        </w:rPr>
      </w:pPr>
      <w:bookmarkStart w:id="122" w:name="_Toc7099"/>
      <w:bookmarkStart w:id="123" w:name="_Toc26587"/>
      <w:bookmarkStart w:id="124" w:name="_Toc11298"/>
      <w:bookmarkStart w:id="125" w:name="_Toc22759"/>
      <w:bookmarkStart w:id="126" w:name="_Toc3305"/>
      <w:r>
        <w:rPr>
          <w:rFonts w:hint="eastAsia" w:ascii="方正黑体_GBK" w:hAnsi="方正黑体_GBK" w:eastAsia="方正黑体_GBK" w:cs="方正黑体_GBK"/>
          <w:b w:val="0"/>
        </w:rPr>
        <w:t>三、小南海水源涵养与生物多样性保护区</w:t>
      </w:r>
      <w:bookmarkEnd w:id="122"/>
      <w:bookmarkEnd w:id="123"/>
      <w:bookmarkEnd w:id="124"/>
      <w:bookmarkEnd w:id="125"/>
      <w:bookmarkEnd w:id="126"/>
    </w:p>
    <w:p>
      <w:pPr>
        <w:spacing w:line="600" w:lineRule="exact"/>
        <w:ind w:firstLine="640" w:firstLineChars="200"/>
        <w:rPr>
          <w:rFonts w:ascii="Times New Roman" w:hAnsi="Times New Roman" w:eastAsia="方正仿宋_GBK" w:cs="Times New Roman"/>
          <w:sz w:val="32"/>
          <w:szCs w:val="32"/>
        </w:rPr>
      </w:pPr>
      <w:r>
        <w:rPr>
          <w:rFonts w:hint="eastAsia" w:ascii="方正楷体_GBK" w:hAnsi="方正楷体_GBK" w:eastAsia="方正楷体_GBK" w:cs="方正楷体_GBK"/>
          <w:sz w:val="32"/>
          <w:szCs w:val="32"/>
        </w:rPr>
        <w:t>生态现状。</w:t>
      </w:r>
      <w:r>
        <w:rPr>
          <w:rFonts w:hint="eastAsia" w:ascii="方正仿宋_GBK" w:hAnsi="方正仿宋_GBK" w:eastAsia="方正仿宋_GBK" w:cs="方正仿宋_GBK"/>
          <w:sz w:val="32"/>
          <w:szCs w:val="32"/>
        </w:rPr>
        <w:t>该区域位于黔江区东北部，</w:t>
      </w:r>
      <w:r>
        <w:rPr>
          <w:rFonts w:ascii="Times New Roman" w:hAnsi="Times New Roman" w:eastAsia="方正仿宋_GBK" w:cs="Times New Roman"/>
          <w:sz w:val="32"/>
          <w:szCs w:val="32"/>
        </w:rPr>
        <w:t>涉及小南海镇、石会镇、中塘镇</w:t>
      </w:r>
      <w:r>
        <w:rPr>
          <w:rFonts w:hint="eastAsia" w:ascii="Times New Roman" w:hAnsi="Times New Roman" w:eastAsia="方正仿宋_GBK" w:cs="Times New Roman"/>
          <w:sz w:val="32"/>
          <w:szCs w:val="32"/>
        </w:rPr>
        <w:t>等3个镇，总面积335平方公里。该区域是全区重要的水源涵养和生物多样性保护地，近55%的面积划入了生态保护红线，生态系统生态修复恢复力较高。区域内有文汇河、段溪河，以及全区唯一山间淡水湖泊—小南海，还有重庆黔江武陵仙山国家森林自然公园、重庆黔江仰头山市级森林自然公园、重庆黔江小南海国家地质自然公园等自然保护地，生态功能极为重要。目前，该区域主要存</w:t>
      </w:r>
      <w:r>
        <w:rPr>
          <w:rFonts w:ascii="Times New Roman" w:hAnsi="Times New Roman" w:eastAsia="方正仿宋_GBK" w:cs="Times New Roman"/>
          <w:sz w:val="32"/>
          <w:szCs w:val="32"/>
        </w:rPr>
        <w:t>在</w:t>
      </w:r>
      <w:r>
        <w:rPr>
          <w:rFonts w:hint="eastAsia" w:ascii="Times New Roman" w:hAnsi="Times New Roman" w:eastAsia="方正仿宋_GBK" w:cs="Times New Roman"/>
          <w:sz w:val="32"/>
          <w:szCs w:val="32"/>
        </w:rPr>
        <w:t>防洪保安体系薄弱、水环境质量保持难度大</w:t>
      </w:r>
      <w:r>
        <w:rPr>
          <w:rFonts w:ascii="Times New Roman" w:hAnsi="Times New Roman" w:eastAsia="方正仿宋_GBK" w:cs="Times New Roman"/>
          <w:sz w:val="32"/>
          <w:szCs w:val="32"/>
        </w:rPr>
        <w:t>等生态问题。</w:t>
      </w:r>
    </w:p>
    <w:p>
      <w:pPr>
        <w:spacing w:line="600" w:lineRule="exact"/>
        <w:ind w:firstLine="640" w:firstLineChars="200"/>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主攻方向。</w:t>
      </w:r>
      <w:r>
        <w:rPr>
          <w:rFonts w:hint="eastAsia" w:ascii="Times New Roman" w:hAnsi="Times New Roman" w:eastAsia="方正仿宋_GBK" w:cs="Times New Roman"/>
          <w:sz w:val="32"/>
          <w:szCs w:val="32"/>
        </w:rPr>
        <w:t>以筑牢绿色生态屏障为导向，加强水源涵养保护、森林精准提升，提升区域水源涵养和生物多样性保护能力。加强小流域综合治理，重点对石会河、段溪河开展生态护岸及水生态修复措施，防止水土流失，改善和美化周边环境，提升流域生态环境。立足生态优势，培育“生态+农业”“生态+旅游”等多元化绿色产业体系，扩宽生态产品转化路径。</w:t>
      </w:r>
    </w:p>
    <w:p>
      <w:pPr>
        <w:pStyle w:val="6"/>
        <w:adjustRightInd w:val="0"/>
        <w:snapToGrid w:val="0"/>
        <w:spacing w:before="0" w:after="0" w:line="600" w:lineRule="exact"/>
        <w:ind w:firstLine="707" w:firstLineChars="221"/>
        <w:rPr>
          <w:rFonts w:ascii="方正黑体_GBK" w:hAnsi="方正黑体_GBK" w:eastAsia="方正黑体_GBK" w:cs="方正黑体_GBK"/>
          <w:b w:val="0"/>
        </w:rPr>
      </w:pPr>
      <w:bookmarkStart w:id="127" w:name="_Toc25245"/>
      <w:bookmarkStart w:id="128" w:name="_Toc5799"/>
      <w:bookmarkStart w:id="129" w:name="_Toc26695"/>
      <w:bookmarkStart w:id="130" w:name="_Toc3777"/>
      <w:bookmarkStart w:id="131" w:name="_Toc19183"/>
      <w:r>
        <w:rPr>
          <w:rFonts w:hint="eastAsia" w:ascii="方正黑体_GBK" w:hAnsi="方正黑体_GBK" w:eastAsia="方正黑体_GBK" w:cs="方正黑体_GBK"/>
          <w:b w:val="0"/>
        </w:rPr>
        <w:t>四、郁江-九曲河农业生态提升区</w:t>
      </w:r>
      <w:bookmarkEnd w:id="127"/>
      <w:bookmarkEnd w:id="128"/>
      <w:bookmarkEnd w:id="129"/>
      <w:bookmarkEnd w:id="130"/>
      <w:bookmarkEnd w:id="131"/>
    </w:p>
    <w:p>
      <w:pPr>
        <w:adjustRightInd w:val="0"/>
        <w:snapToGrid w:val="0"/>
        <w:spacing w:line="600" w:lineRule="exact"/>
        <w:ind w:firstLine="707" w:firstLineChars="221"/>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生态现状。</w:t>
      </w:r>
      <w:r>
        <w:rPr>
          <w:rFonts w:hint="eastAsia" w:ascii="方正仿宋_GBK" w:hAnsi="方正仿宋_GBK" w:eastAsia="方正仿宋_GBK" w:cs="方正仿宋_GBK"/>
          <w:sz w:val="32"/>
          <w:szCs w:val="32"/>
        </w:rPr>
        <w:t>该区域位于黔江区西北部，</w:t>
      </w:r>
      <w:r>
        <w:rPr>
          <w:rFonts w:ascii="Times New Roman" w:hAnsi="Times New Roman" w:eastAsia="方正仿宋_GBK" w:cs="Times New Roman"/>
          <w:sz w:val="32"/>
          <w:szCs w:val="32"/>
        </w:rPr>
        <w:t>涉及黑溪镇</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黄溪镇、黎水镇、白石镇、杉岭乡</w:t>
      </w:r>
      <w:r>
        <w:rPr>
          <w:rFonts w:hint="eastAsia" w:ascii="Times New Roman" w:hAnsi="Times New Roman" w:eastAsia="方正仿宋_GBK" w:cs="Times New Roman"/>
          <w:sz w:val="32"/>
          <w:szCs w:val="32"/>
        </w:rPr>
        <w:t>等5个乡镇，面积为383平方公里。区域属典型的农业生态系统，其中，基本农田面积65平方公里、生态保护红线面积25平方公里。该区域以低山和浅切割中山为主，无明显条状带，水系密布，</w:t>
      </w:r>
      <w:r>
        <w:rPr>
          <w:rFonts w:ascii="Times New Roman" w:hAnsi="Times New Roman" w:eastAsia="方正仿宋_GBK" w:cs="Times New Roman"/>
          <w:sz w:val="32"/>
          <w:szCs w:val="32"/>
        </w:rPr>
        <w:t>以</w:t>
      </w:r>
      <w:r>
        <w:rPr>
          <w:rFonts w:hint="eastAsia" w:ascii="Times New Roman" w:hAnsi="Times New Roman" w:eastAsia="方正仿宋_GBK" w:cs="Times New Roman"/>
          <w:sz w:val="32"/>
          <w:szCs w:val="32"/>
        </w:rPr>
        <w:t>九曲河</w:t>
      </w:r>
      <w:r>
        <w:rPr>
          <w:rFonts w:hint="eastAsia" w:ascii="方正仿宋_GBK" w:hAnsi="方正仿宋_GBK" w:eastAsia="方正仿宋_GBK" w:cs="方正仿宋_GBK"/>
          <w:sz w:val="32"/>
          <w:szCs w:val="32"/>
        </w:rPr>
        <w:t>、郁江为主干形成树枝水系网络，九曲河两岸分布有较高质量耕地。目前，区域主要存在人居环境不佳、土壤污染等生态问题。</w:t>
      </w:r>
    </w:p>
    <w:p>
      <w:pPr>
        <w:adjustRightInd w:val="0"/>
        <w:snapToGrid w:val="0"/>
        <w:spacing w:line="600" w:lineRule="exact"/>
        <w:ind w:firstLine="707" w:firstLineChars="221"/>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主攻方向。</w:t>
      </w:r>
      <w:r>
        <w:rPr>
          <w:rFonts w:hint="eastAsia" w:ascii="方正仿宋_GBK" w:hAnsi="方正仿宋_GBK" w:eastAsia="方正仿宋_GBK" w:cs="方正仿宋_GBK"/>
          <w:sz w:val="32"/>
          <w:szCs w:val="32"/>
        </w:rPr>
        <w:t>以保护乡村田园风光为导向，重点突出农田综合整治、农村低效建设用地整理、水环境治理等生态修复工作。开展高标准农田连片建设，加强农田生态保育，提高耕地质量和农田生态系统稳定性。加快农村低效建设用地整理及生态用地修复，构建建设用地集约高效的空间格局。提高农业废物回收利用率，治理农业面源污染。以郁江、九曲河及其支流为重点，持续开展水生态系统修复和环境治理，重点加强</w:t>
      </w:r>
      <w:r>
        <w:rPr>
          <w:rFonts w:hint="eastAsia" w:ascii="Times New Roman" w:hAnsi="Times New Roman" w:eastAsia="方正仿宋_GBK" w:cs="Times New Roman"/>
          <w:sz w:val="32"/>
          <w:szCs w:val="32"/>
        </w:rPr>
        <w:t>生态护岸建设和沿河森林生态系统修复，形成沿河绿色生态走廊</w:t>
      </w:r>
      <w:r>
        <w:rPr>
          <w:rFonts w:hint="eastAsia" w:ascii="方正仿宋_GBK" w:hAnsi="方正仿宋_GBK" w:eastAsia="方正仿宋_GBK" w:cs="方正仿宋_GBK"/>
          <w:sz w:val="32"/>
          <w:szCs w:val="32"/>
        </w:rPr>
        <w:t>。</w:t>
      </w:r>
    </w:p>
    <w:p>
      <w:pPr>
        <w:pStyle w:val="6"/>
        <w:adjustRightInd w:val="0"/>
        <w:snapToGrid w:val="0"/>
        <w:spacing w:before="0" w:after="0" w:line="600" w:lineRule="exact"/>
        <w:ind w:firstLine="707" w:firstLineChars="221"/>
        <w:rPr>
          <w:rFonts w:ascii="方正黑体_GBK" w:hAnsi="方正黑体_GBK" w:eastAsia="方正黑体_GBK" w:cs="方正黑体_GBK"/>
          <w:b w:val="0"/>
        </w:rPr>
      </w:pPr>
      <w:bookmarkStart w:id="132" w:name="_Toc16223"/>
      <w:bookmarkStart w:id="133" w:name="_Toc15005"/>
      <w:bookmarkStart w:id="134" w:name="_Toc11741"/>
      <w:bookmarkStart w:id="135" w:name="_Toc9319"/>
      <w:bookmarkStart w:id="136" w:name="_Toc7913"/>
      <w:r>
        <w:rPr>
          <w:rFonts w:hint="eastAsia" w:ascii="方正黑体_GBK" w:hAnsi="方正黑体_GBK" w:eastAsia="方正黑体_GBK" w:cs="方正黑体_GBK"/>
          <w:b w:val="0"/>
        </w:rPr>
        <w:t>五、黔西乡村人居环境品质提升区</w:t>
      </w:r>
      <w:bookmarkEnd w:id="132"/>
      <w:bookmarkEnd w:id="133"/>
      <w:bookmarkEnd w:id="134"/>
      <w:bookmarkEnd w:id="135"/>
      <w:bookmarkEnd w:id="136"/>
    </w:p>
    <w:p>
      <w:pPr>
        <w:adjustRightInd w:val="0"/>
        <w:snapToGrid w:val="0"/>
        <w:spacing w:line="600" w:lineRule="exact"/>
        <w:ind w:firstLine="707" w:firstLineChars="221"/>
        <w:rPr>
          <w:rFonts w:ascii="Times New Roman" w:hAnsi="Times New Roman" w:eastAsia="方正仿宋_GBK" w:cs="Times New Roman"/>
          <w:sz w:val="32"/>
          <w:szCs w:val="32"/>
        </w:rPr>
      </w:pPr>
      <w:r>
        <w:rPr>
          <w:rFonts w:hint="eastAsia" w:ascii="方正楷体_GBK" w:hAnsi="方正楷体_GBK" w:eastAsia="方正楷体_GBK" w:cs="方正楷体_GBK"/>
          <w:sz w:val="32"/>
          <w:szCs w:val="32"/>
        </w:rPr>
        <w:t>生态现状。</w:t>
      </w:r>
      <w:r>
        <w:rPr>
          <w:rFonts w:hint="eastAsia" w:ascii="方正仿宋_GBK" w:hAnsi="方正仿宋_GBK" w:eastAsia="方正仿宋_GBK" w:cs="方正仿宋_GBK"/>
          <w:sz w:val="32"/>
          <w:szCs w:val="32"/>
        </w:rPr>
        <w:t>该区域位于金溪镇、石家镇、鹅池镇、沙坝镇、太极镇</w:t>
      </w:r>
      <w:r>
        <w:rPr>
          <w:rFonts w:ascii="Times New Roman" w:hAnsi="Times New Roman" w:eastAsia="方正仿宋_GBK" w:cs="Times New Roman"/>
          <w:sz w:val="32"/>
          <w:szCs w:val="32"/>
        </w:rPr>
        <w:t>、水市镇、水田乡、白土乡、新华乡等9个乡镇，总面积658平方公里。</w:t>
      </w:r>
      <w:r>
        <w:rPr>
          <w:rFonts w:hint="eastAsia" w:ascii="Times New Roman" w:hAnsi="Times New Roman" w:eastAsia="方正仿宋_GBK" w:cs="Times New Roman"/>
          <w:sz w:val="32"/>
          <w:szCs w:val="32"/>
        </w:rPr>
        <w:t>区域内生态保护红线面积135平方公里，基本农田保护面积104平方公里，含有多座山体和多条河流。其中三塘盖、麒麟盖地势较高，夏季气候宜人，易于避暑休闲。石家河、南溪河、太极河、金溪河等河流两侧地势相对平坦，布局了大量农田。目前，主要存在地质灾害、防洪保安体系薄弱、石漠化、水土流失、人居环境不佳等生态问题。</w:t>
      </w:r>
    </w:p>
    <w:p>
      <w:pPr>
        <w:spacing w:line="600" w:lineRule="exact"/>
        <w:ind w:firstLine="640" w:firstLineChars="200"/>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主攻方向。</w:t>
      </w:r>
      <w:r>
        <w:rPr>
          <w:rFonts w:hint="eastAsia" w:ascii="方正仿宋_GBK" w:hAnsi="方正仿宋_GBK" w:eastAsia="方正仿宋_GBK" w:cs="方正仿宋_GBK"/>
          <w:sz w:val="32"/>
          <w:szCs w:val="32"/>
        </w:rPr>
        <w:t>以保护乡村自然景观、提升农田生态系统服务功能和筑牢生态屏障为导向，重点突出乡村土地综合整治、流域综合治理、乡村人居环境整治等保护修复工作。着力开展农村土地综合整治，建设高标准农田，提高耕地质量。加强流域综合治理，提升</w:t>
      </w:r>
      <w:r>
        <w:rPr>
          <w:rFonts w:hint="eastAsia" w:ascii="Times New Roman" w:hAnsi="Times New Roman" w:eastAsia="方正仿宋_GBK" w:cs="Times New Roman"/>
          <w:sz w:val="32"/>
          <w:szCs w:val="32"/>
        </w:rPr>
        <w:t>石家河、南溪河、太极河、金溪河生态环境。</w:t>
      </w:r>
      <w:r>
        <w:rPr>
          <w:rFonts w:hint="eastAsia" w:ascii="方正仿宋_GBK" w:hAnsi="方正仿宋_GBK" w:eastAsia="方正仿宋_GBK" w:cs="方正仿宋_GBK"/>
          <w:sz w:val="32"/>
          <w:szCs w:val="32"/>
        </w:rPr>
        <w:t>提高农业废物回收利用率，治理农业面源污染。加强道路沿线绿化、防护隔离带、农田林网等绿色廊道建设，改善农田及周边生境，恢复田间生物群落和生态链，提高农田生态系统生物多样性。</w:t>
      </w:r>
    </w:p>
    <w:p>
      <w:pPr>
        <w:spacing w:before="312" w:beforeLines="100" w:after="156" w:afterLines="50" w:line="600" w:lineRule="exact"/>
        <w:ind w:firstLine="640" w:firstLineChars="200"/>
        <w:outlineLvl w:val="1"/>
        <w:rPr>
          <w:rFonts w:ascii="方正小标宋_GBK" w:hAnsi="方正小标宋_GBK" w:eastAsia="方正小标宋_GBK" w:cs="方正小标宋_GBK"/>
          <w:sz w:val="32"/>
          <w:szCs w:val="32"/>
        </w:rPr>
      </w:pPr>
      <w:bookmarkStart w:id="137" w:name="_Toc25208"/>
      <w:bookmarkStart w:id="138" w:name="_Toc17985"/>
      <w:bookmarkStart w:id="139" w:name="_Toc15667"/>
      <w:bookmarkStart w:id="140" w:name="_Toc30076"/>
      <w:r>
        <w:rPr>
          <w:rFonts w:hint="eastAsia" w:ascii="方正小标宋_GBK" w:hAnsi="方正小标宋_GBK" w:eastAsia="方正小标宋_GBK" w:cs="方正小标宋_GBK"/>
          <w:sz w:val="32"/>
          <w:szCs w:val="32"/>
        </w:rPr>
        <w:t>第三节 重点任务</w:t>
      </w:r>
      <w:bookmarkEnd w:id="137"/>
      <w:bookmarkEnd w:id="138"/>
      <w:bookmarkEnd w:id="139"/>
      <w:bookmarkEnd w:id="140"/>
    </w:p>
    <w:p>
      <w:pPr>
        <w:pStyle w:val="6"/>
        <w:adjustRightInd w:val="0"/>
        <w:snapToGrid w:val="0"/>
        <w:spacing w:before="0" w:after="0" w:line="600" w:lineRule="exact"/>
        <w:ind w:firstLine="707" w:firstLineChars="221"/>
        <w:rPr>
          <w:rFonts w:ascii="方正黑体_GBK" w:hAnsi="方正黑体_GBK" w:eastAsia="方正黑体_GBK" w:cs="方正黑体_GBK"/>
          <w:b w:val="0"/>
        </w:rPr>
      </w:pPr>
      <w:bookmarkStart w:id="141" w:name="_Toc25984"/>
      <w:bookmarkStart w:id="142" w:name="_Toc16928"/>
      <w:bookmarkStart w:id="143" w:name="_Toc23498"/>
      <w:bookmarkStart w:id="144" w:name="_Toc11040"/>
      <w:bookmarkStart w:id="145" w:name="_Toc6720"/>
      <w:bookmarkStart w:id="146" w:name="_Toc1870"/>
      <w:r>
        <w:rPr>
          <w:rFonts w:hint="eastAsia" w:ascii="方正黑体_GBK" w:hAnsi="方正黑体_GBK" w:eastAsia="方正黑体_GBK" w:cs="方正黑体_GBK"/>
          <w:b w:val="0"/>
        </w:rPr>
        <w:t>一、推进山体保护提升，筑牢绿色生态屏障</w:t>
      </w:r>
      <w:bookmarkEnd w:id="141"/>
      <w:bookmarkEnd w:id="142"/>
      <w:bookmarkEnd w:id="143"/>
      <w:bookmarkEnd w:id="144"/>
      <w:bookmarkEnd w:id="145"/>
      <w:bookmarkEnd w:id="146"/>
    </w:p>
    <w:p>
      <w:pPr>
        <w:snapToGrid w:val="0"/>
        <w:spacing w:line="579" w:lineRule="exact"/>
        <w:ind w:firstLine="640" w:firstLineChars="200"/>
        <w:rPr>
          <w:rFonts w:eastAsia="方正仿宋_GBK"/>
          <w:sz w:val="32"/>
          <w:szCs w:val="32"/>
        </w:rPr>
      </w:pPr>
      <w:r>
        <w:rPr>
          <w:rFonts w:hint="eastAsia" w:ascii="方正楷体_GBK" w:hAnsi="方正楷体_GBK" w:eastAsia="方正楷体_GBK" w:cs="方正楷体_GBK"/>
          <w:sz w:val="32"/>
          <w:szCs w:val="32"/>
        </w:rPr>
        <w:t>（一）严格落实生态保护红线。</w:t>
      </w:r>
      <w:r>
        <w:rPr>
          <w:rFonts w:hint="eastAsia" w:ascii="Times New Roman" w:hAnsi="Times New Roman" w:eastAsia="方正仿宋_GBK" w:cs="Times New Roman"/>
          <w:sz w:val="32"/>
          <w:szCs w:val="32"/>
        </w:rPr>
        <w:t>严格落实</w:t>
      </w:r>
      <w:r>
        <w:rPr>
          <w:rFonts w:ascii="Times New Roman" w:hAnsi="Times New Roman" w:eastAsia="方正仿宋_GBK" w:cs="Times New Roman"/>
          <w:sz w:val="32"/>
          <w:szCs w:val="32"/>
        </w:rPr>
        <w:t>灰千梁子、三塘盖、麒麟盖、八面山、五福岭、贾角山</w:t>
      </w:r>
      <w:r>
        <w:rPr>
          <w:rFonts w:hint="eastAsia" w:ascii="Times New Roman" w:hAnsi="Times New Roman" w:eastAsia="方正仿宋_GBK" w:cs="Times New Roman"/>
          <w:sz w:val="32"/>
          <w:szCs w:val="32"/>
        </w:rPr>
        <w:t>等山体的生态保护红线，切实加强山体接线管控，保护完整的自然山体。按林长制管理体系，区上片区林长重点关注生态保护红线核心自然山体的保护管控。</w:t>
      </w:r>
      <w:r>
        <w:rPr>
          <w:rFonts w:eastAsia="方正仿宋_GBK"/>
          <w:bCs/>
          <w:sz w:val="32"/>
          <w:szCs w:val="32"/>
        </w:rPr>
        <w:t>以生态保护红线作为刚性约束，严格管控</w:t>
      </w:r>
      <w:r>
        <w:rPr>
          <w:rFonts w:hint="eastAsia" w:eastAsia="方正仿宋_GBK"/>
          <w:bCs/>
          <w:sz w:val="32"/>
          <w:szCs w:val="32"/>
        </w:rPr>
        <w:t>山体</w:t>
      </w:r>
      <w:r>
        <w:rPr>
          <w:rFonts w:eastAsia="方正仿宋_GBK"/>
          <w:bCs/>
          <w:sz w:val="32"/>
          <w:szCs w:val="32"/>
        </w:rPr>
        <w:t>生态保护红线区域内的开发建设活动，确保生态功能不降低、面积不减少、性质不改变。</w:t>
      </w:r>
      <w:r>
        <w:rPr>
          <w:rFonts w:eastAsia="方正仿宋_GBK"/>
          <w:sz w:val="32"/>
          <w:szCs w:val="32"/>
        </w:rPr>
        <w:t>推进生态保护红线勘界定标，设立统一规范的界桩和标识牌，确保生态保护红线落地准确、边界清晰。</w:t>
      </w:r>
    </w:p>
    <w:p>
      <w:pPr>
        <w:adjustRightInd w:val="0"/>
        <w:snapToGrid w:val="0"/>
        <w:spacing w:line="600" w:lineRule="exact"/>
        <w:ind w:firstLine="707" w:firstLineChars="221"/>
        <w:rPr>
          <w:rFonts w:eastAsia="方正仿宋_GBK"/>
          <w:sz w:val="32"/>
          <w:szCs w:val="32"/>
        </w:rPr>
      </w:pPr>
      <w:r>
        <w:rPr>
          <w:rFonts w:hint="eastAsia" w:ascii="方正楷体_GBK" w:hAnsi="方正楷体_GBK" w:eastAsia="方正楷体_GBK" w:cs="方正楷体_GBK"/>
          <w:sz w:val="32"/>
          <w:szCs w:val="32"/>
        </w:rPr>
        <w:t>（二）加强矿山环境整治与修复。</w:t>
      </w:r>
      <w:r>
        <w:rPr>
          <w:rFonts w:hint="eastAsia" w:ascii="方正仿宋_GBK" w:hAnsi="方正仿宋_GBK" w:eastAsia="方正仿宋_GBK" w:cs="方正仿宋_GBK"/>
          <w:sz w:val="32"/>
          <w:szCs w:val="32"/>
        </w:rPr>
        <w:t>坚持“边开采、边治理”原则，严格控制矿山数量，提高大中型矿山数量，加强矿山地质环境恢复和生态修复。在建、在册矿山建立绿色矿山长效机制，探索形成“政府主导、政策扶持、社会参与、利用式治理、市场化运作”的矿山修复模式，把矿山生态环境修复与区域景观生态建设、生态经济相结合，对政策性或整合性关闭的矿山进行植被恢复和复垦，实现矿山环境治理多元化。以森林公园、湿地公园、地质公园、风景名胜区和生态保护红线范围区域作为矿山环境整治修复重点区域，开展矿山环境整治和修复。基于重点治理区，选择地表破坏规模大、环境影响大，难以自然恢复的矿山安排重点工程。</w:t>
      </w:r>
    </w:p>
    <w:p>
      <w:pPr>
        <w:adjustRightInd w:val="0"/>
        <w:snapToGrid w:val="0"/>
        <w:spacing w:line="600" w:lineRule="exact"/>
        <w:ind w:firstLine="707" w:firstLineChars="221"/>
        <w:rPr>
          <w:rFonts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（三）生物多样性保护。</w:t>
      </w:r>
      <w:r>
        <w:rPr>
          <w:rFonts w:hint="eastAsia" w:ascii="方正仿宋_GBK" w:hAnsi="方正仿宋_GBK" w:eastAsia="方正仿宋_GBK" w:cs="方正仿宋_GBK"/>
          <w:sz w:val="32"/>
          <w:szCs w:val="32"/>
        </w:rPr>
        <w:t>开展水生物多样性调查评估，摸清生物多样性本底、分布、动态变化和威胁因素。对阿蓬江、小南海水库、洞塘水库、城北水库进行水生态环境调查，开展生态健康评估，完善土著鱼类，水生植物数据库。实施生物多样性保护工程，开展珍稀濒危物种拯救与救护，建设生物多样性监测、预警和信息网络平台，加大重点保护野生动植物保护力度，推进陆生野生动物疫源疫病监测站点网络建设，依法打击破坏森林、野生动植物资源的违法犯罪行为。强化外来入侵物种监测、预警及控制，建立外来物种入侵预警报告体系和控制技术体系，预防外来入侵物种的危害和扩散，提高全区生物物种资源检验检疫能力。</w:t>
      </w:r>
    </w:p>
    <w:p>
      <w:pPr>
        <w:pStyle w:val="6"/>
        <w:adjustRightInd w:val="0"/>
        <w:snapToGrid w:val="0"/>
        <w:spacing w:before="0" w:after="0" w:line="600" w:lineRule="exact"/>
        <w:ind w:firstLine="707" w:firstLineChars="221"/>
        <w:rPr>
          <w:rFonts w:ascii="方正黑体_GBK" w:hAnsi="方正黑体_GBK" w:eastAsia="方正黑体_GBK" w:cs="方正黑体_GBK"/>
          <w:b w:val="0"/>
        </w:rPr>
      </w:pPr>
      <w:bookmarkStart w:id="147" w:name="_Toc28618"/>
      <w:bookmarkStart w:id="148" w:name="_Toc9516"/>
      <w:bookmarkStart w:id="149" w:name="_Toc1404"/>
      <w:bookmarkStart w:id="150" w:name="_Toc18764"/>
      <w:bookmarkStart w:id="151" w:name="_Toc273"/>
      <w:r>
        <w:rPr>
          <w:rFonts w:hint="eastAsia" w:ascii="方正黑体_GBK" w:hAnsi="方正黑体_GBK" w:eastAsia="方正黑体_GBK" w:cs="方正黑体_GBK"/>
          <w:b w:val="0"/>
        </w:rPr>
        <w:t>二、系统开展河湖治理，构建生态水网体系</w:t>
      </w:r>
      <w:bookmarkEnd w:id="147"/>
      <w:bookmarkEnd w:id="148"/>
      <w:bookmarkEnd w:id="149"/>
      <w:bookmarkEnd w:id="150"/>
      <w:bookmarkEnd w:id="151"/>
    </w:p>
    <w:p>
      <w:pPr>
        <w:tabs>
          <w:tab w:val="left" w:pos="1008"/>
        </w:tabs>
        <w:spacing w:line="600" w:lineRule="exact"/>
        <w:ind w:firstLine="640" w:firstLineChars="200"/>
        <w:rPr>
          <w:rFonts w:ascii="Times New Roman" w:hAnsi="Times New Roman" w:eastAsia="方正仿宋_GBK" w:cs="Times New Roman"/>
          <w:sz w:val="32"/>
          <w:szCs w:val="32"/>
        </w:rPr>
      </w:pPr>
      <w:bookmarkStart w:id="152" w:name="_Toc19477"/>
      <w:r>
        <w:rPr>
          <w:rFonts w:hint="eastAsia" w:ascii="方正楷体_GBK" w:hAnsi="方正楷体_GBK" w:eastAsia="方正楷体_GBK" w:cs="方正楷体_GBK"/>
          <w:sz w:val="32"/>
          <w:szCs w:val="32"/>
        </w:rPr>
        <w:t>（一）实施水生态修复及水系连通建设。</w:t>
      </w:r>
      <w:r>
        <w:rPr>
          <w:rFonts w:ascii="Times New Roman" w:hAnsi="Times New Roman" w:eastAsia="方正仿宋_GBK" w:cs="Times New Roman"/>
          <w:sz w:val="32"/>
          <w:szCs w:val="32"/>
        </w:rPr>
        <w:t>实施“清河、护岸、净水、保水”四项行动，将河湖“清四乱”常态化规范化，逐步对</w:t>
      </w:r>
      <w:r>
        <w:rPr>
          <w:rFonts w:hint="eastAsia" w:ascii="Times New Roman" w:hAnsi="Times New Roman" w:eastAsia="方正仿宋_GBK" w:cs="Times New Roman"/>
          <w:sz w:val="32"/>
          <w:szCs w:val="32"/>
        </w:rPr>
        <w:t>阿蓬江、诸佛江等全区15条河流开展流域综合治理，使岸线变得顺畅，岸坡稳固，提高该区域防洪标准。在正阳、舟白新城片区新建生态水体，针对城市生活污水、工业污水和农业面源污染等水环境污染源进行治理，完善城乡污水处理体系，控制生活污</w:t>
      </w:r>
      <w:r>
        <w:rPr>
          <w:rFonts w:hint="eastAsia" w:ascii="方正仿宋_GBK" w:hAnsi="方正仿宋_GBK" w:eastAsia="方正仿宋_GBK" w:cs="方正仿宋_GBK"/>
          <w:sz w:val="32"/>
          <w:szCs w:val="32"/>
        </w:rPr>
        <w:t>染。在黔江河流域、袁溪河流域、马喇河流域开展水系连通及水美乡村试点，通过水系连通、水系综合治理、水美乡村建设和其它整合措施，改善河道生态环境用水条件，打造“河畅、水清、岸绿、景美、人和”的水美乡村。</w:t>
      </w:r>
    </w:p>
    <w:p>
      <w:pPr>
        <w:tabs>
          <w:tab w:val="left" w:pos="1008"/>
        </w:tabs>
        <w:spacing w:line="600" w:lineRule="exact"/>
        <w:ind w:firstLine="640" w:firstLineChars="200"/>
        <w:rPr>
          <w:rFonts w:ascii="Times New Roman" w:hAnsi="Times New Roman" w:eastAsia="方正仿宋_GBK" w:cs="Times New Roman"/>
          <w:sz w:val="32"/>
          <w:szCs w:val="32"/>
        </w:rPr>
      </w:pPr>
      <w:r>
        <w:rPr>
          <w:rFonts w:hint="eastAsia" w:ascii="方正楷体_GBK" w:hAnsi="方正楷体_GBK" w:eastAsia="方正楷体_GBK" w:cs="方正楷体_GBK"/>
          <w:sz w:val="32"/>
          <w:szCs w:val="32"/>
        </w:rPr>
        <w:t>（二）推进水土保持生态建设</w:t>
      </w:r>
      <w:bookmarkEnd w:id="152"/>
      <w:r>
        <w:rPr>
          <w:rFonts w:hint="eastAsia" w:ascii="方正楷体_GBK" w:hAnsi="方正楷体_GBK" w:eastAsia="方正楷体_GBK" w:cs="方正楷体_GBK"/>
          <w:sz w:val="32"/>
          <w:szCs w:val="32"/>
        </w:rPr>
        <w:t>。</w:t>
      </w:r>
      <w:r>
        <w:rPr>
          <w:rFonts w:hint="eastAsia" w:ascii="Times New Roman" w:hAnsi="Times New Roman" w:eastAsia="方正仿宋_GBK" w:cs="Times New Roman"/>
          <w:sz w:val="32"/>
          <w:szCs w:val="32"/>
        </w:rPr>
        <w:t>坚持预防为主、防治结合，强化重点水土流失区防治，将水土保持生态建设与乡村振兴相结合，因地制宜推进生态清洁小流域建设，为美丽乡村建设奠定基础。以村庄为节点，以乡镇为单元，采取清淤疏浚、水源涵养、水土流失治理、陆域控污、水系连通等措施，持续推进国家水土保持重点建设工程、石漠化综合治理项目，规划实施国家农业综合开发水土保持项目和坡耕地水土流失综合治理项目。</w:t>
      </w:r>
    </w:p>
    <w:p>
      <w:pPr>
        <w:snapToGrid w:val="0"/>
        <w:spacing w:line="579" w:lineRule="exact"/>
        <w:ind w:firstLine="630" w:firstLineChars="190"/>
        <w:rPr>
          <w:rFonts w:eastAsia="方正仿宋_GBK"/>
          <w:sz w:val="32"/>
          <w:szCs w:val="32"/>
        </w:rPr>
      </w:pPr>
      <w:r>
        <w:rPr>
          <w:rFonts w:hint="eastAsia" w:ascii="方正楷体_GBK" w:hAnsi="方正楷体_GBK" w:eastAsia="方正楷体_GBK" w:cs="方正楷体_GBK"/>
          <w:bCs/>
          <w:spacing w:val="6"/>
          <w:sz w:val="32"/>
          <w:szCs w:val="32"/>
        </w:rPr>
        <w:t>（三）</w:t>
      </w:r>
      <w:r>
        <w:rPr>
          <w:rFonts w:ascii="方正楷体_GBK" w:eastAsia="方正楷体_GBK"/>
          <w:sz w:val="32"/>
          <w:szCs w:val="32"/>
        </w:rPr>
        <w:t>深化湿地生态保护与建设</w:t>
      </w:r>
      <w:r>
        <w:rPr>
          <w:rFonts w:eastAsia="方正楷体_GBK"/>
          <w:sz w:val="32"/>
          <w:szCs w:val="32"/>
        </w:rPr>
        <w:t>。</w:t>
      </w:r>
      <w:r>
        <w:rPr>
          <w:rFonts w:eastAsia="方正仿宋_GBK"/>
          <w:sz w:val="32"/>
          <w:szCs w:val="32"/>
        </w:rPr>
        <w:t>以阿蓬江国家湿地公园为重点，推进湿地保护管理能力建设，对生态退化严重、人类活动干扰较大的区域，采取退养还滩、泥滩地恢复、排水退化湿地恢复和外来入侵物种治理等措施，恢复退化湿地面积。深化落实河湖长制，加大洞塘水库、城北水库、小南海水库、太极水库、罗家堡水库、阿蓬江、细沙河、黔江河等河流湖库保护力度，划定河流廊道、滨水绿化缓冲带，推进库岸防护林带建设，恢复乔灌草植被体系，提升水源涵养和景观观赏功能。</w:t>
      </w:r>
    </w:p>
    <w:p>
      <w:pPr>
        <w:adjustRightInd w:val="0"/>
        <w:snapToGrid w:val="0"/>
        <w:spacing w:line="600" w:lineRule="exact"/>
        <w:ind w:firstLine="707" w:firstLineChars="221"/>
        <w:rPr>
          <w:rFonts w:ascii="Times New Roman" w:hAnsi="Times New Roman" w:eastAsia="方正仿宋_GBK" w:cs="Times New Roman"/>
          <w:sz w:val="32"/>
          <w:szCs w:val="32"/>
        </w:rPr>
      </w:pPr>
      <w:r>
        <w:rPr>
          <w:rFonts w:hint="eastAsia" w:ascii="方正楷体_GBK" w:hAnsi="方正楷体_GBK" w:eastAsia="方正楷体_GBK" w:cs="方正楷体_GBK"/>
          <w:sz w:val="32"/>
          <w:szCs w:val="32"/>
        </w:rPr>
        <w:t>（四）滨江景观营建。</w:t>
      </w:r>
      <w:r>
        <w:rPr>
          <w:rFonts w:hint="eastAsia" w:ascii="Times New Roman" w:hAnsi="Times New Roman" w:eastAsia="方正仿宋_GBK" w:cs="Times New Roman"/>
          <w:sz w:val="32"/>
          <w:szCs w:val="32"/>
        </w:rPr>
        <w:t>综合考虑阿蓬江、黔江河等流域基于水位变化影响，结合流域防洪护岸工程建设，适宜性开展亲水景观建设，根据不同的水位区间，以辅助修复为主，局部采取生态重建，营建从自然生态到人工措施构建景观层次，不断提升人居环境品质，形成一道亮丽的“风景线”。</w:t>
      </w:r>
    </w:p>
    <w:p>
      <w:pPr>
        <w:pStyle w:val="6"/>
        <w:adjustRightInd w:val="0"/>
        <w:snapToGrid w:val="0"/>
        <w:spacing w:before="0" w:after="0" w:line="600" w:lineRule="exact"/>
        <w:ind w:firstLine="707" w:firstLineChars="221"/>
        <w:rPr>
          <w:rFonts w:ascii="方正黑体_GBK" w:hAnsi="方正黑体_GBK" w:eastAsia="方正黑体_GBK" w:cs="方正黑体_GBK"/>
          <w:b w:val="0"/>
        </w:rPr>
      </w:pPr>
      <w:bookmarkStart w:id="153" w:name="_Toc19047"/>
      <w:bookmarkStart w:id="154" w:name="_Toc17477"/>
      <w:bookmarkStart w:id="155" w:name="_Toc25219"/>
      <w:bookmarkStart w:id="156" w:name="_Toc8731"/>
      <w:bookmarkStart w:id="157" w:name="_Toc13645"/>
      <w:r>
        <w:rPr>
          <w:rFonts w:hint="eastAsia" w:ascii="方正黑体_GBK" w:hAnsi="方正黑体_GBK" w:eastAsia="方正黑体_GBK" w:cs="方正黑体_GBK"/>
          <w:b w:val="0"/>
        </w:rPr>
        <w:t>三、精准实施质量提升，提高森林固碳能力</w:t>
      </w:r>
      <w:bookmarkEnd w:id="153"/>
      <w:bookmarkEnd w:id="154"/>
      <w:bookmarkEnd w:id="155"/>
      <w:bookmarkEnd w:id="156"/>
      <w:bookmarkEnd w:id="157"/>
    </w:p>
    <w:p>
      <w:pPr>
        <w:adjustRightInd w:val="0"/>
        <w:snapToGrid w:val="0"/>
        <w:spacing w:line="600" w:lineRule="exact"/>
        <w:ind w:firstLine="707" w:firstLineChars="221"/>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（一）持续推进国土绿化。</w:t>
      </w:r>
      <w:r>
        <w:rPr>
          <w:rFonts w:hint="eastAsia" w:ascii="方正仿宋_GBK" w:hAnsi="方正仿宋_GBK" w:eastAsia="方正仿宋_GBK" w:cs="方正仿宋_GBK"/>
          <w:sz w:val="32"/>
          <w:szCs w:val="32"/>
        </w:rPr>
        <w:t>贯彻落实中央新时代西部大开发要求，坚持在开发中保护、在保护中开发，进一步加大水土保持、天然林保护、退耕还林认定区域的成果巩固提升、退化防护林建设等重点生态工程实施力度，持续开展国土绿化提升行动，稳步推进自然保护地体系建设和湿地保护修复，在森林公园、湿地公园、自然保护地体系建设等方面深化与西部地区的合作，支持美丽西部建设。</w:t>
      </w:r>
    </w:p>
    <w:p>
      <w:pPr>
        <w:snapToGrid w:val="0"/>
        <w:spacing w:line="579" w:lineRule="exact"/>
        <w:ind w:firstLine="640" w:firstLineChars="200"/>
        <w:rPr>
          <w:sz w:val="32"/>
          <w:szCs w:val="32"/>
        </w:rPr>
      </w:pPr>
      <w:r>
        <w:rPr>
          <w:rFonts w:hint="eastAsia" w:ascii="方正楷体_GBK" w:eastAsia="方正楷体_GBK"/>
          <w:sz w:val="32"/>
          <w:szCs w:val="32"/>
        </w:rPr>
        <w:t>（二）</w:t>
      </w:r>
      <w:r>
        <w:rPr>
          <w:rFonts w:ascii="方正楷体_GBK" w:eastAsia="方正楷体_GBK"/>
          <w:sz w:val="32"/>
          <w:szCs w:val="32"/>
        </w:rPr>
        <w:t>加强森林生态保护与利用</w:t>
      </w:r>
      <w:r>
        <w:rPr>
          <w:rFonts w:eastAsia="方正楷体_GBK"/>
          <w:sz w:val="32"/>
          <w:szCs w:val="32"/>
        </w:rPr>
        <w:t>。</w:t>
      </w:r>
      <w:r>
        <w:rPr>
          <w:rFonts w:eastAsia="方正仿宋_GBK"/>
          <w:kern w:val="24"/>
          <w:sz w:val="32"/>
          <w:szCs w:val="32"/>
        </w:rPr>
        <w:t>全面推行林长制，建立完善三级林长体系，落实属地责任，设立林长公示牌，健全长效机制。</w:t>
      </w:r>
      <w:r>
        <w:rPr>
          <w:rFonts w:eastAsia="方正仿宋_GBK"/>
          <w:sz w:val="32"/>
          <w:szCs w:val="32"/>
        </w:rPr>
        <w:t>实施防护林建设，</w:t>
      </w:r>
      <w:r>
        <w:rPr>
          <w:rFonts w:eastAsia="方正仿宋_GBK"/>
          <w:bCs/>
          <w:sz w:val="32"/>
          <w:szCs w:val="32"/>
        </w:rPr>
        <w:t>天然林保护、公益林管护和森林抚育改培工程，</w:t>
      </w:r>
      <w:r>
        <w:rPr>
          <w:rFonts w:eastAsia="方正仿宋_GBK"/>
          <w:sz w:val="32"/>
          <w:szCs w:val="32"/>
        </w:rPr>
        <w:t>增加森林资源总量，提高森林覆盖率和林相品质，确保森林覆盖率保</w:t>
      </w:r>
      <w:r>
        <w:rPr>
          <w:rFonts w:ascii="Times New Roman" w:hAnsi="Times New Roman" w:eastAsia="方正仿宋_GBK" w:cs="Times New Roman"/>
          <w:sz w:val="32"/>
          <w:szCs w:val="32"/>
        </w:rPr>
        <w:t>持在65%以上。</w:t>
      </w:r>
      <w:r>
        <w:rPr>
          <w:rFonts w:eastAsia="方正仿宋_GBK"/>
          <w:sz w:val="32"/>
          <w:szCs w:val="32"/>
        </w:rPr>
        <w:t>对山系修复管制区</w:t>
      </w:r>
      <w:r>
        <w:rPr>
          <w:rFonts w:hint="eastAsia" w:eastAsia="方正仿宋_GBK"/>
          <w:sz w:val="32"/>
          <w:szCs w:val="32"/>
        </w:rPr>
        <w:t>内</w:t>
      </w:r>
      <w:r>
        <w:rPr>
          <w:rFonts w:eastAsia="方正仿宋_GBK"/>
          <w:sz w:val="32"/>
          <w:szCs w:val="32"/>
        </w:rPr>
        <w:t>已经退化为疏林地、灌丛和荒山荒地的森林，及时实施植被恢复工程。</w:t>
      </w:r>
      <w:r>
        <w:rPr>
          <w:rFonts w:eastAsia="方正仿宋_GBK"/>
          <w:kern w:val="24"/>
          <w:sz w:val="32"/>
          <w:szCs w:val="32"/>
        </w:rPr>
        <w:t>严格执行森林生态效益补偿制度</w:t>
      </w:r>
      <w:r>
        <w:rPr>
          <w:rFonts w:eastAsia="方正仿宋_GBK"/>
          <w:bCs/>
          <w:sz w:val="32"/>
          <w:szCs w:val="32"/>
        </w:rPr>
        <w:t>，全面落实公益林生态补偿</w:t>
      </w:r>
      <w:r>
        <w:rPr>
          <w:rFonts w:eastAsia="方正仿宋_GBK"/>
          <w:kern w:val="24"/>
          <w:sz w:val="32"/>
          <w:szCs w:val="32"/>
        </w:rPr>
        <w:t>。</w:t>
      </w:r>
    </w:p>
    <w:p>
      <w:pPr>
        <w:pStyle w:val="6"/>
        <w:adjustRightInd w:val="0"/>
        <w:snapToGrid w:val="0"/>
        <w:spacing w:before="0" w:after="0" w:line="600" w:lineRule="exact"/>
        <w:ind w:firstLine="707" w:firstLineChars="221"/>
        <w:rPr>
          <w:rFonts w:ascii="方正黑体_GBK" w:hAnsi="方正黑体_GBK" w:eastAsia="方正黑体_GBK" w:cs="方正黑体_GBK"/>
          <w:b w:val="0"/>
        </w:rPr>
      </w:pPr>
      <w:bookmarkStart w:id="158" w:name="_Toc4902"/>
      <w:bookmarkStart w:id="159" w:name="_Toc11588"/>
      <w:bookmarkStart w:id="160" w:name="_Toc1262"/>
      <w:bookmarkStart w:id="161" w:name="_Toc14480"/>
      <w:bookmarkStart w:id="162" w:name="_Toc25855"/>
      <w:r>
        <w:rPr>
          <w:rFonts w:hint="eastAsia" w:ascii="方正黑体_GBK" w:hAnsi="方正黑体_GBK" w:eastAsia="方正黑体_GBK" w:cs="方正黑体_GBK"/>
          <w:b w:val="0"/>
        </w:rPr>
        <w:t>四、严格保护耕地资源，提升耕地生态效益</w:t>
      </w:r>
      <w:bookmarkEnd w:id="158"/>
      <w:bookmarkEnd w:id="159"/>
      <w:bookmarkEnd w:id="160"/>
      <w:bookmarkEnd w:id="161"/>
      <w:bookmarkEnd w:id="162"/>
    </w:p>
    <w:p>
      <w:pPr>
        <w:snapToGrid w:val="0"/>
        <w:spacing w:line="579" w:lineRule="exact"/>
        <w:ind w:firstLine="608" w:firstLineChars="190"/>
        <w:rPr>
          <w:rFonts w:ascii="方正楷体_GBK" w:eastAsia="方正楷体_GBK"/>
          <w:sz w:val="32"/>
          <w:szCs w:val="32"/>
        </w:rPr>
      </w:pPr>
      <w:r>
        <w:rPr>
          <w:rFonts w:hint="eastAsia" w:ascii="方正楷体_GBK" w:hAnsi="方正楷体_GBK" w:eastAsia="方正楷体_GBK" w:cs="方正楷体_GBK"/>
          <w:sz w:val="32"/>
          <w:szCs w:val="32"/>
        </w:rPr>
        <w:t>（一）严格落实已划定的永久基本农田。</w:t>
      </w:r>
      <w:r>
        <w:rPr>
          <w:rFonts w:hint="eastAsia" w:ascii="方正仿宋_GBK" w:hAnsi="方正仿宋_GBK" w:eastAsia="方正仿宋_GBK" w:cs="方正仿宋_GBK"/>
          <w:sz w:val="32"/>
          <w:szCs w:val="32"/>
        </w:rPr>
        <w:t>加强监管，健全耕地保护责任制度，切实落实耕地保有量、永久基本农田保护面积等目标。确定永久基本农田整备区，划定永久基本农田保护区范围和边界，优化永久基本农田空间布局。按照集中连片、优化布局的原则，将永久基本农田储备区作为规划期内重大项目占用永久基本农田的调整补划后备资源。严格实行监督检查制度，提出对耕地采取动态监测、综合监管、联合执法的措施。</w:t>
      </w:r>
    </w:p>
    <w:p>
      <w:pPr>
        <w:snapToGrid w:val="0"/>
        <w:spacing w:line="579" w:lineRule="exact"/>
        <w:ind w:firstLine="608" w:firstLineChars="190"/>
        <w:rPr>
          <w:rFonts w:ascii="方正楷体_GBK" w:eastAsia="方正楷体_GBK"/>
          <w:sz w:val="32"/>
          <w:szCs w:val="32"/>
        </w:rPr>
      </w:pPr>
      <w:r>
        <w:rPr>
          <w:rFonts w:hint="eastAsia" w:ascii="方正楷体_GBK" w:eastAsia="方正楷体_GBK"/>
          <w:sz w:val="32"/>
          <w:szCs w:val="32"/>
        </w:rPr>
        <w:t>（二）实施农村土地综合整治。</w:t>
      </w:r>
      <w:r>
        <w:rPr>
          <w:rFonts w:hint="eastAsia" w:ascii="方正仿宋_GBK" w:hAnsi="方正仿宋_GBK" w:eastAsia="方正仿宋_GBK" w:cs="方正仿宋_GBK"/>
          <w:sz w:val="32"/>
          <w:szCs w:val="32"/>
        </w:rPr>
        <w:t>采取因地制宜的农用地综合整治模式，以</w:t>
      </w:r>
      <w:bookmarkStart w:id="163" w:name="_Hlk122170506"/>
      <w:r>
        <w:rPr>
          <w:rFonts w:hint="eastAsia" w:ascii="方正仿宋_GBK" w:hAnsi="方正仿宋_GBK" w:eastAsia="方正仿宋_GBK" w:cs="方正仿宋_GBK"/>
          <w:sz w:val="32"/>
          <w:szCs w:val="32"/>
        </w:rPr>
        <w:t>土地整治+产业改造+旅游文化</w:t>
      </w:r>
      <w:bookmarkEnd w:id="163"/>
      <w:r>
        <w:rPr>
          <w:rFonts w:hint="eastAsia" w:ascii="方正仿宋_GBK" w:hAnsi="方正仿宋_GBK" w:eastAsia="方正仿宋_GBK" w:cs="方正仿宋_GBK"/>
          <w:sz w:val="32"/>
          <w:szCs w:val="32"/>
        </w:rPr>
        <w:t>等多样化模式开展国土综合整治，提高自然资源利用效率，打造集约高效的生产空间、宜居适度的生活空间、山清水秀的生态空间；规划期内以郁江-九曲河农业生态提升区、黔西乡村人居环境品质提升区为重点区域，重点开展高标准农田建设、土地污染治理、农业面源污染等工作</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开展</w:t>
      </w:r>
      <w:r>
        <w:rPr>
          <w:rFonts w:ascii="Times New Roman" w:hAnsi="Times New Roman" w:eastAsia="方正仿宋_GBK" w:cs="Times New Roman"/>
          <w:sz w:val="32"/>
          <w:szCs w:val="32"/>
        </w:rPr>
        <w:t>集体建设用地综合整治</w:t>
      </w:r>
      <w:r>
        <w:rPr>
          <w:rFonts w:hint="eastAsia" w:ascii="方正仿宋_GBK" w:hAnsi="方正仿宋_GBK" w:eastAsia="方正仿宋_GBK" w:cs="方正仿宋_GBK"/>
          <w:sz w:val="32"/>
          <w:szCs w:val="32"/>
        </w:rPr>
        <w:t>。按照节约集约高效利用的原则，推进存量农村建设用地整治利用，充分盘活利用农村存量建设用地；有序开展废弃农村宅基地、工矿废弃地以及其他低效闲置建设用地复垦，推进村域内生态环境整治修复，保障农村新产业发展用地空间，促进农村一二三产业融合发展。</w:t>
      </w:r>
    </w:p>
    <w:p>
      <w:pPr>
        <w:snapToGrid w:val="0"/>
        <w:spacing w:line="579" w:lineRule="exact"/>
        <w:ind w:firstLine="640" w:firstLineChars="200"/>
        <w:rPr>
          <w:sz w:val="32"/>
          <w:szCs w:val="32"/>
        </w:rPr>
      </w:pPr>
      <w:r>
        <w:rPr>
          <w:rFonts w:hint="eastAsia" w:ascii="方正楷体_GBK" w:hAnsi="方正楷体_GBK" w:eastAsia="方正楷体_GBK" w:cs="方正楷体_GBK"/>
          <w:sz w:val="32"/>
          <w:szCs w:val="32"/>
        </w:rPr>
        <w:t>（三）开展水土流失和石漠化综合治理。</w:t>
      </w:r>
      <w:r>
        <w:rPr>
          <w:rFonts w:eastAsia="方正仿宋_GBK"/>
          <w:sz w:val="32"/>
          <w:szCs w:val="32"/>
        </w:rPr>
        <w:t>加强辖区</w:t>
      </w:r>
      <w:r>
        <w:rPr>
          <w:rFonts w:hint="eastAsia" w:eastAsia="方正仿宋_GBK"/>
          <w:sz w:val="32"/>
          <w:szCs w:val="32"/>
        </w:rPr>
        <w:t>内</w:t>
      </w:r>
      <w:r>
        <w:rPr>
          <w:rFonts w:eastAsia="方正仿宋_GBK"/>
          <w:sz w:val="32"/>
          <w:szCs w:val="32"/>
        </w:rPr>
        <w:t>水土流失区域的综合治理，重点加强中心城区、正阳工业园区等城市开发建设区域水土保持预防监督管理，防止人为因素产生新的水土流失。推进水</w:t>
      </w:r>
      <w:r>
        <w:rPr>
          <w:rFonts w:hint="eastAsia" w:ascii="方正仿宋_GBK" w:hAnsi="方正仿宋_GBK" w:eastAsia="方正仿宋_GBK" w:cs="方正仿宋_GBK"/>
          <w:sz w:val="32"/>
          <w:szCs w:val="32"/>
        </w:rPr>
        <w:t>土保持“生态清洁型”小</w:t>
      </w:r>
      <w:r>
        <w:rPr>
          <w:rFonts w:eastAsia="方正仿宋_GBK"/>
          <w:sz w:val="32"/>
          <w:szCs w:val="32"/>
        </w:rPr>
        <w:t>流域建设，加强以坡耕地径流调控、低标准梯田和四荒地改造为主的小流域治理，维护和提高土壤保持和蓄水保水基础功能。持续加大岩溶石漠化地区治理力度，通过</w:t>
      </w:r>
      <w:r>
        <w:rPr>
          <w:rFonts w:hint="eastAsia" w:eastAsia="方正仿宋_GBK"/>
          <w:sz w:val="32"/>
          <w:szCs w:val="32"/>
        </w:rPr>
        <w:t>采取合理的</w:t>
      </w:r>
      <w:r>
        <w:rPr>
          <w:rFonts w:eastAsia="方正仿宋_GBK"/>
          <w:sz w:val="32"/>
          <w:szCs w:val="32"/>
        </w:rPr>
        <w:t>林草植被保护恢复、草食畜牧业发展、水土资源综合利用等措施，构建稳定的岩溶生态系统</w:t>
      </w:r>
      <w:r>
        <w:rPr>
          <w:sz w:val="32"/>
          <w:szCs w:val="32"/>
        </w:rPr>
        <w:t>。</w:t>
      </w:r>
      <w:r>
        <w:rPr>
          <w:rFonts w:hint="eastAsia" w:ascii="方正仿宋_GBK" w:hAnsi="方正仿宋_GBK" w:eastAsia="方正仿宋_GBK" w:cs="方正仿宋_GBK"/>
          <w:sz w:val="32"/>
          <w:szCs w:val="32"/>
        </w:rPr>
        <w:t>进一步巩固脆红李、蚕桑等经果林成效，发挥全区石漠化地绿色效益和经济效益</w:t>
      </w:r>
      <w:r>
        <w:rPr>
          <w:rFonts w:eastAsia="方正仿宋_GBK"/>
          <w:sz w:val="32"/>
          <w:szCs w:val="32"/>
        </w:rPr>
        <w:t>。以小流域为治理基本单元，通过实施封山育林、草地建设、基本农田建设等措施，持续改善岩溶地区生态环境</w:t>
      </w:r>
      <w:r>
        <w:rPr>
          <w:sz w:val="32"/>
          <w:szCs w:val="32"/>
        </w:rPr>
        <w:t>。</w:t>
      </w:r>
    </w:p>
    <w:p>
      <w:pPr>
        <w:pStyle w:val="6"/>
        <w:adjustRightInd w:val="0"/>
        <w:snapToGrid w:val="0"/>
        <w:spacing w:before="0" w:after="0" w:line="600" w:lineRule="exact"/>
        <w:ind w:firstLine="707" w:firstLineChars="221"/>
        <w:rPr>
          <w:rFonts w:ascii="方正黑体_GBK" w:hAnsi="方正黑体_GBK" w:eastAsia="方正黑体_GBK" w:cs="方正黑体_GBK"/>
          <w:b w:val="0"/>
        </w:rPr>
      </w:pPr>
      <w:bookmarkStart w:id="164" w:name="_Toc15099"/>
      <w:bookmarkStart w:id="165" w:name="_Toc5875"/>
      <w:bookmarkStart w:id="166" w:name="_Toc30067"/>
      <w:bookmarkStart w:id="167" w:name="_Toc7534"/>
      <w:bookmarkStart w:id="168" w:name="_Toc22194"/>
      <w:r>
        <w:rPr>
          <w:rFonts w:hint="eastAsia" w:ascii="方正黑体_GBK" w:hAnsi="方正黑体_GBK" w:eastAsia="方正黑体_GBK" w:cs="方正黑体_GBK"/>
          <w:b w:val="0"/>
        </w:rPr>
        <w:t>五、提升城市韧性</w:t>
      </w:r>
      <w:bookmarkEnd w:id="164"/>
      <w:bookmarkEnd w:id="165"/>
      <w:bookmarkEnd w:id="166"/>
      <w:bookmarkEnd w:id="167"/>
      <w:r>
        <w:rPr>
          <w:rFonts w:hint="eastAsia" w:ascii="方正黑体_GBK" w:hAnsi="方正黑体_GBK" w:eastAsia="方正黑体_GBK" w:cs="方正黑体_GBK"/>
          <w:b w:val="0"/>
        </w:rPr>
        <w:t>，提高生活品质</w:t>
      </w:r>
      <w:bookmarkEnd w:id="168"/>
    </w:p>
    <w:p>
      <w:pPr>
        <w:snapToGrid w:val="0"/>
        <w:spacing w:line="579" w:lineRule="exact"/>
        <w:ind w:firstLine="640" w:firstLineChars="200"/>
        <w:rPr>
          <w:rFonts w:eastAsia="方正楷体_GBK"/>
          <w:sz w:val="32"/>
          <w:szCs w:val="32"/>
        </w:rPr>
      </w:pPr>
      <w:r>
        <w:rPr>
          <w:rFonts w:hint="eastAsia" w:ascii="方正楷体_GBK" w:eastAsia="方正楷体_GBK"/>
          <w:sz w:val="32"/>
          <w:szCs w:val="32"/>
        </w:rPr>
        <w:t>（一）</w:t>
      </w:r>
      <w:r>
        <w:rPr>
          <w:rFonts w:ascii="方正楷体_GBK" w:eastAsia="方正楷体_GBK"/>
          <w:sz w:val="32"/>
          <w:szCs w:val="32"/>
        </w:rPr>
        <w:t>持续推进海绵城市建设</w:t>
      </w:r>
      <w:r>
        <w:rPr>
          <w:rFonts w:eastAsia="方正楷体_GBK"/>
          <w:sz w:val="32"/>
          <w:szCs w:val="32"/>
        </w:rPr>
        <w:t>。</w:t>
      </w:r>
      <w:r>
        <w:rPr>
          <w:rFonts w:eastAsia="方正仿宋_GBK"/>
          <w:sz w:val="32"/>
          <w:szCs w:val="32"/>
        </w:rPr>
        <w:t>以中心城区海绵城市建设为载体，遵循山地水文特性，结合水体分布、落差，构建水域涵养、生态净化、行</w:t>
      </w:r>
      <w:r>
        <w:rPr>
          <w:rFonts w:hint="eastAsia" w:ascii="方正仿宋_GBK" w:hAnsi="方正仿宋_GBK" w:eastAsia="方正仿宋_GBK" w:cs="方正仿宋_GBK"/>
          <w:sz w:val="32"/>
          <w:szCs w:val="32"/>
        </w:rPr>
        <w:t>泄顺畅的“三级”弹性水域</w:t>
      </w:r>
      <w:r>
        <w:rPr>
          <w:rFonts w:eastAsia="方正仿宋_GBK"/>
          <w:sz w:val="32"/>
          <w:szCs w:val="32"/>
        </w:rPr>
        <w:t>海绵空间。综合</w:t>
      </w:r>
      <w:r>
        <w:rPr>
          <w:rFonts w:hint="eastAsia" w:ascii="方正仿宋_GBK" w:hAnsi="方正仿宋_GBK" w:eastAsia="方正仿宋_GBK" w:cs="方正仿宋_GBK"/>
          <w:sz w:val="32"/>
          <w:szCs w:val="32"/>
        </w:rPr>
        <w:t>采用“净、蓄、滞、渗、用、排”等措施改善水环境、修复水生态、保</w:t>
      </w:r>
      <w:r>
        <w:rPr>
          <w:rFonts w:eastAsia="方正仿宋_GBK"/>
          <w:sz w:val="32"/>
          <w:szCs w:val="32"/>
        </w:rPr>
        <w:t>障水资源，形成水畅水清、岸绿景美的休闲滨水景观带，提高新型城镇化质量。</w:t>
      </w:r>
    </w:p>
    <w:p>
      <w:pPr>
        <w:spacing w:line="600" w:lineRule="exact"/>
        <w:ind w:firstLine="640" w:firstLineChars="200"/>
        <w:rPr>
          <w:rFonts w:ascii="Times New Roman" w:hAnsi="Times New Roman" w:eastAsia="方正仿宋_GBK" w:cs="Times New Roman"/>
          <w:sz w:val="32"/>
          <w:szCs w:val="32"/>
        </w:rPr>
      </w:pPr>
      <w:r>
        <w:rPr>
          <w:rFonts w:hint="eastAsia" w:ascii="方正楷体_GBK" w:hAnsi="方正楷体_GBK" w:eastAsia="方正楷体_GBK" w:cs="方正楷体_GBK"/>
          <w:sz w:val="32"/>
          <w:szCs w:val="32"/>
        </w:rPr>
        <w:t>（二）积极推进公园城市建设。</w:t>
      </w:r>
      <w:r>
        <w:rPr>
          <w:rFonts w:ascii="Times New Roman" w:hAnsi="Times New Roman" w:eastAsia="方正仿宋_GBK" w:cs="Times New Roman"/>
          <w:sz w:val="32"/>
          <w:szCs w:val="32"/>
        </w:rPr>
        <w:t>加大城区绿化力度，推动城市公园体系建设，打造绿色城市空间，</w:t>
      </w:r>
      <w:r>
        <w:rPr>
          <w:rFonts w:hint="eastAsia" w:ascii="Times New Roman" w:hAnsi="Times New Roman" w:eastAsia="方正仿宋_GBK" w:cs="Times New Roman"/>
          <w:sz w:val="32"/>
          <w:szCs w:val="32"/>
        </w:rPr>
        <w:t>在城东街道、城南街道、城西街道、正阳街道新建一批</w:t>
      </w:r>
      <w:r>
        <w:rPr>
          <w:rFonts w:ascii="Times New Roman" w:hAnsi="Times New Roman" w:eastAsia="方正仿宋_GBK" w:cs="Times New Roman"/>
          <w:sz w:val="32"/>
          <w:szCs w:val="32"/>
        </w:rPr>
        <w:t>综合公园、社区公园、专类公园和游园，增加公园绿地总量，优化公园绿地布局，提升公园绿地功能，构建</w:t>
      </w:r>
      <w:r>
        <w:rPr>
          <w:rFonts w:hint="eastAsia" w:ascii="方正仿宋_GBK" w:hAnsi="方正仿宋_GBK" w:eastAsia="方正仿宋_GBK" w:cs="方正仿宋_GBK"/>
          <w:sz w:val="32"/>
          <w:szCs w:val="32"/>
        </w:rPr>
        <w:t>“</w:t>
      </w:r>
      <w:r>
        <w:rPr>
          <w:rFonts w:ascii="Times New Roman" w:hAnsi="Times New Roman" w:eastAsia="方正仿宋_GBK" w:cs="Times New Roman"/>
          <w:sz w:val="32"/>
          <w:szCs w:val="32"/>
        </w:rPr>
        <w:t>300米见绿、500米见园</w:t>
      </w:r>
      <w:r>
        <w:rPr>
          <w:rFonts w:hint="eastAsia" w:ascii="方正仿宋_GBK" w:hAnsi="方正仿宋_GBK" w:eastAsia="方正仿宋_GBK" w:cs="方正仿宋_GBK"/>
          <w:sz w:val="32"/>
          <w:szCs w:val="32"/>
        </w:rPr>
        <w:t>”</w:t>
      </w:r>
      <w:r>
        <w:rPr>
          <w:rFonts w:ascii="Times New Roman" w:hAnsi="Times New Roman" w:eastAsia="方正仿宋_GBK" w:cs="Times New Roman"/>
          <w:sz w:val="32"/>
          <w:szCs w:val="32"/>
        </w:rPr>
        <w:t>的城市生态格局</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形成“布局均衡、类型多样、功能丰富、特色鲜明”的城市公园体系</w:t>
      </w:r>
      <w:r>
        <w:rPr>
          <w:rFonts w:hint="eastAsia" w:ascii="Times New Roman" w:hAnsi="Times New Roman" w:eastAsia="方正仿宋_GBK" w:cs="Times New Roman"/>
          <w:sz w:val="32"/>
          <w:szCs w:val="32"/>
        </w:rPr>
        <w:t>。</w:t>
      </w:r>
    </w:p>
    <w:p>
      <w:pPr>
        <w:snapToGrid w:val="0"/>
        <w:spacing w:line="579" w:lineRule="exact"/>
        <w:ind w:firstLine="640" w:firstLineChars="200"/>
      </w:pPr>
      <w:r>
        <w:rPr>
          <w:rFonts w:hint="eastAsia" w:ascii="方正楷体_GBK" w:eastAsia="方正楷体_GBK"/>
          <w:sz w:val="32"/>
          <w:szCs w:val="32"/>
        </w:rPr>
        <w:t>（三）</w:t>
      </w:r>
      <w:r>
        <w:rPr>
          <w:rFonts w:ascii="方正楷体_GBK" w:eastAsia="方正楷体_GBK"/>
          <w:sz w:val="32"/>
          <w:szCs w:val="32"/>
        </w:rPr>
        <w:t>建立完善城市绿地系统</w:t>
      </w:r>
      <w:r>
        <w:rPr>
          <w:rFonts w:eastAsia="方正楷体_GBK"/>
          <w:sz w:val="32"/>
          <w:szCs w:val="32"/>
        </w:rPr>
        <w:t>。</w:t>
      </w:r>
      <w:r>
        <w:rPr>
          <w:rFonts w:eastAsia="方正仿宋_GBK"/>
          <w:sz w:val="32"/>
          <w:szCs w:val="32"/>
        </w:rPr>
        <w:t>推动城市综合公园、社区公园、游园和城市广场建设，实现公园绿地服务半径覆盖率稳定增长，提高居住区绿地、道路绿地等附属绿地的建设和养护质量标准，建设功能完善、景观优美的生态宜居城市。推动城市立体绿化建设，发展城市绿地和公园智能化管理模式，建立</w:t>
      </w:r>
      <w:r>
        <w:rPr>
          <w:rFonts w:hint="eastAsia" w:eastAsia="方正仿宋_GBK"/>
          <w:sz w:val="32"/>
          <w:szCs w:val="32"/>
        </w:rPr>
        <w:t>一套</w:t>
      </w:r>
      <w:r>
        <w:rPr>
          <w:rFonts w:eastAsia="方正仿宋_GBK"/>
          <w:sz w:val="32"/>
          <w:szCs w:val="32"/>
        </w:rPr>
        <w:t>从植物养护、植物病虫害监控、植物安全隐患监测、环境监测到游客管理</w:t>
      </w:r>
      <w:r>
        <w:rPr>
          <w:rFonts w:hint="eastAsia" w:eastAsia="方正仿宋_GBK"/>
          <w:sz w:val="32"/>
          <w:szCs w:val="32"/>
        </w:rPr>
        <w:t>的</w:t>
      </w:r>
      <w:r>
        <w:rPr>
          <w:rFonts w:eastAsia="方正仿宋_GBK"/>
          <w:sz w:val="32"/>
          <w:szCs w:val="32"/>
        </w:rPr>
        <w:t>智能化管理体系</w:t>
      </w:r>
      <w:r>
        <w:rPr>
          <w:rFonts w:hint="eastAsia" w:eastAsia="方正仿宋_GBK"/>
          <w:sz w:val="32"/>
          <w:szCs w:val="32"/>
        </w:rPr>
        <w:t>。</w:t>
      </w:r>
    </w:p>
    <w:p>
      <w:pPr>
        <w:spacing w:line="600" w:lineRule="exact"/>
        <w:ind w:firstLine="640" w:firstLineChars="200"/>
        <w:outlineLvl w:val="2"/>
        <w:rPr>
          <w:rFonts w:ascii="方正黑体_GBK" w:hAnsi="方正黑体_GBK" w:eastAsia="方正黑体_GBK" w:cs="方正黑体_GBK"/>
          <w:sz w:val="32"/>
          <w:szCs w:val="32"/>
        </w:rPr>
      </w:pPr>
      <w:bookmarkStart w:id="169" w:name="_Toc31759"/>
      <w:r>
        <w:rPr>
          <w:rFonts w:hint="eastAsia" w:ascii="方正黑体_GBK" w:hAnsi="方正黑体_GBK" w:eastAsia="方正黑体_GBK" w:cs="方正黑体_GBK"/>
          <w:sz w:val="32"/>
          <w:szCs w:val="32"/>
        </w:rPr>
        <w:t>六、拓宽两山转化路径，助力黔江绿色发展</w:t>
      </w:r>
      <w:bookmarkEnd w:id="169"/>
    </w:p>
    <w:p>
      <w:pPr>
        <w:adjustRightInd w:val="0"/>
        <w:snapToGrid w:val="0"/>
        <w:spacing w:line="600" w:lineRule="exact"/>
        <w:ind w:firstLine="640" w:firstLineChars="200"/>
        <w:rPr>
          <w:rFonts w:ascii="Times New Roman" w:hAnsi="Times New Roman" w:eastAsia="方正仿宋_GBK" w:cs="Times New Roman"/>
          <w:sz w:val="32"/>
          <w:szCs w:val="32"/>
        </w:rPr>
      </w:pPr>
      <w:r>
        <w:rPr>
          <w:rFonts w:hint="eastAsia" w:ascii="方正楷体_GBK" w:hAnsi="方正楷体_GBK" w:eastAsia="方正楷体_GBK" w:cs="方正楷体_GBK"/>
          <w:sz w:val="32"/>
          <w:szCs w:val="32"/>
        </w:rPr>
        <w:t>（一）强化政策赋能。</w:t>
      </w:r>
      <w:r>
        <w:rPr>
          <w:rFonts w:ascii="Times New Roman" w:hAnsi="Times New Roman" w:eastAsia="方正仿宋_GBK" w:cs="Times New Roman"/>
          <w:sz w:val="32"/>
          <w:szCs w:val="32"/>
        </w:rPr>
        <w:t>建立生态价值实现机制，</w:t>
      </w:r>
      <w:r>
        <w:rPr>
          <w:rFonts w:hint="eastAsia" w:ascii="Times New Roman" w:hAnsi="Times New Roman" w:eastAsia="方正仿宋_GBK" w:cs="Times New Roman"/>
          <w:sz w:val="32"/>
          <w:szCs w:val="32"/>
        </w:rPr>
        <w:t>重点</w:t>
      </w:r>
      <w:r>
        <w:rPr>
          <w:rFonts w:ascii="Times New Roman" w:hAnsi="Times New Roman" w:eastAsia="方正仿宋_GBK" w:cs="Times New Roman"/>
          <w:sz w:val="32"/>
          <w:szCs w:val="32"/>
        </w:rPr>
        <w:t>建立生态价值评估机制、生态补偿机制、绿色核算机制、生态产业发展促进机制、招商引资机制，夯实生态产品产权制度和生态价值核</w:t>
      </w:r>
      <w:r>
        <w:rPr>
          <w:rFonts w:hint="eastAsia" w:ascii="方正仿宋_GBK" w:hAnsi="方正仿宋_GBK" w:eastAsia="方正仿宋_GBK" w:cs="方正仿宋_GBK"/>
          <w:sz w:val="32"/>
          <w:szCs w:val="32"/>
        </w:rPr>
        <w:t>算评价这两项基础工作，探索黔江区“绿水青山就是金山银山”实现路径</w:t>
      </w:r>
      <w:r>
        <w:rPr>
          <w:rFonts w:ascii="Times New Roman" w:hAnsi="Times New Roman" w:eastAsia="方正仿宋_GBK" w:cs="Times New Roman"/>
          <w:sz w:val="32"/>
          <w:szCs w:val="32"/>
        </w:rPr>
        <w:t>。健全生态产品经营机制，推动生态资源权益交易</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积极引入各类专业化主体，提升生态资源的造血能力和运营效率，用市场化机制拓宽和创新生态产品价值实现路径。健全生态保护补偿机制，营造生态保护良好氛围</w:t>
      </w:r>
      <w:r>
        <w:rPr>
          <w:rFonts w:hint="eastAsia" w:ascii="方正仿宋_GBK" w:hAnsi="方正仿宋_GBK" w:eastAsia="方正仿宋_GBK" w:cs="方正仿宋_GBK"/>
          <w:sz w:val="32"/>
          <w:szCs w:val="32"/>
        </w:rPr>
        <w:t>，着力构建“保护者受益、使用者付费、破坏者赔偿”的利益导向机制，</w:t>
      </w:r>
      <w:r>
        <w:rPr>
          <w:rFonts w:ascii="Times New Roman" w:hAnsi="Times New Roman" w:eastAsia="方正仿宋_GBK" w:cs="Times New Roman"/>
          <w:sz w:val="32"/>
          <w:szCs w:val="32"/>
        </w:rPr>
        <w:t>引导、规范和约束各类开发、利用、保护自然资源的行</w:t>
      </w:r>
      <w:r>
        <w:rPr>
          <w:rFonts w:hint="eastAsia" w:ascii="Times New Roman" w:hAnsi="Times New Roman" w:eastAsia="方正仿宋_GBK" w:cs="Times New Roman"/>
          <w:sz w:val="32"/>
          <w:szCs w:val="32"/>
        </w:rPr>
        <w:t>为</w:t>
      </w:r>
      <w:r>
        <w:rPr>
          <w:rFonts w:ascii="Times New Roman" w:hAnsi="Times New Roman" w:eastAsia="方正仿宋_GBK" w:cs="Times New Roman"/>
          <w:sz w:val="32"/>
          <w:szCs w:val="32"/>
        </w:rPr>
        <w:t>，推进生态损害成本内部化，提高破坏生态违法成本，在全区树立生态产品有价、保护生态有责的意识，营造生态保护修复良好氛围。</w:t>
      </w:r>
    </w:p>
    <w:p>
      <w:pPr>
        <w:adjustRightInd w:val="0"/>
        <w:snapToGrid w:val="0"/>
        <w:spacing w:line="600" w:lineRule="exact"/>
        <w:ind w:firstLine="707" w:firstLineChars="221"/>
        <w:rPr>
          <w:rFonts w:ascii="Times New Roman" w:hAnsi="Times New Roman" w:eastAsia="方正仿宋_GBK" w:cs="Times New Roman"/>
          <w:sz w:val="32"/>
          <w:szCs w:val="32"/>
        </w:rPr>
      </w:pPr>
      <w:r>
        <w:rPr>
          <w:rFonts w:hint="eastAsia" w:ascii="方正楷体_GBK" w:hAnsi="方正楷体_GBK" w:eastAsia="方正楷体_GBK" w:cs="方正楷体_GBK"/>
          <w:sz w:val="32"/>
          <w:szCs w:val="32"/>
        </w:rPr>
        <w:t>（二）培育生态产品。</w:t>
      </w:r>
      <w:r>
        <w:rPr>
          <w:rFonts w:hint="eastAsia" w:ascii="Times New Roman" w:hAnsi="Times New Roman" w:eastAsia="方正仿宋_GBK" w:cs="Times New Roman"/>
          <w:sz w:val="32"/>
          <w:szCs w:val="32"/>
        </w:rPr>
        <w:t>加强生态旅游开发力度，对于</w:t>
      </w:r>
      <w:r>
        <w:rPr>
          <w:rFonts w:ascii="Times New Roman" w:hAnsi="Times New Roman" w:eastAsia="方正仿宋_GBK" w:cs="Times New Roman"/>
          <w:sz w:val="32"/>
          <w:szCs w:val="32"/>
        </w:rPr>
        <w:t>城区外山体</w:t>
      </w:r>
      <w:r>
        <w:rPr>
          <w:rFonts w:hint="eastAsia" w:ascii="Times New Roman" w:hAnsi="Times New Roman" w:eastAsia="方正仿宋_GBK" w:cs="Times New Roman"/>
          <w:sz w:val="32"/>
          <w:szCs w:val="32"/>
        </w:rPr>
        <w:t>，在以</w:t>
      </w:r>
      <w:r>
        <w:rPr>
          <w:rFonts w:ascii="Times New Roman" w:hAnsi="Times New Roman" w:eastAsia="方正仿宋_GBK" w:cs="Times New Roman"/>
          <w:sz w:val="32"/>
          <w:szCs w:val="32"/>
        </w:rPr>
        <w:t>山体保护、矿坑修复为主</w:t>
      </w:r>
      <w:r>
        <w:rPr>
          <w:rFonts w:hint="eastAsia" w:ascii="Times New Roman" w:hAnsi="Times New Roman" w:eastAsia="方正仿宋_GBK" w:cs="Times New Roman"/>
          <w:sz w:val="32"/>
          <w:szCs w:val="32"/>
        </w:rPr>
        <w:t>的前提下</w:t>
      </w:r>
      <w:r>
        <w:rPr>
          <w:rFonts w:ascii="Times New Roman" w:hAnsi="Times New Roman" w:eastAsia="方正仿宋_GBK" w:cs="Times New Roman"/>
          <w:sz w:val="32"/>
          <w:szCs w:val="32"/>
        </w:rPr>
        <w:t>，可</w:t>
      </w:r>
      <w:r>
        <w:rPr>
          <w:rFonts w:hint="eastAsia" w:ascii="Times New Roman" w:hAnsi="Times New Roman" w:eastAsia="方正仿宋_GBK" w:cs="Times New Roman"/>
          <w:sz w:val="32"/>
          <w:szCs w:val="32"/>
        </w:rPr>
        <w:t>适</w:t>
      </w:r>
      <w:r>
        <w:rPr>
          <w:rFonts w:ascii="Times New Roman" w:hAnsi="Times New Roman" w:eastAsia="方正仿宋_GBK" w:cs="Times New Roman"/>
          <w:sz w:val="32"/>
          <w:szCs w:val="32"/>
        </w:rPr>
        <w:t>当结合山体自然资源开展生态旅游开发，丰富市民游憩活动</w:t>
      </w:r>
      <w:r>
        <w:rPr>
          <w:rFonts w:hint="eastAsia" w:ascii="Times New Roman" w:hAnsi="Times New Roman" w:eastAsia="方正仿宋_GBK" w:cs="Times New Roman"/>
          <w:sz w:val="32"/>
          <w:szCs w:val="32"/>
        </w:rPr>
        <w:t>，同时，</w:t>
      </w:r>
      <w:r>
        <w:rPr>
          <w:rFonts w:ascii="Times New Roman" w:hAnsi="Times New Roman" w:eastAsia="方正仿宋_GBK" w:cs="Times New Roman"/>
          <w:sz w:val="32"/>
          <w:szCs w:val="32"/>
        </w:rPr>
        <w:t>山体内严格保护森林植被，严禁乱砍乱伐、乱开乱采等行为。</w:t>
      </w:r>
      <w:r>
        <w:rPr>
          <w:rFonts w:hint="eastAsia" w:ascii="Times New Roman" w:hAnsi="Times New Roman" w:eastAsia="方正仿宋_GBK" w:cs="Times New Roman"/>
          <w:sz w:val="32"/>
          <w:szCs w:val="32"/>
        </w:rPr>
        <w:t>对于</w:t>
      </w:r>
      <w:r>
        <w:rPr>
          <w:rFonts w:ascii="Times New Roman" w:hAnsi="Times New Roman" w:eastAsia="方正仿宋_GBK" w:cs="Times New Roman"/>
          <w:sz w:val="32"/>
          <w:szCs w:val="32"/>
        </w:rPr>
        <w:t>城区及周边</w:t>
      </w:r>
      <w:r>
        <w:rPr>
          <w:rFonts w:hint="eastAsia" w:ascii="Times New Roman" w:hAnsi="Times New Roman" w:eastAsia="方正仿宋_GBK" w:cs="Times New Roman"/>
          <w:sz w:val="32"/>
          <w:szCs w:val="32"/>
        </w:rPr>
        <w:t>的山体，</w:t>
      </w:r>
      <w:r>
        <w:rPr>
          <w:rFonts w:ascii="Times New Roman" w:hAnsi="Times New Roman" w:eastAsia="方正仿宋_GBK" w:cs="Times New Roman"/>
          <w:sz w:val="32"/>
          <w:szCs w:val="32"/>
        </w:rPr>
        <w:t>努力构建城景共融、彰显特色、品质高端的</w:t>
      </w:r>
      <w:r>
        <w:rPr>
          <w:rFonts w:hint="eastAsia" w:ascii="方正仿宋_GBK" w:hAnsi="方正仿宋_GBK" w:eastAsia="方正仿宋_GBK" w:cs="方正仿宋_GBK"/>
          <w:sz w:val="32"/>
          <w:szCs w:val="32"/>
        </w:rPr>
        <w:t>大景区，“让城区成为景区的客厅，景区成为城区的花园”，为黔江打造“中国峡谷城·武陵会客厅”提供生</w:t>
      </w:r>
      <w:r>
        <w:rPr>
          <w:rFonts w:hint="eastAsia" w:ascii="Times New Roman" w:hAnsi="Times New Roman" w:eastAsia="方正仿宋_GBK" w:cs="Times New Roman"/>
          <w:sz w:val="32"/>
          <w:szCs w:val="32"/>
        </w:rPr>
        <w:t>态支撑。</w:t>
      </w:r>
      <w:r>
        <w:rPr>
          <w:rFonts w:hint="eastAsia" w:ascii="方正仿宋_GBK" w:hAnsi="方正仿宋_GBK" w:eastAsia="方正仿宋_GBK" w:cs="方正仿宋_GBK"/>
          <w:sz w:val="32"/>
          <w:szCs w:val="32"/>
        </w:rPr>
        <w:t>以地票制度为核心，拓展“生态地票”功能，建立市场化“退建还耕还林还草”机制，实现统筹城乡发展、推动生态修复、增加生态产品多重效益的叠加。</w:t>
      </w:r>
    </w:p>
    <w:p>
      <w:pPr>
        <w:snapToGrid w:val="0"/>
        <w:spacing w:line="579" w:lineRule="exact"/>
        <w:ind w:firstLine="640" w:firstLineChars="200"/>
        <w:rPr>
          <w:rFonts w:ascii="方正仿宋_GBK" w:hAnsi="方正仿宋_GBK" w:eastAsia="方正仿宋_GBK" w:cs="方正仿宋_GBK"/>
          <w:sz w:val="32"/>
          <w:szCs w:val="32"/>
        </w:rPr>
      </w:pPr>
      <w:r>
        <w:rPr>
          <w:rFonts w:hint="eastAsia" w:ascii="方正楷体_GBK" w:hAnsi="方正楷体_GBK" w:eastAsia="方正楷体_GBK" w:cs="方正楷体_GBK"/>
          <w:sz w:val="32"/>
          <w:szCs w:val="32"/>
        </w:rPr>
        <w:t>（三）构建生态产业。</w:t>
      </w:r>
      <w:r>
        <w:rPr>
          <w:rFonts w:hint="eastAsia" w:ascii="方正仿宋_GBK" w:hAnsi="方正仿宋_GBK" w:eastAsia="方正仿宋_GBK" w:cs="方正仿宋_GBK"/>
          <w:sz w:val="32"/>
          <w:szCs w:val="32"/>
        </w:rPr>
        <w:t>积极参与碳汇交易机制建设探索，转卖剩余的碳排放指标，实现森林生态价值的有效补偿。推进可出售森林面积指标交易，实现横向生态补偿。加强森林分类经营、森林抚育和退化林修复，因地制宜发展木本油料、笋竹、中药材、特色经果林、林产品精深加工、生态旅游康养等绿色富民产业。积极开展森林康养试点区建设，探索水市水车坪</w:t>
      </w:r>
      <w:r>
        <w:rPr>
          <w:rFonts w:ascii="Times New Roman" w:hAnsi="Times New Roman" w:eastAsia="方正仿宋_GBK" w:cs="Times New Roman"/>
          <w:sz w:val="32"/>
          <w:szCs w:val="32"/>
        </w:rPr>
        <w:t>国家4A级旅</w:t>
      </w:r>
      <w:r>
        <w:rPr>
          <w:rFonts w:hint="eastAsia" w:ascii="方正仿宋_GBK" w:hAnsi="方正仿宋_GBK" w:eastAsia="方正仿宋_GBK" w:cs="方正仿宋_GBK"/>
          <w:sz w:val="32"/>
          <w:szCs w:val="32"/>
        </w:rPr>
        <w:t xml:space="preserve">游景区森林疗养旅游业态，开展仰头山森林公园森林康养试点。实施生态产品品牌战略，引导龙头企业通过新业态开拓、新产品开发、新成果转化，实现生态产业升级发展。科学利用山林资源，巩固拓展脱贫攻坚成果同乡村振兴有效衔接，建立利益联结机制，将绿水青山转化为金山银山，实现生态美、产业兴、百姓富的新格局。 </w:t>
      </w:r>
    </w:p>
    <w:p>
      <w:pPr>
        <w:adjustRightInd w:val="0"/>
        <w:snapToGrid w:val="0"/>
        <w:spacing w:line="600" w:lineRule="exact"/>
        <w:ind w:firstLine="707" w:firstLineChars="221"/>
        <w:rPr>
          <w:rFonts w:ascii="方正仿宋_GBK" w:hAnsi="方正仿宋_GBK" w:eastAsia="方正仿宋_GBK" w:cs="方正仿宋_GBK"/>
          <w:sz w:val="32"/>
          <w:szCs w:val="32"/>
        </w:rPr>
      </w:pPr>
    </w:p>
    <w:p>
      <w:pPr>
        <w:adjustRightInd w:val="0"/>
        <w:snapToGrid w:val="0"/>
        <w:spacing w:line="600" w:lineRule="exact"/>
        <w:ind w:firstLine="707" w:firstLineChars="221"/>
        <w:rPr>
          <w:rFonts w:ascii="方正仿宋_GBK" w:hAnsi="方正仿宋_GBK" w:eastAsia="方正仿宋_GBK" w:cs="方正仿宋_GBK"/>
          <w:sz w:val="32"/>
          <w:szCs w:val="32"/>
        </w:rPr>
        <w:sectPr>
          <w:pgSz w:w="11906" w:h="16838"/>
          <w:pgMar w:top="1701" w:right="1474" w:bottom="1440" w:left="1587" w:header="851" w:footer="992" w:gutter="0"/>
          <w:cols w:space="0" w:num="1"/>
          <w:docGrid w:type="lines" w:linePitch="312" w:charSpace="0"/>
        </w:sectPr>
      </w:pPr>
    </w:p>
    <w:p>
      <w:pPr>
        <w:spacing w:before="312" w:beforeLines="100" w:after="312" w:afterLines="100" w:line="600" w:lineRule="exact"/>
        <w:jc w:val="center"/>
        <w:outlineLvl w:val="0"/>
        <w:rPr>
          <w:rFonts w:ascii="方正小标宋_GBK" w:hAnsi="方正小标宋_GBK" w:eastAsia="方正小标宋_GBK" w:cs="方正小标宋_GBK"/>
          <w:sz w:val="44"/>
          <w:szCs w:val="44"/>
        </w:rPr>
      </w:pPr>
      <w:bookmarkStart w:id="170" w:name="_Toc8175"/>
      <w:bookmarkStart w:id="171" w:name="_Toc28100"/>
      <w:bookmarkStart w:id="172" w:name="_Toc25286"/>
      <w:bookmarkStart w:id="173" w:name="_Toc22400"/>
      <w:r>
        <w:rPr>
          <w:rFonts w:hint="eastAsia" w:ascii="方正小标宋_GBK" w:hAnsi="方正小标宋_GBK" w:eastAsia="方正小标宋_GBK" w:cs="方正小标宋_GBK"/>
          <w:sz w:val="44"/>
          <w:szCs w:val="44"/>
        </w:rPr>
        <w:t>第四章 生态修复重点工程</w:t>
      </w:r>
      <w:bookmarkEnd w:id="170"/>
      <w:bookmarkEnd w:id="171"/>
      <w:bookmarkEnd w:id="172"/>
      <w:bookmarkEnd w:id="173"/>
    </w:p>
    <w:p>
      <w:pPr>
        <w:spacing w:before="312" w:beforeLines="100" w:after="156" w:afterLines="50" w:line="600" w:lineRule="exact"/>
        <w:ind w:firstLine="640" w:firstLineChars="200"/>
        <w:outlineLvl w:val="1"/>
        <w:rPr>
          <w:rFonts w:ascii="方正小标宋_GBK" w:hAnsi="方正小标宋_GBK" w:eastAsia="方正小标宋_GBK" w:cs="方正小标宋_GBK"/>
          <w:sz w:val="32"/>
          <w:szCs w:val="32"/>
        </w:rPr>
      </w:pPr>
      <w:bookmarkStart w:id="174" w:name="_Toc6311"/>
      <w:bookmarkStart w:id="175" w:name="_Toc3225"/>
      <w:bookmarkStart w:id="176" w:name="_Toc3819"/>
      <w:bookmarkStart w:id="177" w:name="_Toc4445"/>
      <w:r>
        <w:rPr>
          <w:rFonts w:hint="eastAsia" w:ascii="方正小标宋_GBK" w:hAnsi="方正小标宋_GBK" w:eastAsia="方正小标宋_GBK" w:cs="方正小标宋_GBK"/>
          <w:sz w:val="32"/>
          <w:szCs w:val="32"/>
        </w:rPr>
        <w:t>第一节 重点工程</w:t>
      </w:r>
      <w:bookmarkEnd w:id="174"/>
      <w:bookmarkEnd w:id="175"/>
      <w:bookmarkEnd w:id="176"/>
      <w:bookmarkEnd w:id="177"/>
    </w:p>
    <w:p>
      <w:pPr>
        <w:spacing w:line="600" w:lineRule="exact"/>
        <w:ind w:firstLine="640" w:firstLineChars="200"/>
        <w:rPr>
          <w:rFonts w:ascii="方正仿宋_GBK" w:hAnsi="方正仿宋_GBK" w:eastAsia="方正仿宋_GBK" w:cs="方正仿宋_GBK"/>
          <w:sz w:val="32"/>
          <w:szCs w:val="32"/>
        </w:rPr>
      </w:pPr>
      <w:bookmarkStart w:id="178" w:name="_Hlk127655260"/>
      <w:r>
        <w:rPr>
          <w:rFonts w:hint="eastAsia" w:ascii="方正仿宋_GBK" w:hAnsi="方正仿宋_GBK" w:eastAsia="方正仿宋_GBK" w:cs="方正仿宋_GBK"/>
          <w:sz w:val="32"/>
          <w:szCs w:val="32"/>
        </w:rPr>
        <w:t>聚焦全区生态、农业、城镇以及矿山主要生态问题和主攻方向，以推动国土空间整体保护、系统修复、综合治理为导向，谋</w:t>
      </w:r>
      <w:r>
        <w:rPr>
          <w:rFonts w:ascii="Times New Roman" w:hAnsi="Times New Roman" w:eastAsia="方正仿宋_GBK" w:cs="Times New Roman"/>
          <w:sz w:val="32"/>
          <w:szCs w:val="32"/>
        </w:rPr>
        <w:t>划布局7大重点工程、1</w:t>
      </w:r>
      <w:r>
        <w:rPr>
          <w:rFonts w:hint="eastAsia" w:ascii="Times New Roman" w:hAnsi="Times New Roman" w:eastAsia="方正仿宋_GBK" w:cs="Times New Roman"/>
          <w:sz w:val="32"/>
          <w:szCs w:val="32"/>
        </w:rPr>
        <w:t>5</w:t>
      </w:r>
      <w:r>
        <w:rPr>
          <w:rFonts w:ascii="Times New Roman" w:hAnsi="Times New Roman" w:eastAsia="方正仿宋_GBK" w:cs="Times New Roman"/>
          <w:sz w:val="32"/>
          <w:szCs w:val="32"/>
        </w:rPr>
        <w:t>个重</w:t>
      </w:r>
      <w:r>
        <w:rPr>
          <w:rFonts w:hint="eastAsia" w:ascii="方正仿宋_GBK" w:hAnsi="方正仿宋_GBK" w:eastAsia="方正仿宋_GBK" w:cs="方正仿宋_GBK"/>
          <w:sz w:val="32"/>
          <w:szCs w:val="32"/>
        </w:rPr>
        <w:t>点项目，协同解决突出生态问题、恢复受损生态系统功能、改善生态系统质量、增强生态碳汇能力，切实筑牢长江上游生态屏障，夯实全区“一屏三带三区多绿核”的生态安全格局。</w:t>
      </w:r>
    </w:p>
    <w:bookmarkEnd w:id="178"/>
    <w:p>
      <w:pPr>
        <w:spacing w:line="600" w:lineRule="exact"/>
        <w:ind w:firstLine="640" w:firstLineChars="200"/>
        <w:outlineLvl w:val="2"/>
        <w:rPr>
          <w:rFonts w:ascii="方正黑体_GBK" w:hAnsi="方正黑体_GBK" w:eastAsia="方正黑体_GBK" w:cs="方正黑体_GBK"/>
          <w:sz w:val="32"/>
          <w:szCs w:val="32"/>
        </w:rPr>
      </w:pPr>
      <w:bookmarkStart w:id="179" w:name="_Toc16684"/>
      <w:bookmarkStart w:id="180" w:name="_Toc19433"/>
      <w:bookmarkStart w:id="181" w:name="_Toc2347"/>
      <w:bookmarkStart w:id="182" w:name="_Toc13564"/>
      <w:bookmarkStart w:id="183" w:name="_Toc9667"/>
      <w:r>
        <w:rPr>
          <w:rFonts w:hint="eastAsia" w:ascii="方正黑体_GBK" w:hAnsi="方正黑体_GBK" w:eastAsia="方正黑体_GBK" w:cs="方正黑体_GBK"/>
          <w:sz w:val="32"/>
          <w:szCs w:val="32"/>
        </w:rPr>
        <w:t>一、阿蓬江-诸佛江及支流流域综合治理重点工程</w:t>
      </w:r>
      <w:bookmarkEnd w:id="179"/>
      <w:bookmarkEnd w:id="180"/>
      <w:bookmarkEnd w:id="181"/>
      <w:bookmarkEnd w:id="182"/>
      <w:bookmarkEnd w:id="183"/>
    </w:p>
    <w:p>
      <w:pPr>
        <w:spacing w:after="156" w:afterLines="50" w:line="600" w:lineRule="exact"/>
        <w:ind w:firstLine="640" w:firstLineChars="200"/>
        <w:rPr>
          <w:rFonts w:ascii="Times New Roman" w:hAnsi="Times New Roman" w:eastAsia="方正仿宋_GBK" w:cs="Times New Roman"/>
          <w:sz w:val="32"/>
          <w:szCs w:val="32"/>
        </w:rPr>
      </w:pPr>
      <w:r>
        <w:rPr>
          <w:rFonts w:hint="eastAsia" w:ascii="方正仿宋_GBK" w:hAnsi="方正仿宋_GBK" w:eastAsia="方正仿宋_GBK" w:cs="方正仿宋_GBK"/>
          <w:sz w:val="32"/>
          <w:szCs w:val="32"/>
        </w:rPr>
        <w:t>该重点工程涉及黔江区城东街道、城南街道、城西街道、舟白街道、正阳街道、冯家街道、小南海镇、阿蓬江镇、金溪镇、黑溪镇、马喇镇、濯水镇、石家镇、中塘镇、沙坝镇、石会镇、五里镇、太极镇、水田乡</w:t>
      </w:r>
      <w:r>
        <w:rPr>
          <w:rFonts w:ascii="Times New Roman" w:hAnsi="Times New Roman" w:eastAsia="方正仿宋_GBK" w:cs="Times New Roman"/>
          <w:sz w:val="32"/>
          <w:szCs w:val="32"/>
        </w:rPr>
        <w:t>、金洞乡、新华乡等2</w:t>
      </w:r>
      <w:r>
        <w:rPr>
          <w:rFonts w:hint="eastAsia" w:ascii="Times New Roman" w:hAnsi="Times New Roman" w:eastAsia="方正仿宋_GBK" w:cs="Times New Roman"/>
          <w:sz w:val="32"/>
          <w:szCs w:val="32"/>
        </w:rPr>
        <w:t>1</w:t>
      </w:r>
      <w:r>
        <w:rPr>
          <w:rFonts w:ascii="Times New Roman" w:hAnsi="Times New Roman" w:eastAsia="方正仿宋_GBK" w:cs="Times New Roman"/>
          <w:sz w:val="32"/>
          <w:szCs w:val="32"/>
        </w:rPr>
        <w:t>个街道和乡镇，以及阿蓬江、诸佛江等15条河流沿岸。重点对流域开展生态护岸及水生态修复、水系联通及水美</w:t>
      </w:r>
      <w:r>
        <w:rPr>
          <w:rFonts w:hint="eastAsia" w:ascii="方正仿宋_GBK" w:hAnsi="方正仿宋_GBK" w:eastAsia="方正仿宋_GBK" w:cs="方正仿宋_GBK"/>
          <w:sz w:val="32"/>
          <w:szCs w:val="32"/>
        </w:rPr>
        <w:t>乡村建设、水生态产业文化建设、湿地修复等，提高区域防洪标准，提升水系疏通能力，</w:t>
      </w:r>
      <w:r>
        <w:rPr>
          <w:rFonts w:hint="eastAsia" w:ascii="Times New Roman" w:hAnsi="Times New Roman" w:eastAsia="方正仿宋_GBK" w:cs="Times New Roman"/>
          <w:sz w:val="32"/>
          <w:szCs w:val="32"/>
        </w:rPr>
        <w:t>完善生态水网体系，盘活城市河流水体，提升流域生态环境。规划期内重点实施阿蓬江流域综合治理、诸佛江黔江段综合治理和小流域及重要河库湿地综合治理等3个重点项目。</w:t>
      </w:r>
    </w:p>
    <w:tbl>
      <w:tblPr>
        <w:tblStyle w:val="19"/>
        <w:tblW w:w="8760" w:type="dxa"/>
        <w:jc w:val="center"/>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fixed"/>
        <w:tblCellMar>
          <w:top w:w="0" w:type="dxa"/>
          <w:left w:w="108" w:type="dxa"/>
          <w:bottom w:w="0" w:type="dxa"/>
          <w:right w:w="108" w:type="dxa"/>
        </w:tblCellMar>
      </w:tblPr>
      <w:tblGrid>
        <w:gridCol w:w="8760"/>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760" w:type="dxa"/>
            <w:tcBorders>
              <w:top w:val="single" w:color="auto" w:sz="12" w:space="0"/>
              <w:left w:val="single" w:color="auto" w:sz="12" w:space="0"/>
              <w:right w:val="single" w:color="auto" w:sz="12" w:space="0"/>
            </w:tcBorders>
            <w:shd w:val="clear" w:color="auto" w:fill="auto"/>
            <w:vAlign w:val="center"/>
          </w:tcPr>
          <w:p>
            <w:pPr>
              <w:adjustRightInd w:val="0"/>
              <w:snapToGrid w:val="0"/>
              <w:spacing w:line="560" w:lineRule="exact"/>
              <w:jc w:val="center"/>
              <w:rPr>
                <w:rFonts w:ascii="Times New Roman" w:hAnsi="Times New Roman" w:eastAsia="方正楷体_GBK" w:cs="Times New Roman"/>
                <w:sz w:val="24"/>
              </w:rPr>
            </w:pPr>
            <w:r>
              <w:rPr>
                <w:rFonts w:hint="eastAsia" w:ascii="方正小标宋_GBK" w:hAnsi="方正小标宋_GBK" w:eastAsia="方正小标宋_GBK" w:cs="方正小标宋_GBK"/>
                <w:sz w:val="28"/>
                <w:szCs w:val="28"/>
              </w:rPr>
              <w:t xml:space="preserve">专栏1 </w:t>
            </w:r>
            <w:r>
              <w:rPr>
                <w:rFonts w:hint="eastAsia" w:ascii="方正黑体_GBK" w:hAnsi="方正黑体_GBK" w:eastAsia="方正黑体_GBK" w:cs="方正黑体_GBK"/>
                <w:sz w:val="32"/>
                <w:szCs w:val="32"/>
              </w:rPr>
              <w:t>阿蓬江-诸佛江及支流流域综合治理重点工程</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72" w:hRule="atLeast"/>
          <w:jc w:val="center"/>
        </w:trPr>
        <w:tc>
          <w:tcPr>
            <w:tcW w:w="8760" w:type="dxa"/>
            <w:tcBorders>
              <w:left w:val="single" w:color="auto" w:sz="12" w:space="0"/>
              <w:right w:val="single" w:color="auto" w:sz="12" w:space="0"/>
            </w:tcBorders>
            <w:shd w:val="clear" w:color="auto" w:fill="auto"/>
          </w:tcPr>
          <w:p>
            <w:pPr>
              <w:adjustRightInd w:val="0"/>
              <w:snapToGrid w:val="0"/>
              <w:spacing w:before="156" w:beforeLines="50" w:after="156" w:afterLines="50" w:line="360" w:lineRule="exact"/>
              <w:ind w:firstLine="480" w:firstLineChars="200"/>
              <w:rPr>
                <w:rFonts w:ascii="Times New Roman" w:hAnsi="Times New Roman" w:eastAsia="方正仿宋_GBK" w:cs="Times New Roman"/>
                <w:kern w:val="0"/>
                <w:sz w:val="24"/>
              </w:rPr>
            </w:pPr>
            <w:r>
              <w:rPr>
                <w:rFonts w:hint="eastAsia" w:ascii="方正黑体_GBK" w:hAnsi="方正黑体_GBK" w:eastAsia="方正黑体_GBK" w:cs="方正黑体_GBK"/>
                <w:kern w:val="0"/>
                <w:sz w:val="24"/>
              </w:rPr>
              <w:t>1.阿蓬江流域综合治理重点项目。</w:t>
            </w:r>
            <w:r>
              <w:rPr>
                <w:rFonts w:hint="eastAsia" w:ascii="Times New Roman" w:hAnsi="Times New Roman" w:eastAsia="方正仿宋_GBK" w:cs="Times New Roman"/>
                <w:kern w:val="0"/>
                <w:sz w:val="24"/>
              </w:rPr>
              <w:t>项目位于阿蓬江流域，重点涉及舟白街道、冯家街道、阿蓬江镇、濯水镇等4个街镇，以及舟白湿地、官渡峡、蒲花河湿地、两河湿地、神龟峡湿地、外围保护地带、湿地乡村展示区等区域。主要建设内容为：新建堤防和护岸，湿地修复，生态修复与生态产业文化建设等。一是新建堤防和护岸94公里，其中舟白街道段新建堤防15公里、护岸10公里，冯家街道段新建堤防8公里、护岸5公里，阿蓬江镇段新建防洪护岸24公里，濯水镇段新建堤防15公里、护岸5公里。二是在舟白湿地、官渡峡、蒲花河湿地、两河湿地、神龟峡湿地、外围保护地带、湿地乡村展示区，新建生态护岸工程15公里，湿地生态修复54公顷，新建沿江生态步道80公里，新建亲水、临水平台6公顷，新增生态隔离林带307公顷，建设生态水土保持林 228公顷。</w:t>
            </w:r>
          </w:p>
          <w:p>
            <w:pPr>
              <w:adjustRightInd w:val="0"/>
              <w:snapToGrid w:val="0"/>
              <w:spacing w:before="156" w:beforeLines="50" w:after="156" w:afterLines="50" w:line="360" w:lineRule="exact"/>
              <w:ind w:firstLine="480" w:firstLineChars="200"/>
              <w:rPr>
                <w:rFonts w:ascii="Times New Roman" w:hAnsi="Times New Roman" w:eastAsia="方正仿宋_GBK" w:cs="Times New Roman"/>
                <w:kern w:val="0"/>
                <w:sz w:val="24"/>
              </w:rPr>
            </w:pPr>
            <w:r>
              <w:rPr>
                <w:rFonts w:hint="eastAsia" w:ascii="方正黑体_GBK" w:hAnsi="方正黑体_GBK" w:eastAsia="方正黑体_GBK" w:cs="方正黑体_GBK"/>
                <w:kern w:val="0"/>
                <w:sz w:val="24"/>
              </w:rPr>
              <w:t>2.诸佛江黔江段综合治理重点项目。</w:t>
            </w:r>
            <w:r>
              <w:rPr>
                <w:rFonts w:hint="eastAsia" w:ascii="Times New Roman" w:hAnsi="Times New Roman" w:eastAsia="方正仿宋_GBK" w:cs="Times New Roman"/>
                <w:kern w:val="0"/>
                <w:sz w:val="24"/>
              </w:rPr>
              <w:t>项目涉及石家镇、新华乡等2个乡镇。主要建设内容为：流域综合治理。项目建设规模为：综合治理河道长度7公里，新建堤防6公里。</w:t>
            </w:r>
          </w:p>
          <w:p>
            <w:pPr>
              <w:adjustRightInd w:val="0"/>
              <w:snapToGrid w:val="0"/>
              <w:spacing w:before="156" w:beforeLines="50" w:after="156" w:afterLines="50" w:line="360" w:lineRule="exact"/>
              <w:ind w:firstLine="480" w:firstLineChars="200"/>
              <w:rPr>
                <w:rFonts w:ascii="Times New Roman" w:hAnsi="Times New Roman" w:eastAsia="方正仿宋_GBK" w:cs="Times New Roman"/>
                <w:kern w:val="0"/>
                <w:sz w:val="24"/>
              </w:rPr>
            </w:pPr>
            <w:r>
              <w:rPr>
                <w:rFonts w:hint="eastAsia" w:ascii="方正黑体_GBK" w:hAnsi="方正黑体_GBK" w:eastAsia="方正黑体_GBK" w:cs="方正黑体_GBK"/>
                <w:kern w:val="0"/>
                <w:sz w:val="24"/>
              </w:rPr>
              <w:t>3.小流域及重要河库湿地综合治理重点项目。</w:t>
            </w:r>
            <w:r>
              <w:rPr>
                <w:rFonts w:hint="eastAsia" w:ascii="Times New Roman" w:hAnsi="Times New Roman" w:eastAsia="方正仿宋_GBK" w:cs="Times New Roman"/>
                <w:kern w:val="0"/>
                <w:sz w:val="24"/>
              </w:rPr>
              <w:t>项目涉及城东街道、城南街道、城西街道、正阳街道、冯家街道、小南海镇、金溪镇、黑溪镇、马喇镇、中塘镇、沙坝镇、石会镇、五里镇、太极镇、水田乡、金洞乡等16个街道和乡镇，涉及河流15条。主要建设内容包括：生态护岸及水生态修复措施、水系联通及水美乡村建设。项目总规模136公里。其中黔江河综合治理河道长度10公里，新建堤防7公里，加固堤防5公里。石会河新建堤防8公里。袁溪河新建堤防12公里。段溪河（小南海、中塘段）综合治理河道长度10公里，新建堤防15公里。细沙河（马喇、金洞段）综合治理河道长度10公里，新建堤防15公里。南溪河新建堤防8公里。黎水河新建堤防8公里。深溪河新建堤防8公里。团结河综合治理河道总长10公里。南沟河综合治理河道4公里。细沙河马喇段治理河道3.17公里，控制线总长为6288米；五里段治理河道长3公里，控制线总长为4828米。中井河综合治理14公里。太极河蒲花暗河大坝及7公里河道整治。实施水系连通及水美乡村建设，包括水系连通工程1处，引水隧洞总长度4公里；河道清淤疏浚长度17公里；河道岸坡整治总长17公里；水源涵养人工湿地1处；水美乡村建设工程5处，总户数1026户、总人口3852人。。</w:t>
            </w:r>
          </w:p>
        </w:tc>
      </w:tr>
    </w:tbl>
    <w:p>
      <w:pPr>
        <w:spacing w:before="156" w:beforeLines="50" w:line="600" w:lineRule="exact"/>
        <w:ind w:firstLine="640" w:firstLineChars="200"/>
        <w:outlineLvl w:val="2"/>
        <w:rPr>
          <w:rFonts w:ascii="方正黑体_GBK" w:hAnsi="方正黑体_GBK" w:eastAsia="方正黑体_GBK" w:cs="方正黑体_GBK"/>
          <w:sz w:val="32"/>
          <w:szCs w:val="32"/>
        </w:rPr>
      </w:pPr>
      <w:bookmarkStart w:id="184" w:name="_Toc25880"/>
      <w:bookmarkStart w:id="185" w:name="_Toc3307"/>
      <w:bookmarkStart w:id="186" w:name="_Toc19224"/>
      <w:bookmarkStart w:id="187" w:name="_Toc26990"/>
      <w:bookmarkStart w:id="188" w:name="_Toc31278"/>
      <w:bookmarkStart w:id="189" w:name="_Toc9862"/>
      <w:r>
        <w:rPr>
          <w:rFonts w:hint="eastAsia" w:ascii="方正黑体_GBK" w:hAnsi="方正黑体_GBK" w:eastAsia="方正黑体_GBK" w:cs="方正黑体_GBK"/>
          <w:sz w:val="32"/>
          <w:szCs w:val="32"/>
        </w:rPr>
        <w:t>二、</w:t>
      </w:r>
      <w:bookmarkEnd w:id="184"/>
      <w:r>
        <w:rPr>
          <w:rFonts w:hint="eastAsia" w:ascii="方正黑体_GBK" w:hAnsi="方正黑体_GBK" w:eastAsia="方正黑体_GBK" w:cs="方正黑体_GBK"/>
          <w:sz w:val="32"/>
          <w:szCs w:val="32"/>
        </w:rPr>
        <w:t>正阳-舟白-洞塘水生态治理重点工程</w:t>
      </w:r>
      <w:bookmarkEnd w:id="185"/>
      <w:bookmarkEnd w:id="186"/>
      <w:bookmarkEnd w:id="187"/>
      <w:bookmarkEnd w:id="188"/>
      <w:bookmarkEnd w:id="189"/>
    </w:p>
    <w:p>
      <w:pPr>
        <w:spacing w:line="600" w:lineRule="exact"/>
        <w:ind w:firstLine="640" w:firstLineChars="200"/>
        <w:rPr>
          <w:rFonts w:ascii="Times New Roman" w:hAnsi="Times New Roman" w:eastAsia="方正仿宋_GBK" w:cs="Times New Roman"/>
          <w:sz w:val="32"/>
          <w:szCs w:val="32"/>
        </w:rPr>
      </w:pPr>
      <w:r>
        <w:rPr>
          <w:rFonts w:hint="eastAsia" w:ascii="方正仿宋_GBK" w:hAnsi="方正仿宋_GBK" w:eastAsia="方正仿宋_GBK" w:cs="方正仿宋_GBK"/>
          <w:sz w:val="32"/>
          <w:szCs w:val="32"/>
        </w:rPr>
        <w:t>该重点工程涉及黔江区正阳街道、舟白街</w:t>
      </w:r>
      <w:r>
        <w:rPr>
          <w:rFonts w:ascii="Times New Roman" w:hAnsi="Times New Roman" w:eastAsia="方正仿宋_GBK" w:cs="Times New Roman"/>
          <w:sz w:val="32"/>
          <w:szCs w:val="32"/>
        </w:rPr>
        <w:t>道等2个街</w:t>
      </w:r>
      <w:r>
        <w:rPr>
          <w:rFonts w:hint="eastAsia" w:ascii="方正仿宋_GBK" w:hAnsi="方正仿宋_GBK" w:eastAsia="方正仿宋_GBK" w:cs="方正仿宋_GBK"/>
          <w:sz w:val="32"/>
          <w:szCs w:val="32"/>
        </w:rPr>
        <w:t>道，以及洞塘、老窖溪、马家沟、盖坪水库。按照水环境质量“只能变好、不能变差”的原则，系统推进水环境治理、水生态修复、水污染防治工作。以正阳街道和舟白街道为重点，推动实施一批水体公园建设，增强水体自净能力，改善局部生态环境，丰富市民户外活动空间。开展农村污水处理和农业面源污染治理</w:t>
      </w:r>
      <w:r>
        <w:rPr>
          <w:rFonts w:ascii="方正仿宋_GBK" w:hAnsi="方正仿宋_GBK" w:eastAsia="方正仿宋_GBK" w:cs="方正仿宋_GBK"/>
          <w:sz w:val="32"/>
          <w:szCs w:val="32"/>
        </w:rPr>
        <w:t>，削减水源地污染物负荷。通过生态恢复等措施，创造受损河湖岸带生态系统能够逐步自然恢复的生境条件，使退化的河流岸带恢复到健康状态，发挥其主要生态服务功能，践行“</w:t>
      </w:r>
      <w:r>
        <w:rPr>
          <w:rFonts w:ascii="Times New Roman" w:hAnsi="Times New Roman" w:eastAsia="方正仿宋_GBK" w:cs="Times New Roman"/>
          <w:sz w:val="32"/>
          <w:szCs w:val="32"/>
        </w:rPr>
        <w:t>绿水青山就是金山银山”理念，促进区域经济发展。规划区实施新城生态水体治理和集中式饮用水水源地环境问题整治和生态修复等2个重点项目</w:t>
      </w:r>
      <w:r>
        <w:rPr>
          <w:rFonts w:hint="eastAsia" w:ascii="Times New Roman" w:hAnsi="Times New Roman" w:eastAsia="方正仿宋_GBK" w:cs="Times New Roman"/>
          <w:sz w:val="32"/>
          <w:szCs w:val="32"/>
        </w:rPr>
        <w:t>。</w:t>
      </w:r>
    </w:p>
    <w:tbl>
      <w:tblPr>
        <w:tblStyle w:val="19"/>
        <w:tblpPr w:leftFromText="180" w:rightFromText="180" w:vertAnchor="text" w:horzAnchor="page" w:tblpX="1744" w:tblpY="426"/>
        <w:tblOverlap w:val="never"/>
        <w:tblW w:w="8760"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8760"/>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8760" w:type="dxa"/>
            <w:shd w:val="clear" w:color="auto" w:fill="auto"/>
            <w:vAlign w:val="center"/>
          </w:tcPr>
          <w:p>
            <w:pPr>
              <w:adjustRightInd w:val="0"/>
              <w:snapToGrid w:val="0"/>
              <w:spacing w:line="560" w:lineRule="exact"/>
              <w:jc w:val="center"/>
              <w:rPr>
                <w:rFonts w:ascii="Times New Roman" w:hAnsi="Times New Roman" w:eastAsia="方正楷体_GBK" w:cs="Times New Roman"/>
                <w:sz w:val="24"/>
              </w:rPr>
            </w:pPr>
            <w:r>
              <w:rPr>
                <w:rFonts w:hint="eastAsia" w:ascii="方正小标宋_GBK" w:hAnsi="方正小标宋_GBK" w:eastAsia="方正小标宋_GBK" w:cs="方正小标宋_GBK"/>
                <w:sz w:val="28"/>
                <w:szCs w:val="28"/>
              </w:rPr>
              <w:t>专栏2 正阳-舟白-洞塘水生态治理</w:t>
            </w:r>
            <w:r>
              <w:rPr>
                <w:rFonts w:hint="eastAsia" w:ascii="方正黑体_GBK" w:hAnsi="方正黑体_GBK" w:eastAsia="方正黑体_GBK" w:cs="方正黑体_GBK"/>
                <w:sz w:val="28"/>
                <w:szCs w:val="28"/>
              </w:rPr>
              <w:t>重点工程</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2" w:hRule="atLeast"/>
        </w:trPr>
        <w:tc>
          <w:tcPr>
            <w:tcW w:w="8760" w:type="dxa"/>
            <w:shd w:val="clear" w:color="auto" w:fill="auto"/>
          </w:tcPr>
          <w:p>
            <w:pPr>
              <w:adjustRightInd w:val="0"/>
              <w:snapToGrid w:val="0"/>
              <w:spacing w:before="156" w:beforeLines="50" w:after="156" w:afterLines="50" w:line="360" w:lineRule="exact"/>
              <w:ind w:firstLine="480" w:firstLineChars="200"/>
              <w:rPr>
                <w:rFonts w:ascii="Times New Roman" w:hAnsi="Times New Roman" w:eastAsia="方正仿宋_GBK" w:cs="Times New Roman"/>
                <w:kern w:val="0"/>
                <w:sz w:val="24"/>
              </w:rPr>
            </w:pPr>
            <w:r>
              <w:rPr>
                <w:rFonts w:hint="eastAsia" w:ascii="方正黑体_GBK" w:hAnsi="方正黑体_GBK" w:eastAsia="方正黑体_GBK" w:cs="方正黑体_GBK"/>
                <w:kern w:val="0"/>
                <w:sz w:val="24"/>
              </w:rPr>
              <w:t>4.新城生态水体治理重点项目。</w:t>
            </w:r>
            <w:r>
              <w:rPr>
                <w:rFonts w:hint="eastAsia" w:ascii="Times New Roman" w:hAnsi="Times New Roman" w:eastAsia="方正仿宋_GBK" w:cs="Times New Roman"/>
                <w:kern w:val="0"/>
                <w:sz w:val="24"/>
              </w:rPr>
              <w:t>项目涉及正阳街道、舟白街道等2个街道。主要建设内容为生态水体建设。项目建设规模为新建生态水体18个，其中，在正阳、舟白新城片区建设9座生态水体，新增水域面积835亩；在舟白组团建设杨家坝公园、龙洞垭和民族公园3个水体；在正阳组团内建设滨河公园、听松岭、天生湖、湿地公园、小湾、鲤鱼池公园6个水体。</w:t>
            </w:r>
          </w:p>
          <w:p>
            <w:pPr>
              <w:adjustRightInd w:val="0"/>
              <w:snapToGrid w:val="0"/>
              <w:spacing w:before="156" w:beforeLines="50" w:after="156" w:afterLines="50" w:line="360" w:lineRule="exact"/>
              <w:ind w:firstLine="480" w:firstLineChars="200"/>
              <w:rPr>
                <w:rFonts w:ascii="Times New Roman" w:hAnsi="Times New Roman" w:eastAsia="方正仿宋_GBK" w:cs="Times New Roman"/>
                <w:kern w:val="0"/>
                <w:sz w:val="24"/>
              </w:rPr>
            </w:pPr>
            <w:r>
              <w:rPr>
                <w:rFonts w:hint="eastAsia" w:ascii="方正黑体_GBK" w:hAnsi="方正黑体_GBK" w:eastAsia="方正黑体_GBK" w:cs="方正黑体_GBK"/>
                <w:kern w:val="0"/>
                <w:sz w:val="24"/>
              </w:rPr>
              <w:t>5.集中式饮用水水源地环境问题整治和生态修复重点项目。</w:t>
            </w:r>
            <w:r>
              <w:rPr>
                <w:rFonts w:hint="eastAsia" w:ascii="Times New Roman" w:hAnsi="Times New Roman" w:eastAsia="方正仿宋_GBK" w:cs="Times New Roman"/>
                <w:kern w:val="0"/>
                <w:sz w:val="24"/>
              </w:rPr>
              <w:t>项目涉及洞塘、老窖溪水库、马家沟水库、盖坪水库等3个水库。主要建设内容为生活污水处理、农业面源污染治理、实施生态修复等。一是农村生活污水治理。采用分散式处理原则，每户修建三格式化粪池对污水进行收集处理后就近还田利用，新建约500余座三格式化粪池，并配套入户管网。二是农业面源污染治理。主要采用生态拦截沟+人工湿地进行整治，道路面源污染主要采用道路干植草沟进行处理，修建生态拦截沟约500米，道路干植草沟约270米，人工湿地面积约68亩。三是实施生态修复。采取生态绿篱隔离带+植被种植进行修复，通过绿篱隔离带隔绝人类活动，减少人类活动对水源地的影响；通过水位变幅区植被种植，使受损河湖岸带生态系统得到修复，构建绿篱隔离带约500米，缓冲带面积约100亩。</w:t>
            </w:r>
          </w:p>
        </w:tc>
      </w:tr>
    </w:tbl>
    <w:p>
      <w:pPr>
        <w:spacing w:before="156" w:beforeLines="50" w:line="600" w:lineRule="exact"/>
        <w:ind w:firstLine="640" w:firstLineChars="200"/>
        <w:outlineLvl w:val="2"/>
        <w:rPr>
          <w:rFonts w:ascii="方正黑体_GBK" w:hAnsi="方正黑体_GBK" w:eastAsia="方正黑体_GBK" w:cs="方正黑体_GBK"/>
          <w:sz w:val="32"/>
          <w:szCs w:val="32"/>
        </w:rPr>
      </w:pPr>
      <w:bookmarkStart w:id="190" w:name="_Toc31523"/>
      <w:bookmarkStart w:id="191" w:name="_Toc23130"/>
      <w:bookmarkStart w:id="192" w:name="_Toc31346"/>
      <w:bookmarkStart w:id="193" w:name="_Toc28502"/>
      <w:bookmarkStart w:id="194" w:name="_Toc15783"/>
      <w:bookmarkStart w:id="195" w:name="_Toc8928"/>
      <w:r>
        <w:rPr>
          <w:rFonts w:hint="eastAsia" w:ascii="方正黑体_GBK" w:hAnsi="方正黑体_GBK" w:eastAsia="方正黑体_GBK" w:cs="方正黑体_GBK"/>
          <w:sz w:val="32"/>
          <w:szCs w:val="32"/>
        </w:rPr>
        <w:t>三、</w:t>
      </w:r>
      <w:bookmarkEnd w:id="190"/>
      <w:r>
        <w:rPr>
          <w:rFonts w:hint="eastAsia" w:ascii="方正黑体_GBK" w:hAnsi="方正黑体_GBK" w:eastAsia="方正黑体_GBK" w:cs="方正黑体_GBK"/>
          <w:sz w:val="32"/>
          <w:szCs w:val="32"/>
        </w:rPr>
        <w:t>森林质量精准提升重点工程</w:t>
      </w:r>
      <w:bookmarkEnd w:id="191"/>
      <w:bookmarkEnd w:id="192"/>
      <w:bookmarkEnd w:id="193"/>
      <w:bookmarkEnd w:id="194"/>
      <w:bookmarkEnd w:id="195"/>
    </w:p>
    <w:p>
      <w:pPr>
        <w:spacing w:after="156" w:afterLines="50" w:line="600" w:lineRule="exact"/>
        <w:ind w:firstLine="640" w:firstLineChars="200"/>
        <w:rPr>
          <w:rFonts w:ascii="方正仿宋_GBK" w:hAnsi="方正仿宋_GBK" w:eastAsia="方正仿宋_GBK" w:cs="方正仿宋_GBK"/>
          <w:sz w:val="32"/>
          <w:szCs w:val="32"/>
        </w:rPr>
      </w:pPr>
      <w:r>
        <w:rPr>
          <w:rFonts w:hint="eastAsia" w:ascii="Times New Roman" w:hAnsi="Times New Roman" w:eastAsia="方正仿宋_GBK" w:cs="Times New Roman"/>
          <w:sz w:val="32"/>
          <w:szCs w:val="32"/>
        </w:rPr>
        <w:t>该重点工程涉及全区30个乡镇。</w:t>
      </w:r>
      <w:r>
        <w:rPr>
          <w:rFonts w:ascii="Times New Roman" w:hAnsi="Times New Roman" w:eastAsia="方正仿宋_GBK" w:cs="Times New Roman"/>
          <w:sz w:val="32"/>
          <w:szCs w:val="32"/>
        </w:rPr>
        <w:t>基于自然的解决方案，统筹治理、恢复、涵养、提升，协同自然恢复与辅助修复，因地制宜，科学施策。</w:t>
      </w:r>
      <w:r>
        <w:rPr>
          <w:rFonts w:hint="eastAsia" w:ascii="Times New Roman" w:hAnsi="Times New Roman" w:eastAsia="方正仿宋_GBK" w:cs="Times New Roman"/>
          <w:sz w:val="32"/>
          <w:szCs w:val="32"/>
        </w:rPr>
        <w:t>规划期内，通过退化林修复、封山育林等工程举措，着力提升</w:t>
      </w:r>
      <w:r>
        <w:rPr>
          <w:rFonts w:ascii="Times New Roman" w:hAnsi="Times New Roman" w:eastAsia="方正仿宋_GBK" w:cs="Times New Roman"/>
          <w:sz w:val="32"/>
          <w:szCs w:val="32"/>
        </w:rPr>
        <w:t>灰千梁子、三塘盖、麒麟盖、八面山、五福岭、贾角山</w:t>
      </w:r>
      <w:r>
        <w:rPr>
          <w:rFonts w:hint="eastAsia" w:ascii="Times New Roman" w:hAnsi="Times New Roman" w:eastAsia="方正仿宋_GBK" w:cs="Times New Roman"/>
          <w:sz w:val="32"/>
          <w:szCs w:val="32"/>
        </w:rPr>
        <w:t>等</w:t>
      </w:r>
      <w:r>
        <w:rPr>
          <w:rFonts w:ascii="Times New Roman" w:hAnsi="Times New Roman" w:eastAsia="方正仿宋_GBK" w:cs="Times New Roman"/>
          <w:sz w:val="32"/>
          <w:szCs w:val="32"/>
        </w:rPr>
        <w:t>山体</w:t>
      </w:r>
      <w:r>
        <w:rPr>
          <w:rFonts w:hint="eastAsia" w:ascii="Times New Roman" w:hAnsi="Times New Roman" w:eastAsia="方正仿宋_GBK" w:cs="Times New Roman"/>
          <w:sz w:val="32"/>
          <w:szCs w:val="32"/>
        </w:rPr>
        <w:t>的森林数量与质量，</w:t>
      </w:r>
      <w:r>
        <w:rPr>
          <w:rFonts w:eastAsia="方正仿宋_GBK"/>
          <w:sz w:val="32"/>
          <w:szCs w:val="32"/>
        </w:rPr>
        <w:t>促进森林结构不断优化、质量不断提升、固碳能力明显增强，</w:t>
      </w:r>
      <w:r>
        <w:rPr>
          <w:rFonts w:hint="eastAsia" w:ascii="Times New Roman" w:hAnsi="Times New Roman" w:eastAsia="方正仿宋_GBK" w:cs="Times New Roman"/>
          <w:sz w:val="32"/>
          <w:szCs w:val="32"/>
        </w:rPr>
        <w:t>提高全区生态屏障功能和生物多样性。规划期内实施渝东南生物多样性保护与生态综合治理</w:t>
      </w:r>
      <w:bookmarkStart w:id="196" w:name="_Hlk127655372"/>
      <w:r>
        <w:rPr>
          <w:rFonts w:hint="eastAsia" w:ascii="Times New Roman" w:hAnsi="Times New Roman" w:eastAsia="方正仿宋_GBK" w:cs="Times New Roman"/>
          <w:sz w:val="32"/>
          <w:szCs w:val="32"/>
        </w:rPr>
        <w:t>，以及黔江区小南海、武陵山自然保护区能力建设2个</w:t>
      </w:r>
      <w:bookmarkEnd w:id="196"/>
      <w:r>
        <w:rPr>
          <w:rFonts w:hint="eastAsia" w:ascii="Times New Roman" w:hAnsi="Times New Roman" w:eastAsia="方正仿宋_GBK" w:cs="Times New Roman"/>
          <w:sz w:val="32"/>
          <w:szCs w:val="32"/>
        </w:rPr>
        <w:t>重点项目。</w:t>
      </w:r>
    </w:p>
    <w:tbl>
      <w:tblPr>
        <w:tblStyle w:val="19"/>
        <w:tblW w:w="8760"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8760"/>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8760" w:type="dxa"/>
            <w:shd w:val="clear" w:color="auto" w:fill="auto"/>
            <w:vAlign w:val="center"/>
          </w:tcPr>
          <w:p>
            <w:pPr>
              <w:adjustRightInd w:val="0"/>
              <w:snapToGrid w:val="0"/>
              <w:spacing w:line="560" w:lineRule="exact"/>
              <w:jc w:val="center"/>
              <w:rPr>
                <w:rFonts w:ascii="Times New Roman" w:hAnsi="Times New Roman" w:eastAsia="方正楷体_GBK" w:cs="Times New Roman"/>
                <w:sz w:val="24"/>
              </w:rPr>
            </w:pPr>
            <w:r>
              <w:rPr>
                <w:rFonts w:hint="eastAsia" w:ascii="方正小标宋_GBK" w:hAnsi="方正小标宋_GBK" w:eastAsia="方正小标宋_GBK" w:cs="方正小标宋_GBK"/>
                <w:sz w:val="28"/>
                <w:szCs w:val="28"/>
              </w:rPr>
              <w:t xml:space="preserve">专栏3 </w:t>
            </w:r>
            <w:r>
              <w:rPr>
                <w:rFonts w:hint="eastAsia" w:ascii="方正黑体_GBK" w:hAnsi="方正黑体_GBK" w:eastAsia="方正黑体_GBK" w:cs="方正黑体_GBK"/>
                <w:sz w:val="32"/>
                <w:szCs w:val="32"/>
              </w:rPr>
              <w:t>森林质量精准提升重点工程</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2" w:hRule="atLeast"/>
          <w:jc w:val="center"/>
        </w:trPr>
        <w:tc>
          <w:tcPr>
            <w:tcW w:w="8760" w:type="dxa"/>
            <w:shd w:val="clear" w:color="auto" w:fill="auto"/>
          </w:tcPr>
          <w:p>
            <w:pPr>
              <w:adjustRightInd w:val="0"/>
              <w:snapToGrid w:val="0"/>
              <w:spacing w:before="156" w:beforeLines="50" w:after="156" w:afterLines="50" w:line="360" w:lineRule="exact"/>
              <w:ind w:firstLine="480" w:firstLineChars="200"/>
              <w:rPr>
                <w:rFonts w:ascii="Times New Roman" w:hAnsi="Times New Roman" w:eastAsia="方正仿宋_GBK" w:cs="Times New Roman"/>
                <w:kern w:val="0"/>
                <w:sz w:val="24"/>
              </w:rPr>
            </w:pPr>
            <w:r>
              <w:rPr>
                <w:rFonts w:hint="eastAsia" w:ascii="方正黑体_GBK" w:hAnsi="方正黑体_GBK" w:eastAsia="方正黑体_GBK" w:cs="方正黑体_GBK"/>
                <w:kern w:val="0"/>
                <w:sz w:val="24"/>
              </w:rPr>
              <w:t>6.渝东南生物多样性保护与生态综合治理重点项目。</w:t>
            </w:r>
            <w:r>
              <w:rPr>
                <w:rFonts w:hint="eastAsia" w:ascii="Times New Roman" w:hAnsi="Times New Roman" w:eastAsia="方正仿宋_GBK" w:cs="Times New Roman"/>
                <w:kern w:val="0"/>
                <w:sz w:val="24"/>
              </w:rPr>
              <w:t>项目涉及全区30个乡镇街道。主要建设内容为：退化林修复和封山育林，涉及阿蓬江镇分水村、青杠村、黄莲村、柒坨村森林生态修复重点工程，白石镇中河居委、天河村、复兴村森林生态修复重点工程，白土乡三塘村森林生态修复重点工程，鹅池镇鹅池居委森林生态修复重点工程，黑溪镇胜地居委、苏维村、光明村、互助村森林生态修复重点工程，黄溪镇黄桥居委、三羊村、茶山村、新民村森林生态修复重点工程。项目建设规模63.23平方公里。</w:t>
            </w:r>
          </w:p>
          <w:p>
            <w:pPr>
              <w:adjustRightInd w:val="0"/>
              <w:snapToGrid w:val="0"/>
              <w:spacing w:before="156" w:beforeLines="50" w:after="156" w:afterLines="50" w:line="360" w:lineRule="exact"/>
              <w:ind w:firstLine="480" w:firstLineChars="200"/>
              <w:rPr>
                <w:rFonts w:ascii="Times New Roman" w:hAnsi="Times New Roman" w:eastAsia="方正仿宋_GBK" w:cs="Times New Roman"/>
                <w:kern w:val="0"/>
                <w:sz w:val="24"/>
              </w:rPr>
            </w:pPr>
            <w:r>
              <w:rPr>
                <w:rFonts w:ascii="方正黑体_GBK" w:hAnsi="方正黑体_GBK" w:eastAsia="方正黑体_GBK" w:cs="方正黑体_GBK"/>
                <w:kern w:val="0"/>
                <w:sz w:val="24"/>
              </w:rPr>
              <w:t>7.</w:t>
            </w:r>
            <w:r>
              <w:rPr>
                <w:rFonts w:hint="eastAsia" w:ascii="方正黑体_GBK" w:hAnsi="方正黑体_GBK" w:eastAsia="方正黑体_GBK" w:cs="方正黑体_GBK"/>
                <w:kern w:val="0"/>
                <w:sz w:val="24"/>
              </w:rPr>
              <w:t>黔江区小南海、武陵山自然保护区能力建设。</w:t>
            </w:r>
            <w:r>
              <w:rPr>
                <w:rFonts w:hint="eastAsia" w:ascii="Times New Roman" w:hAnsi="Times New Roman" w:eastAsia="方正仿宋_GBK" w:cs="Times New Roman"/>
                <w:kern w:val="0"/>
                <w:sz w:val="24"/>
              </w:rPr>
              <w:t>项目涉及小南海自然公园（地质）建设面积6564公顷，武陵仙山自然公园建设面积8721公顷；阿蓬江自然公园建设面积2303公顷；仰头山自然公园（森林）建设面积469公顷。主要建设内容包括：1）自然公园优化整合勘界立标及总体规划编制；2）自然生态系统修复；3）生态廊道、退化湿地生态恢复、科普宣教中心建设；4）保护站点、巡护路网、监测监控、应急救灾、森林草原防火等保护管理基础设施建设；5）调查监测体系建设，监测体系信息化、智能化建设；6）完善管理机构和队伍建设，配置管理队伍的技术装备。</w:t>
            </w:r>
          </w:p>
        </w:tc>
      </w:tr>
    </w:tbl>
    <w:p>
      <w:pPr>
        <w:spacing w:before="156" w:beforeLines="50" w:line="600" w:lineRule="exact"/>
        <w:ind w:firstLine="640" w:firstLineChars="200"/>
        <w:outlineLvl w:val="2"/>
        <w:rPr>
          <w:rFonts w:ascii="方正黑体_GBK" w:hAnsi="方正黑体_GBK" w:eastAsia="方正黑体_GBK" w:cs="方正黑体_GBK"/>
          <w:sz w:val="32"/>
          <w:szCs w:val="32"/>
        </w:rPr>
      </w:pPr>
      <w:bookmarkStart w:id="197" w:name="_Toc16185"/>
      <w:bookmarkStart w:id="198" w:name="_Toc722"/>
      <w:bookmarkStart w:id="199" w:name="_Toc8391"/>
      <w:bookmarkStart w:id="200" w:name="_Toc20648"/>
      <w:bookmarkStart w:id="201" w:name="_Toc15664"/>
      <w:r>
        <w:rPr>
          <w:rFonts w:hint="eastAsia" w:ascii="方正黑体_GBK" w:hAnsi="方正黑体_GBK" w:eastAsia="方正黑体_GBK" w:cs="方正黑体_GBK"/>
          <w:sz w:val="32"/>
          <w:szCs w:val="32"/>
        </w:rPr>
        <w:t>四、水土流失和石漠化治理重点工程</w:t>
      </w:r>
      <w:bookmarkEnd w:id="197"/>
      <w:bookmarkEnd w:id="198"/>
      <w:bookmarkEnd w:id="199"/>
      <w:bookmarkEnd w:id="200"/>
      <w:bookmarkEnd w:id="201"/>
    </w:p>
    <w:p>
      <w:pPr>
        <w:spacing w:after="156" w:afterLines="50"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cs="Times New Roman"/>
          <w:sz w:val="32"/>
          <w:szCs w:val="32"/>
        </w:rPr>
        <w:t>该重点工程涉及黔江区城东街道、城南街道、舟白街道、冯家街道、邻鄂镇、阿蓬江镇、金溪镇、马喇镇、濯水镇、石家镇、鹅池镇、中塘镇、太极镇、黄溪镇、黎水镇、沙坝镇、白石乡、五里镇、水田乡、白土乡、新华乡等21个街道和乡镇。重点开展金溪片区包含桃坪小流域、岔河小流域和金溪小流域水土流失治理，</w:t>
      </w:r>
      <w:r>
        <w:rPr>
          <w:rFonts w:hint="eastAsia" w:ascii="Times New Roman" w:hAnsi="Times New Roman" w:eastAsia="方正仿宋_GBK"/>
          <w:sz w:val="32"/>
          <w:szCs w:val="32"/>
        </w:rPr>
        <w:t>大幅提高水土资源配置的效率，实现国土空间规划优化、生态屏障的稳固和城乡人居环境明显改善。遵循自然规律和现实客观规律，以蓄水、保土、造林、种草为中心，综合应用坡地修复、土壤改良，营造水土保持埂坎防护林、经果林、格网林带、发展复合农林业等措施，因地制宜、因需制宜地开展石漠化综合防治。规划期内实施水土流失综合治理和石漠化修复2个重点项目。</w:t>
      </w:r>
    </w:p>
    <w:p>
      <w:pPr>
        <w:pStyle w:val="2"/>
        <w:ind w:firstLine="320"/>
        <w:rPr>
          <w:rFonts w:ascii="Times New Roman" w:hAnsi="Times New Roman" w:eastAsia="方正仿宋_GBK"/>
          <w:sz w:val="32"/>
          <w:szCs w:val="32"/>
        </w:rPr>
      </w:pPr>
    </w:p>
    <w:tbl>
      <w:tblPr>
        <w:tblStyle w:val="19"/>
        <w:tblW w:w="8760"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8760"/>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30" w:hRule="atLeast"/>
          <w:jc w:val="center"/>
        </w:trPr>
        <w:tc>
          <w:tcPr>
            <w:tcW w:w="8760" w:type="dxa"/>
            <w:shd w:val="clear" w:color="auto" w:fill="auto"/>
            <w:vAlign w:val="center"/>
          </w:tcPr>
          <w:p>
            <w:pPr>
              <w:spacing w:line="600" w:lineRule="exact"/>
              <w:jc w:val="center"/>
              <w:rPr>
                <w:rFonts w:ascii="Times New Roman" w:hAnsi="Times New Roman" w:eastAsia="方正楷体_GBK" w:cs="Times New Roman"/>
                <w:sz w:val="24"/>
              </w:rPr>
            </w:pPr>
            <w:bookmarkStart w:id="202" w:name="_Toc5703"/>
            <w:r>
              <w:rPr>
                <w:rFonts w:hint="eastAsia" w:ascii="方正小标宋_GBK" w:hAnsi="方正小标宋_GBK" w:eastAsia="方正小标宋_GBK" w:cs="方正小标宋_GBK"/>
                <w:sz w:val="28"/>
                <w:szCs w:val="28"/>
              </w:rPr>
              <w:t>专栏4 水土流失和石漠化治理</w:t>
            </w:r>
            <w:r>
              <w:rPr>
                <w:rFonts w:hint="eastAsia" w:ascii="方正黑体_GBK" w:hAnsi="方正黑体_GBK" w:eastAsia="方正黑体_GBK" w:cs="方正黑体_GBK"/>
                <w:sz w:val="28"/>
                <w:szCs w:val="28"/>
              </w:rPr>
              <w:t>重点工程</w:t>
            </w:r>
            <w:bookmarkEnd w:id="202"/>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2" w:hRule="atLeast"/>
          <w:jc w:val="center"/>
        </w:trPr>
        <w:tc>
          <w:tcPr>
            <w:tcW w:w="8760" w:type="dxa"/>
            <w:shd w:val="clear" w:color="auto" w:fill="auto"/>
          </w:tcPr>
          <w:p>
            <w:pPr>
              <w:adjustRightInd w:val="0"/>
              <w:snapToGrid w:val="0"/>
              <w:spacing w:before="156" w:beforeLines="50" w:after="156" w:afterLines="50" w:line="360" w:lineRule="exact"/>
              <w:ind w:firstLine="480" w:firstLineChars="200"/>
              <w:rPr>
                <w:rFonts w:ascii="Times New Roman" w:hAnsi="Times New Roman" w:eastAsia="方正仿宋_GBK" w:cs="Times New Roman"/>
                <w:kern w:val="0"/>
                <w:sz w:val="24"/>
              </w:rPr>
            </w:pPr>
            <w:r>
              <w:rPr>
                <w:rFonts w:hint="eastAsia" w:ascii="方正黑体_GBK" w:hAnsi="方正黑体_GBK" w:eastAsia="方正黑体_GBK" w:cs="方正黑体_GBK"/>
                <w:kern w:val="0"/>
                <w:sz w:val="24"/>
              </w:rPr>
              <w:t>8.水土流失综合治理重点项目。</w:t>
            </w:r>
            <w:r>
              <w:rPr>
                <w:rFonts w:hint="eastAsia" w:ascii="Times New Roman" w:hAnsi="Times New Roman" w:eastAsia="方正仿宋_GBK" w:cs="Times New Roman"/>
                <w:kern w:val="0"/>
                <w:sz w:val="24"/>
              </w:rPr>
              <w:t>项目涉及城东街道、城南街道、冯家街道、黄溪镇、黎水镇、邻鄂镇、马喇镇、沙坝镇、石家镇、水田乡、太极镇、白石乡、白土乡、五里镇、新华乡等15个乡镇。主要建设内容为：水土流失治理。建设总规模为：35.57平方公里。</w:t>
            </w:r>
          </w:p>
          <w:p>
            <w:pPr>
              <w:adjustRightInd w:val="0"/>
              <w:snapToGrid w:val="0"/>
              <w:spacing w:before="156" w:beforeLines="50" w:after="156" w:afterLines="50" w:line="360" w:lineRule="exact"/>
              <w:ind w:firstLine="480" w:firstLineChars="200"/>
              <w:rPr>
                <w:rFonts w:ascii="Times New Roman" w:hAnsi="Times New Roman" w:eastAsia="方正仿宋_GBK" w:cs="Times New Roman"/>
                <w:kern w:val="0"/>
                <w:sz w:val="24"/>
              </w:rPr>
            </w:pPr>
            <w:r>
              <w:rPr>
                <w:rFonts w:hint="eastAsia" w:ascii="方正黑体_GBK" w:hAnsi="方正黑体_GBK" w:eastAsia="方正黑体_GBK" w:cs="方正黑体_GBK"/>
                <w:kern w:val="0"/>
                <w:sz w:val="24"/>
              </w:rPr>
              <w:t>9.石漠化修复重点项目。</w:t>
            </w:r>
            <w:r>
              <w:rPr>
                <w:rFonts w:hint="eastAsia" w:ascii="Times New Roman" w:hAnsi="Times New Roman" w:eastAsia="方正仿宋_GBK" w:cs="Times New Roman"/>
                <w:kern w:val="0"/>
                <w:sz w:val="24"/>
              </w:rPr>
              <w:t>项目涉及舟白街道、冯家街道、邻鄂镇、阿蓬江镇、马喇镇、濯水镇、鹅池镇、水田乡、白土乡、新华乡等10个街道和乡镇。主要建设内容为：采取坡地修复、土壤改良,营造水土保持埂坎防护林、经果林、格网林带、发展复合农林业等措施，减少地表裸露。项目建设规模为36.56平方公里。</w:t>
            </w:r>
          </w:p>
        </w:tc>
      </w:tr>
    </w:tbl>
    <w:p>
      <w:pPr>
        <w:spacing w:before="156" w:beforeLines="50" w:line="600" w:lineRule="exact"/>
        <w:ind w:firstLine="640" w:firstLineChars="200"/>
        <w:outlineLvl w:val="2"/>
        <w:rPr>
          <w:rFonts w:ascii="方正黑体_GBK" w:hAnsi="方正黑体_GBK" w:eastAsia="方正黑体_GBK" w:cs="方正黑体_GBK"/>
          <w:sz w:val="32"/>
          <w:szCs w:val="32"/>
        </w:rPr>
      </w:pPr>
      <w:bookmarkStart w:id="203" w:name="_Toc27633"/>
      <w:bookmarkStart w:id="204" w:name="_Toc23296"/>
      <w:bookmarkStart w:id="205" w:name="_Toc29203"/>
      <w:bookmarkStart w:id="206" w:name="_Toc21517"/>
      <w:bookmarkStart w:id="207" w:name="_Toc24682"/>
      <w:r>
        <w:rPr>
          <w:rFonts w:hint="eastAsia" w:ascii="方正黑体_GBK" w:hAnsi="方正黑体_GBK" w:eastAsia="方正黑体_GBK" w:cs="方正黑体_GBK"/>
          <w:sz w:val="32"/>
          <w:szCs w:val="32"/>
        </w:rPr>
        <w:t>五、矿山生态修复重点工程</w:t>
      </w:r>
      <w:bookmarkEnd w:id="203"/>
      <w:bookmarkEnd w:id="204"/>
      <w:bookmarkEnd w:id="205"/>
      <w:bookmarkEnd w:id="206"/>
      <w:bookmarkEnd w:id="207"/>
    </w:p>
    <w:p>
      <w:pPr>
        <w:spacing w:after="156" w:afterLines="50"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该重点工程涉及舟白街道、阿蓬江镇、马喇镇、濯水镇、石家镇、五里镇、蓬东乡、白土乡等8个街镇。按照“宜耕则耕、宜林则林、宜草则草、宜湿则湿、宜水则水、宜建则建”的原则和“系统性修复、整体性保护、综合治理”的理念，针对矿区矿产资源开发利用造成的地质环境破坏和土地损毁等问题，实行“一矿一策”，重点治理矿山地质环境问题，消除矿山地质灾害隐患，恢复损毁土地资源的使用功能。规划期内实施矿山环境整治与修复潜力重点项目。</w:t>
      </w:r>
    </w:p>
    <w:tbl>
      <w:tblPr>
        <w:tblStyle w:val="19"/>
        <w:tblW w:w="8760"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8760"/>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30" w:hRule="atLeast"/>
          <w:jc w:val="center"/>
        </w:trPr>
        <w:tc>
          <w:tcPr>
            <w:tcW w:w="8760" w:type="dxa"/>
            <w:shd w:val="clear" w:color="auto" w:fill="auto"/>
            <w:vAlign w:val="center"/>
          </w:tcPr>
          <w:p>
            <w:pPr>
              <w:spacing w:line="600" w:lineRule="exact"/>
              <w:jc w:val="center"/>
              <w:rPr>
                <w:rFonts w:ascii="Times New Roman" w:hAnsi="Times New Roman" w:eastAsia="方正楷体_GBK" w:cs="Times New Roman"/>
                <w:sz w:val="24"/>
              </w:rPr>
            </w:pPr>
            <w:bookmarkStart w:id="208" w:name="_Toc2151"/>
            <w:r>
              <w:rPr>
                <w:rFonts w:hint="eastAsia" w:ascii="方正小标宋_GBK" w:hAnsi="方正小标宋_GBK" w:eastAsia="方正小标宋_GBK" w:cs="方正小标宋_GBK"/>
                <w:sz w:val="28"/>
                <w:szCs w:val="28"/>
              </w:rPr>
              <w:t xml:space="preserve">专栏5 </w:t>
            </w:r>
            <w:r>
              <w:rPr>
                <w:rFonts w:hint="eastAsia" w:ascii="方正黑体_GBK" w:hAnsi="方正黑体_GBK" w:eastAsia="方正黑体_GBK" w:cs="方正黑体_GBK"/>
                <w:sz w:val="32"/>
                <w:szCs w:val="32"/>
              </w:rPr>
              <w:t>矿山生态修复重点工程</w:t>
            </w:r>
            <w:bookmarkEnd w:id="208"/>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2" w:hRule="atLeast"/>
          <w:jc w:val="center"/>
        </w:trPr>
        <w:tc>
          <w:tcPr>
            <w:tcW w:w="8760" w:type="dxa"/>
            <w:shd w:val="clear" w:color="auto" w:fill="auto"/>
          </w:tcPr>
          <w:p>
            <w:pPr>
              <w:adjustRightInd w:val="0"/>
              <w:snapToGrid w:val="0"/>
              <w:spacing w:before="156" w:beforeLines="50" w:after="156" w:afterLines="50" w:line="360" w:lineRule="exact"/>
              <w:ind w:firstLine="480" w:firstLineChars="200"/>
              <w:rPr>
                <w:rFonts w:ascii="Times New Roman" w:hAnsi="Times New Roman" w:eastAsia="方正仿宋_GBK" w:cs="Times New Roman"/>
                <w:kern w:val="0"/>
                <w:sz w:val="24"/>
              </w:rPr>
            </w:pPr>
            <w:r>
              <w:rPr>
                <w:rFonts w:hint="eastAsia" w:ascii="方正黑体_GBK" w:hAnsi="方正黑体_GBK" w:eastAsia="方正黑体_GBK" w:cs="方正黑体_GBK"/>
                <w:kern w:val="0"/>
                <w:sz w:val="24"/>
              </w:rPr>
              <w:t>10.矿山环境整治与修复潜力重点项目。</w:t>
            </w:r>
            <w:r>
              <w:rPr>
                <w:rFonts w:hint="eastAsia" w:ascii="Times New Roman" w:hAnsi="Times New Roman" w:eastAsia="方正仿宋_GBK" w:cs="Times New Roman"/>
                <w:kern w:val="0"/>
                <w:sz w:val="24"/>
              </w:rPr>
              <w:t>项目涉及舟白街道、阿蓬江镇、马喇镇、濯水镇、石家镇、五里镇、蓬东乡、白土乡等8个街镇。主要建设内容为：黔江区两河镇岩口采石场修复、黔江区铁厂槽采石场修复、黔江区龙城采石场修复、黔江区老泉林采石场修复、黔江区五里镇河南村小岩口采石场修复、黔江区继波采石场修复、黔江区吉东采石场修复、黔江区蓬东乡麻田村一组采石场修复、黔江区三塘村3组27号采石场修复、黔江区石家镇渗坝村01号采石场修复、黔江区三门村7组23号采石场修复、黔江区马喇镇莲花村6组01号采石场修复、黔江区香树垭口采石场修复、黔江区楠木园石粉厂修复、黔江区东风煤矿修复、黔江区岔河采石场修复等16个项目。项目建设规模为11.42公顷。</w:t>
            </w:r>
          </w:p>
        </w:tc>
      </w:tr>
    </w:tbl>
    <w:p>
      <w:pPr>
        <w:spacing w:before="156" w:beforeLines="50" w:line="600" w:lineRule="exact"/>
        <w:ind w:firstLine="640" w:firstLineChars="200"/>
        <w:outlineLvl w:val="2"/>
        <w:rPr>
          <w:rFonts w:ascii="方正黑体_GBK" w:hAnsi="方正黑体_GBK" w:eastAsia="方正黑体_GBK" w:cs="方正黑体_GBK"/>
          <w:sz w:val="32"/>
          <w:szCs w:val="32"/>
        </w:rPr>
      </w:pPr>
      <w:bookmarkStart w:id="209" w:name="_Toc4236"/>
      <w:bookmarkStart w:id="210" w:name="_Toc6438"/>
      <w:bookmarkStart w:id="211" w:name="_Toc31027"/>
      <w:bookmarkStart w:id="212" w:name="_Toc3558"/>
      <w:bookmarkStart w:id="213" w:name="_Toc30405"/>
      <w:r>
        <w:rPr>
          <w:rFonts w:hint="eastAsia" w:ascii="方正黑体_GBK" w:hAnsi="方正黑体_GBK" w:eastAsia="方正黑体_GBK" w:cs="方正黑体_GBK"/>
          <w:sz w:val="32"/>
          <w:szCs w:val="32"/>
        </w:rPr>
        <w:t>六、全域土地综合整治重点工程</w:t>
      </w:r>
      <w:bookmarkEnd w:id="209"/>
      <w:bookmarkEnd w:id="210"/>
      <w:bookmarkEnd w:id="211"/>
      <w:bookmarkEnd w:id="212"/>
      <w:bookmarkEnd w:id="213"/>
    </w:p>
    <w:p>
      <w:pPr>
        <w:spacing w:after="156" w:afterLines="50"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该重点工程涉及黔江区黎水镇、黄溪镇、杉岭乡、白石镇、黑溪镇等5个街道和乡镇。牢固树立“山水林田湖草沙”一体化综合治理理念，坚持整体保护、系统修复、区域统筹、综合治理，差别化实施国土综合整治项目，对国土空间全要素统筹兼顾，整体施策，开展耕地保护修复、高标准农田建设，优化调整生态用地布局，推进耕地提质改造，降低耕地破碎化程度，提升农田生态质量；同时，将生态修复工作与资源利用任务相结合，充分挖掘乡村自然和文化资源，保持乡村特有的乡土文化，注重传统农耕文化传承，保护历史文脉，开展全域土地综合整治。规划期内实施农用地整治、水系连通及水美乡村建设2个重点项目。</w:t>
      </w:r>
    </w:p>
    <w:tbl>
      <w:tblPr>
        <w:tblStyle w:val="19"/>
        <w:tblW w:w="8760"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8760"/>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30" w:hRule="atLeast"/>
          <w:jc w:val="center"/>
        </w:trPr>
        <w:tc>
          <w:tcPr>
            <w:tcW w:w="8760" w:type="dxa"/>
            <w:shd w:val="clear" w:color="auto" w:fill="auto"/>
            <w:vAlign w:val="center"/>
          </w:tcPr>
          <w:p>
            <w:pPr>
              <w:spacing w:line="600" w:lineRule="exact"/>
              <w:jc w:val="center"/>
              <w:rPr>
                <w:rFonts w:ascii="Times New Roman" w:hAnsi="Times New Roman" w:eastAsia="方正楷体_GBK" w:cs="Times New Roman"/>
                <w:sz w:val="24"/>
              </w:rPr>
            </w:pPr>
            <w:bookmarkStart w:id="214" w:name="_Toc14498"/>
            <w:bookmarkStart w:id="215" w:name="_Toc11093"/>
            <w:r>
              <w:rPr>
                <w:rFonts w:hint="eastAsia" w:ascii="方正小标宋_GBK" w:hAnsi="方正小标宋_GBK" w:eastAsia="方正小标宋_GBK" w:cs="方正小标宋_GBK"/>
                <w:sz w:val="28"/>
                <w:szCs w:val="28"/>
              </w:rPr>
              <w:t xml:space="preserve">专栏6 </w:t>
            </w:r>
            <w:r>
              <w:rPr>
                <w:rFonts w:hint="eastAsia" w:ascii="方正黑体_GBK" w:hAnsi="方正黑体_GBK" w:eastAsia="方正黑体_GBK" w:cs="方正黑体_GBK"/>
                <w:sz w:val="32"/>
                <w:szCs w:val="32"/>
              </w:rPr>
              <w:t>土地综合整治重点工程</w:t>
            </w:r>
            <w:bookmarkEnd w:id="214"/>
            <w:bookmarkEnd w:id="215"/>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2" w:hRule="atLeast"/>
          <w:jc w:val="center"/>
        </w:trPr>
        <w:tc>
          <w:tcPr>
            <w:tcW w:w="8760" w:type="dxa"/>
            <w:shd w:val="clear" w:color="auto" w:fill="auto"/>
          </w:tcPr>
          <w:p>
            <w:pPr>
              <w:numPr>
                <w:ilvl w:val="0"/>
                <w:numId w:val="1"/>
              </w:numPr>
              <w:adjustRightInd w:val="0"/>
              <w:snapToGrid w:val="0"/>
              <w:spacing w:before="156" w:beforeLines="50" w:after="156" w:afterLines="50" w:line="360" w:lineRule="exact"/>
              <w:ind w:firstLine="480" w:firstLineChars="200"/>
              <w:rPr>
                <w:rFonts w:ascii="Times New Roman" w:hAnsi="Times New Roman" w:eastAsia="方正仿宋_GBK" w:cs="Times New Roman"/>
                <w:kern w:val="0"/>
                <w:sz w:val="24"/>
              </w:rPr>
            </w:pPr>
            <w:r>
              <w:rPr>
                <w:rFonts w:hint="eastAsia" w:ascii="方正黑体_GBK" w:hAnsi="方正黑体_GBK" w:eastAsia="方正黑体_GBK" w:cs="方正黑体_GBK"/>
                <w:kern w:val="0"/>
                <w:sz w:val="24"/>
              </w:rPr>
              <w:t>农用地整治重点项目。</w:t>
            </w:r>
            <w:r>
              <w:rPr>
                <w:rFonts w:hint="eastAsia" w:ascii="Times New Roman" w:hAnsi="Times New Roman" w:eastAsia="方正仿宋_GBK" w:cs="Times New Roman"/>
                <w:kern w:val="0"/>
                <w:sz w:val="24"/>
              </w:rPr>
              <w:t>项目涉及黎水镇、黄溪镇、杉岭乡、白石镇、黑溪镇等5个乡镇。主要建设内容为：土地整治+产业改造+永农置换+旅游文化等多样化模式开展国土综合整治，促进耕地绿色生产、生态产品供给、农村居住环境改善的协调发展，提高自然资源利用效率。涉及黎水镇竹园等3个村土地整理项目、黄溪镇兴阳等3个村土地整理项目、杉岭乡兴隆村土地整理项目、杉岭乡苦竹等2个村土地整理项目、白石镇鞍山等2个村土地整理项目、白石镇龙池村土地整理项目、白石镇玉岩村土地整理项目、黑溪镇互助村土地整理项目、黑溪镇光明等2个村土地整理项目、黑溪镇百合居委土地整理项目。项目规模1852公顷。</w:t>
            </w:r>
          </w:p>
          <w:p>
            <w:pPr>
              <w:numPr>
                <w:ilvl w:val="0"/>
                <w:numId w:val="1"/>
              </w:numPr>
              <w:adjustRightInd w:val="0"/>
              <w:snapToGrid w:val="0"/>
              <w:spacing w:before="156" w:beforeLines="50" w:after="156" w:afterLines="50" w:line="360" w:lineRule="exact"/>
              <w:ind w:firstLine="480" w:firstLineChars="200"/>
              <w:rPr>
                <w:rFonts w:ascii="Times New Roman" w:hAnsi="Times New Roman" w:eastAsia="方正仿宋_GBK" w:cs="Times New Roman"/>
                <w:kern w:val="0"/>
                <w:sz w:val="24"/>
              </w:rPr>
            </w:pPr>
            <w:r>
              <w:rPr>
                <w:rFonts w:hint="eastAsia" w:ascii="方正黑体_GBK" w:hAnsi="方正黑体_GBK" w:eastAsia="方正黑体_GBK" w:cs="方正黑体_GBK"/>
                <w:kern w:val="0"/>
                <w:sz w:val="24"/>
              </w:rPr>
              <w:t>水系连通及水美乡村建设。</w:t>
            </w:r>
            <w:r>
              <w:rPr>
                <w:rFonts w:hint="eastAsia" w:ascii="Times New Roman" w:hAnsi="Times New Roman" w:eastAsia="方正仿宋_GBK" w:cs="Times New Roman"/>
                <w:kern w:val="0"/>
                <w:sz w:val="24"/>
              </w:rPr>
              <w:t>项目涉及黔江区洞塘、平溪、关云（金桥、桃坪）3个片区。主要建设内容为引水隧洞、治理河道、河道清淤疏浚、河道岸坡整治、水土保持工程。建设规模引水隧洞长度3.9公里，治理河道18.8公里，河道清淤疏浚16.6公里，河道岸坡整治12.2公里和水土保持工程。</w:t>
            </w:r>
          </w:p>
        </w:tc>
      </w:tr>
    </w:tbl>
    <w:p>
      <w:pPr>
        <w:spacing w:before="156" w:beforeLines="50" w:line="600" w:lineRule="exact"/>
        <w:ind w:firstLine="640" w:firstLineChars="200"/>
        <w:outlineLvl w:val="2"/>
        <w:rPr>
          <w:rFonts w:ascii="方正黑体_GBK" w:hAnsi="方正黑体_GBK" w:eastAsia="方正黑体_GBK" w:cs="方正黑体_GBK"/>
          <w:sz w:val="32"/>
          <w:szCs w:val="32"/>
        </w:rPr>
      </w:pPr>
      <w:bookmarkStart w:id="216" w:name="_Toc118"/>
      <w:bookmarkStart w:id="217" w:name="_Toc25285"/>
      <w:bookmarkStart w:id="218" w:name="_Toc15246"/>
      <w:bookmarkStart w:id="219" w:name="_Toc32076"/>
      <w:bookmarkStart w:id="220" w:name="_Toc2533"/>
      <w:r>
        <w:rPr>
          <w:rFonts w:hint="eastAsia" w:ascii="方正黑体_GBK" w:hAnsi="方正黑体_GBK" w:eastAsia="方正黑体_GBK" w:cs="方正黑体_GBK"/>
          <w:sz w:val="32"/>
          <w:szCs w:val="32"/>
        </w:rPr>
        <w:t>七、黔江人居环境综合治理重点工程</w:t>
      </w:r>
      <w:bookmarkEnd w:id="216"/>
      <w:bookmarkEnd w:id="217"/>
      <w:bookmarkEnd w:id="218"/>
      <w:bookmarkEnd w:id="219"/>
      <w:bookmarkEnd w:id="220"/>
    </w:p>
    <w:p>
      <w:pPr>
        <w:spacing w:after="156" w:afterLines="50"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该重点工程涉及黔江区阿蓬江镇、鹅池镇、金洞乡、黎水镇、邻鄂镇、杉岭乡、水市乡、水田乡、沙坝镇、太极镇、五里镇、新华乡、白石镇、黑溪镇、白土乡、蓬东乡等16个乡镇和街道。牢固树立绿水青山就是金山银山的生态理念，走生态优先、绿色发展之路，把顶格推进农村人居环境整治提升作为文明典范城市创建的重要抓手。加强公园体系建设，加快构建“区域绿地、综合公园、专类公园、社区公园、游园”的城市公园体系，提高公园覆盖率；加强乡村道路建设、生活污水处理、垃圾处置等重点工作，多措并举以人居环境整治推动农村生活方式转变，切实提升群众的幸福感、获得感。以此立足实际、着眼长远，坚持把改善农村人居环境作为乡村振兴的一项重要内容，扎实推进农村人居环境整治各项重点任务，不断提升农村人居环境品质，真正擦亮乡村振兴的底色。规划期内实施黔江城区城市绿地板块提升重点项目、正阳水生态环境治理重点项目和人居环境综合治理3个重点项目。</w:t>
      </w:r>
    </w:p>
    <w:tbl>
      <w:tblPr>
        <w:tblStyle w:val="19"/>
        <w:tblW w:w="8760"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8760"/>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30" w:hRule="atLeast"/>
          <w:jc w:val="center"/>
        </w:trPr>
        <w:tc>
          <w:tcPr>
            <w:tcW w:w="8760" w:type="dxa"/>
            <w:shd w:val="clear" w:color="auto" w:fill="auto"/>
            <w:vAlign w:val="center"/>
          </w:tcPr>
          <w:p>
            <w:pPr>
              <w:spacing w:line="600" w:lineRule="exact"/>
              <w:jc w:val="center"/>
              <w:rPr>
                <w:rFonts w:ascii="Times New Roman" w:hAnsi="Times New Roman" w:eastAsia="方正楷体_GBK" w:cs="Times New Roman"/>
                <w:sz w:val="24"/>
              </w:rPr>
            </w:pPr>
            <w:bookmarkStart w:id="221" w:name="_Toc15644"/>
            <w:bookmarkStart w:id="222" w:name="_Toc18770"/>
            <w:r>
              <w:rPr>
                <w:rFonts w:hint="eastAsia" w:ascii="方正小标宋_GBK" w:hAnsi="方正小标宋_GBK" w:eastAsia="方正小标宋_GBK" w:cs="方正小标宋_GBK"/>
                <w:sz w:val="28"/>
                <w:szCs w:val="28"/>
              </w:rPr>
              <w:t xml:space="preserve">专栏7 </w:t>
            </w:r>
            <w:r>
              <w:rPr>
                <w:rFonts w:hint="eastAsia" w:ascii="方正黑体_GBK" w:hAnsi="方正黑体_GBK" w:eastAsia="方正黑体_GBK" w:cs="方正黑体_GBK"/>
                <w:sz w:val="32"/>
                <w:szCs w:val="32"/>
              </w:rPr>
              <w:t>黔江人居环境综合治理重点工程</w:t>
            </w:r>
            <w:bookmarkEnd w:id="221"/>
            <w:bookmarkEnd w:id="222"/>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2" w:hRule="atLeast"/>
          <w:jc w:val="center"/>
        </w:trPr>
        <w:tc>
          <w:tcPr>
            <w:tcW w:w="8760" w:type="dxa"/>
            <w:shd w:val="clear" w:color="auto" w:fill="auto"/>
          </w:tcPr>
          <w:p>
            <w:pPr>
              <w:adjustRightInd w:val="0"/>
              <w:snapToGrid w:val="0"/>
              <w:spacing w:before="156" w:beforeLines="50" w:after="156" w:afterLines="50" w:line="360" w:lineRule="exact"/>
              <w:ind w:firstLine="480" w:firstLineChars="200"/>
              <w:rPr>
                <w:rFonts w:ascii="Times New Roman" w:hAnsi="Times New Roman" w:eastAsia="方正仿宋_GBK" w:cs="Times New Roman"/>
                <w:kern w:val="0"/>
                <w:sz w:val="24"/>
              </w:rPr>
            </w:pPr>
            <w:r>
              <w:rPr>
                <w:rFonts w:hint="eastAsia" w:ascii="方正黑体_GBK" w:hAnsi="方正黑体_GBK" w:eastAsia="方正黑体_GBK" w:cs="方正黑体_GBK"/>
                <w:kern w:val="0"/>
                <w:sz w:val="24"/>
              </w:rPr>
              <w:t>13.黔江城区城市绿地板块提升重点项目。</w:t>
            </w:r>
            <w:r>
              <w:rPr>
                <w:rFonts w:hint="eastAsia" w:ascii="Times New Roman" w:hAnsi="Times New Roman" w:eastAsia="方正仿宋_GBK" w:cs="Times New Roman"/>
                <w:kern w:val="0"/>
                <w:sz w:val="24"/>
              </w:rPr>
              <w:t>项目涉及城东街道、城南街道、城西街道、正阳街道等4个街道。主要建设内容为：建设正舟公园、人民公园、听松岭公园、天生湖公园、鲤鱼池公园、正阳山公园。项目建设占地规模105万平方米。其中，正舟公园占地6.1万平方米，重要种植园林植物、开展坡地植物修复、设置步游道、景观小品及其他配套设施。人民公园占地17万平方米，主要种植园林植物，修复裸露边坡、岸坡，种植水生植物，配套公园其他游憩和服务设施。听松岭公园占地17万平方米，主要种植园林植物，修复水体，裸露边坡，配套公园其他游憩和服务设施。天生湖公园占地面积35万平方米，主要梳理水系，修复水体，种植园林植物，开展植被修复，配套公园其他游憩和服务设施。鲤鱼池公园占地20万平方米，梳理水系，修复水体，种植园林植物，开展植被修复，配套公园其他游憩和服务设施。正阳山公园开展植被修复、地质地貌修复，增加一定的游憩配套设施。</w:t>
            </w:r>
          </w:p>
          <w:p>
            <w:pPr>
              <w:adjustRightInd w:val="0"/>
              <w:snapToGrid w:val="0"/>
              <w:spacing w:before="156" w:beforeLines="50" w:after="156" w:afterLines="50" w:line="360" w:lineRule="exact"/>
              <w:ind w:firstLine="480" w:firstLineChars="200"/>
              <w:rPr>
                <w:rFonts w:ascii="Times New Roman" w:hAnsi="Times New Roman" w:eastAsia="方正仿宋_GBK" w:cs="Times New Roman"/>
                <w:kern w:val="0"/>
                <w:sz w:val="24"/>
              </w:rPr>
            </w:pPr>
            <w:r>
              <w:rPr>
                <w:rFonts w:hint="eastAsia" w:ascii="方正黑体_GBK" w:hAnsi="方正黑体_GBK" w:eastAsia="方正黑体_GBK" w:cs="方正黑体_GBK"/>
                <w:kern w:val="0"/>
                <w:sz w:val="24"/>
              </w:rPr>
              <w:t>14.正阳水生态环境治理重点项目。</w:t>
            </w:r>
            <w:r>
              <w:rPr>
                <w:rFonts w:hint="eastAsia" w:ascii="Times New Roman" w:hAnsi="Times New Roman" w:eastAsia="方正仿宋_GBK" w:cs="Times New Roman"/>
                <w:kern w:val="0"/>
                <w:sz w:val="24"/>
              </w:rPr>
              <w:t>项目涉及正阳街道。主要建设内容为：水上公园水生态环境治理。项目生态环境治理面积37568平方米，绿化面积25186平方米，绿地率达84.07%。</w:t>
            </w:r>
          </w:p>
          <w:p>
            <w:pPr>
              <w:adjustRightInd w:val="0"/>
              <w:snapToGrid w:val="0"/>
              <w:spacing w:before="156" w:beforeLines="50" w:after="156" w:afterLines="50" w:line="360" w:lineRule="exact"/>
              <w:ind w:firstLine="480" w:firstLineChars="200"/>
              <w:rPr>
                <w:rFonts w:ascii="Times New Roman" w:hAnsi="Times New Roman" w:eastAsia="方正仿宋_GBK" w:cs="Times New Roman"/>
                <w:kern w:val="0"/>
                <w:sz w:val="24"/>
              </w:rPr>
            </w:pPr>
            <w:r>
              <w:rPr>
                <w:rFonts w:hint="eastAsia" w:ascii="方正黑体_GBK" w:hAnsi="方正黑体_GBK" w:eastAsia="方正黑体_GBK" w:cs="方正黑体_GBK"/>
                <w:kern w:val="0"/>
                <w:sz w:val="24"/>
              </w:rPr>
              <w:t>15.人居环境综合治理重点项目。</w:t>
            </w:r>
            <w:r>
              <w:rPr>
                <w:rFonts w:hint="eastAsia" w:ascii="Times New Roman" w:hAnsi="Times New Roman" w:eastAsia="方正仿宋_GBK" w:cs="Times New Roman"/>
                <w:kern w:val="0"/>
                <w:sz w:val="24"/>
              </w:rPr>
              <w:t>项目涉及阿蓬江镇、鹅池镇、金洞乡、黎水镇、邻鄂镇、杉岭乡、水市乡、水田乡、沙坝镇、太极镇、五里镇、新华乡、白石镇、黑溪镇、白土乡、蓬东乡等16个乡镇和街道。主要建设内容为：生态整治提升等。其中阿蓬江镇房屋周边生态整治</w:t>
            </w:r>
            <w:r>
              <w:rPr>
                <w:rFonts w:ascii="Times New Roman" w:hAnsi="Times New Roman" w:eastAsia="方正仿宋_GBK" w:cs="Times New Roman"/>
                <w:kern w:val="0"/>
                <w:sz w:val="24"/>
              </w:rPr>
              <w:t>2000</w:t>
            </w:r>
            <w:r>
              <w:rPr>
                <w:rFonts w:hint="eastAsia" w:ascii="Times New Roman" w:hAnsi="Times New Roman" w:eastAsia="方正仿宋_GBK" w:cs="Times New Roman"/>
                <w:kern w:val="0"/>
                <w:sz w:val="24"/>
              </w:rPr>
              <w:t>平方米。蓬东乡麻田房前屋后花台生态</w:t>
            </w:r>
            <w:r>
              <w:rPr>
                <w:rFonts w:ascii="Times New Roman" w:hAnsi="Times New Roman" w:eastAsia="方正仿宋_GBK" w:cs="Times New Roman"/>
                <w:kern w:val="0"/>
                <w:sz w:val="24"/>
              </w:rPr>
              <w:t>4000</w:t>
            </w:r>
            <w:r>
              <w:rPr>
                <w:rFonts w:hint="eastAsia" w:ascii="Times New Roman" w:hAnsi="Times New Roman" w:eastAsia="方正仿宋_GBK" w:cs="Times New Roman"/>
                <w:kern w:val="0"/>
                <w:sz w:val="24"/>
              </w:rPr>
              <w:t>平方米。白土乡白土村龙洞河河堤整治1公里(河道宽3米，高2.5米)，房前屋后花台生态</w:t>
            </w:r>
            <w:r>
              <w:rPr>
                <w:rFonts w:ascii="Times New Roman" w:hAnsi="Times New Roman" w:eastAsia="方正仿宋_GBK" w:cs="Times New Roman"/>
                <w:kern w:val="0"/>
                <w:sz w:val="24"/>
              </w:rPr>
              <w:t>500</w:t>
            </w:r>
            <w:r>
              <w:rPr>
                <w:rFonts w:hint="eastAsia" w:ascii="Times New Roman" w:hAnsi="Times New Roman" w:eastAsia="方正仿宋_GBK" w:cs="Times New Roman"/>
                <w:kern w:val="0"/>
                <w:sz w:val="24"/>
              </w:rPr>
              <w:t>平方米。在全区14个乡镇（鹅池镇、金洞乡、黎水镇、邻鄂镇、杉岭乡、水市乡、水田乡、沙坝镇、太极镇、五里镇、新华乡、白石镇、白土乡、黑溪镇）实施人居环境整治。</w:t>
            </w:r>
          </w:p>
        </w:tc>
      </w:tr>
      <w:bookmarkEnd w:id="104"/>
      <w:bookmarkEnd w:id="105"/>
      <w:bookmarkEnd w:id="106"/>
      <w:bookmarkEnd w:id="107"/>
      <w:bookmarkEnd w:id="108"/>
      <w:bookmarkEnd w:id="109"/>
      <w:bookmarkEnd w:id="110"/>
      <w:bookmarkEnd w:id="111"/>
    </w:tbl>
    <w:p>
      <w:pPr>
        <w:spacing w:before="312" w:beforeLines="100" w:after="156" w:afterLines="50" w:line="600" w:lineRule="exact"/>
        <w:ind w:firstLine="640" w:firstLineChars="200"/>
        <w:outlineLvl w:val="1"/>
        <w:rPr>
          <w:rFonts w:ascii="方正小标宋_GBK" w:hAnsi="方正小标宋_GBK" w:eastAsia="方正小标宋_GBK" w:cs="方正小标宋_GBK"/>
          <w:sz w:val="32"/>
          <w:szCs w:val="32"/>
        </w:rPr>
      </w:pPr>
      <w:bookmarkStart w:id="223" w:name="_Toc19499"/>
      <w:bookmarkStart w:id="224" w:name="_Toc20531"/>
      <w:bookmarkStart w:id="225" w:name="_Toc18412"/>
      <w:bookmarkStart w:id="226" w:name="_Toc27328"/>
      <w:r>
        <w:rPr>
          <w:rFonts w:hint="eastAsia" w:ascii="方正小标宋_GBK" w:hAnsi="方正小标宋_GBK" w:eastAsia="方正小标宋_GBK" w:cs="方正小标宋_GBK"/>
          <w:sz w:val="32"/>
          <w:szCs w:val="32"/>
        </w:rPr>
        <w:t>第二节 工程资金估算</w:t>
      </w:r>
      <w:bookmarkEnd w:id="223"/>
      <w:bookmarkEnd w:id="224"/>
      <w:bookmarkEnd w:id="225"/>
      <w:bookmarkEnd w:id="226"/>
    </w:p>
    <w:p>
      <w:pPr>
        <w:pStyle w:val="6"/>
        <w:keepNext w:val="0"/>
        <w:keepLines w:val="0"/>
        <w:adjustRightInd w:val="0"/>
        <w:snapToGrid w:val="0"/>
        <w:spacing w:before="0" w:after="0" w:line="600" w:lineRule="exact"/>
        <w:ind w:firstLine="640" w:firstLineChars="200"/>
        <w:rPr>
          <w:rFonts w:ascii="方正黑体_GBK" w:hAnsi="方正黑体_GBK" w:eastAsia="方正黑体_GBK" w:cs="方正黑体_GBK"/>
          <w:b w:val="0"/>
        </w:rPr>
      </w:pPr>
      <w:bookmarkStart w:id="227" w:name="_Toc20279"/>
      <w:bookmarkStart w:id="228" w:name="_Toc25367"/>
      <w:bookmarkStart w:id="229" w:name="_Toc2722"/>
      <w:bookmarkStart w:id="230" w:name="_Toc7671"/>
      <w:bookmarkStart w:id="231" w:name="_Toc27534"/>
      <w:bookmarkStart w:id="232" w:name="_Toc6835"/>
      <w:r>
        <w:rPr>
          <w:rFonts w:hint="eastAsia" w:ascii="方正黑体_GBK" w:hAnsi="方正黑体_GBK" w:eastAsia="方正黑体_GBK" w:cs="方正黑体_GBK"/>
          <w:b w:val="0"/>
        </w:rPr>
        <w:t>一、资金匡算</w:t>
      </w:r>
      <w:bookmarkEnd w:id="227"/>
      <w:bookmarkEnd w:id="228"/>
      <w:bookmarkEnd w:id="229"/>
      <w:bookmarkEnd w:id="230"/>
      <w:bookmarkEnd w:id="231"/>
      <w:bookmarkEnd w:id="232"/>
    </w:p>
    <w:p>
      <w:pPr>
        <w:adjustRightInd w:val="0"/>
        <w:snapToGrid w:val="0"/>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按照国家相关工程建设费用标准，已完成相关类似典型项目的综合单价，</w:t>
      </w:r>
      <w:r>
        <w:rPr>
          <w:rFonts w:ascii="Times New Roman" w:hAnsi="Times New Roman" w:eastAsia="方正仿宋_GBK" w:cs="Times New Roman"/>
          <w:sz w:val="32"/>
          <w:szCs w:val="32"/>
        </w:rPr>
        <w:t>结合</w:t>
      </w:r>
      <w:r>
        <w:rPr>
          <w:rFonts w:hint="eastAsia" w:ascii="Times New Roman" w:hAnsi="Times New Roman" w:eastAsia="方正仿宋_GBK" w:cs="Times New Roman"/>
          <w:sz w:val="32"/>
          <w:szCs w:val="32"/>
        </w:rPr>
        <w:t>重点</w:t>
      </w:r>
      <w:r>
        <w:rPr>
          <w:rFonts w:ascii="Times New Roman" w:hAnsi="Times New Roman" w:eastAsia="方正仿宋_GBK" w:cs="Times New Roman"/>
          <w:sz w:val="32"/>
          <w:szCs w:val="32"/>
        </w:rPr>
        <w:t>工程配套设施工程量、工程难易程度</w:t>
      </w:r>
      <w:r>
        <w:rPr>
          <w:rFonts w:hint="eastAsia" w:ascii="Times New Roman" w:hAnsi="Times New Roman" w:eastAsia="方正仿宋_GBK" w:cs="Times New Roman"/>
          <w:sz w:val="32"/>
          <w:szCs w:val="32"/>
        </w:rPr>
        <w:t>等</w:t>
      </w:r>
      <w:r>
        <w:rPr>
          <w:rFonts w:ascii="Times New Roman" w:hAnsi="Times New Roman" w:eastAsia="方正仿宋_GBK" w:cs="Times New Roman"/>
          <w:sz w:val="32"/>
          <w:szCs w:val="32"/>
        </w:rPr>
        <w:t>，选取综合系数进行投资估算</w:t>
      </w:r>
      <w:r>
        <w:rPr>
          <w:rFonts w:hint="eastAsia" w:ascii="Times New Roman" w:hAnsi="Times New Roman" w:eastAsia="方正仿宋_GBK" w:cs="Times New Roman"/>
          <w:sz w:val="32"/>
          <w:szCs w:val="32"/>
        </w:rPr>
        <w:t>，确定各重点工程投资额。据估算，</w:t>
      </w:r>
      <w:r>
        <w:rPr>
          <w:rFonts w:hint="eastAsia" w:ascii="Times New Roman" w:hAnsi="Times New Roman" w:eastAsia="方正仿宋_GBK" w:cs="Times New Roman"/>
          <w:bCs/>
          <w:sz w:val="32"/>
          <w:szCs w:val="32"/>
        </w:rPr>
        <w:t>黔江区国</w:t>
      </w:r>
      <w:r>
        <w:rPr>
          <w:rFonts w:ascii="Times New Roman" w:hAnsi="Times New Roman" w:eastAsia="方正仿宋_GBK" w:cs="Times New Roman"/>
          <w:bCs/>
          <w:sz w:val="32"/>
          <w:szCs w:val="32"/>
        </w:rPr>
        <w:t>土空间生态</w:t>
      </w:r>
      <w:r>
        <w:rPr>
          <w:rFonts w:hint="eastAsia" w:ascii="Times New Roman" w:hAnsi="Times New Roman" w:eastAsia="方正仿宋_GBK" w:cs="Times New Roman"/>
          <w:bCs/>
          <w:sz w:val="32"/>
          <w:szCs w:val="32"/>
        </w:rPr>
        <w:t>保护</w:t>
      </w:r>
      <w:r>
        <w:rPr>
          <w:rFonts w:ascii="Times New Roman" w:hAnsi="Times New Roman" w:eastAsia="方正仿宋_GBK" w:cs="Times New Roman"/>
          <w:bCs/>
          <w:sz w:val="32"/>
          <w:szCs w:val="32"/>
        </w:rPr>
        <w:t>修复规划工程</w:t>
      </w:r>
      <w:r>
        <w:rPr>
          <w:rFonts w:ascii="Times New Roman" w:hAnsi="Times New Roman" w:eastAsia="方正仿宋_GBK" w:cs="Times New Roman"/>
          <w:sz w:val="32"/>
          <w:szCs w:val="32"/>
        </w:rPr>
        <w:t>总投资估算为</w:t>
      </w:r>
      <w:r>
        <w:rPr>
          <w:rFonts w:hint="eastAsia" w:ascii="Times New Roman" w:hAnsi="Times New Roman" w:eastAsia="方正仿宋_GBK" w:cs="Times New Roman"/>
          <w:sz w:val="32"/>
          <w:szCs w:val="32"/>
        </w:rPr>
        <w:t>373611万元</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其中2025年前投资124537万元，203</w:t>
      </w:r>
      <w:r>
        <w:rPr>
          <w:rFonts w:ascii="Times New Roman" w:hAnsi="Times New Roman" w:eastAsia="方正仿宋_GBK" w:cs="Times New Roman"/>
          <w:sz w:val="32"/>
          <w:szCs w:val="32"/>
        </w:rPr>
        <w:t>5</w:t>
      </w:r>
      <w:r>
        <w:rPr>
          <w:rFonts w:hint="eastAsia" w:ascii="Times New Roman" w:hAnsi="Times New Roman" w:eastAsia="方正仿宋_GBK" w:cs="Times New Roman"/>
          <w:sz w:val="32"/>
          <w:szCs w:val="32"/>
        </w:rPr>
        <w:t>年前投资249074万元。</w:t>
      </w:r>
    </w:p>
    <w:p>
      <w:pPr>
        <w:spacing w:after="62" w:afterLines="20" w:line="600" w:lineRule="exact"/>
        <w:jc w:val="center"/>
        <w:rPr>
          <w:rFonts w:ascii="方正黑体_GBK" w:hAnsi="方正黑体_GBK" w:eastAsia="方正黑体_GBK" w:cs="方正黑体_GBK"/>
          <w:bCs/>
          <w:sz w:val="28"/>
          <w:szCs w:val="28"/>
        </w:rPr>
      </w:pPr>
      <w:r>
        <w:rPr>
          <w:rFonts w:hint="eastAsia" w:ascii="方正黑体_GBK" w:hAnsi="方正黑体_GBK" w:eastAsia="方正黑体_GBK" w:cs="方正黑体_GBK"/>
          <w:bCs/>
          <w:sz w:val="28"/>
          <w:szCs w:val="28"/>
        </w:rPr>
        <w:t>表4-1  重点工程投资估算表</w:t>
      </w:r>
    </w:p>
    <w:tbl>
      <w:tblPr>
        <w:tblStyle w:val="19"/>
        <w:tblW w:w="4997" w:type="pct"/>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705"/>
        <w:gridCol w:w="3226"/>
        <w:gridCol w:w="3842"/>
        <w:gridCol w:w="1283"/>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412" w:hRule="atLeast"/>
          <w:tblHeader/>
        </w:trPr>
        <w:tc>
          <w:tcPr>
            <w:tcW w:w="389" w:type="pct"/>
            <w:vMerge w:val="restart"/>
            <w:tcBorders>
              <w:bottom w:val="single" w:color="000000" w:sz="4" w:space="0"/>
              <w:right w:val="single" w:color="000000" w:sz="4" w:space="0"/>
            </w:tcBorders>
            <w:shd w:val="clear" w:color="auto" w:fill="FBE5D6" w:themeFill="accent2" w:themeFillTint="32"/>
            <w:vAlign w:val="center"/>
          </w:tcPr>
          <w:p>
            <w:pPr>
              <w:widowControl/>
              <w:adjustRightInd w:val="0"/>
              <w:snapToGrid w:val="0"/>
              <w:jc w:val="center"/>
              <w:textAlignment w:val="center"/>
              <w:rPr>
                <w:rFonts w:ascii="方正楷体_GBK" w:hAnsi="方正楷体_GBK" w:eastAsia="方正楷体_GBK" w:cs="方正楷体_GBK"/>
                <w:sz w:val="24"/>
              </w:rPr>
            </w:pPr>
            <w:bookmarkStart w:id="233" w:name="_Hlk127655855"/>
            <w:r>
              <w:rPr>
                <w:rFonts w:hint="eastAsia" w:ascii="方正楷体_GBK" w:hAnsi="方正楷体_GBK" w:eastAsia="方正楷体_GBK" w:cs="方正楷体_GBK"/>
                <w:kern w:val="0"/>
                <w:sz w:val="24"/>
                <w:lang w:bidi="ar"/>
              </w:rPr>
              <w:t>序号</w:t>
            </w:r>
          </w:p>
        </w:tc>
        <w:tc>
          <w:tcPr>
            <w:tcW w:w="1781" w:type="pct"/>
            <w:vMerge w:val="restart"/>
            <w:tcBorders>
              <w:left w:val="single" w:color="000000" w:sz="4" w:space="0"/>
              <w:bottom w:val="single" w:color="000000" w:sz="4" w:space="0"/>
              <w:right w:val="single" w:color="000000" w:sz="4" w:space="0"/>
            </w:tcBorders>
            <w:shd w:val="clear" w:color="auto" w:fill="FBE5D6" w:themeFill="accent2" w:themeFillTint="32"/>
            <w:vAlign w:val="center"/>
          </w:tcPr>
          <w:p>
            <w:pPr>
              <w:widowControl/>
              <w:adjustRightInd w:val="0"/>
              <w:snapToGrid w:val="0"/>
              <w:jc w:val="center"/>
              <w:textAlignment w:val="center"/>
              <w:rPr>
                <w:rFonts w:ascii="方正楷体_GBK" w:hAnsi="方正楷体_GBK" w:eastAsia="方正楷体_GBK" w:cs="方正楷体_GBK"/>
                <w:sz w:val="24"/>
              </w:rPr>
            </w:pPr>
            <w:r>
              <w:rPr>
                <w:rFonts w:hint="eastAsia" w:ascii="方正楷体_GBK" w:hAnsi="方正楷体_GBK" w:eastAsia="方正楷体_GBK" w:cs="方正楷体_GBK"/>
                <w:kern w:val="0"/>
                <w:sz w:val="24"/>
                <w:lang w:bidi="ar"/>
              </w:rPr>
              <w:t>工程名称</w:t>
            </w:r>
          </w:p>
        </w:tc>
        <w:tc>
          <w:tcPr>
            <w:tcW w:w="2121" w:type="pct"/>
            <w:vMerge w:val="restart"/>
            <w:tcBorders>
              <w:left w:val="single" w:color="000000" w:sz="4" w:space="0"/>
              <w:bottom w:val="single" w:color="000000" w:sz="4" w:space="0"/>
              <w:right w:val="single" w:color="000000" w:sz="4" w:space="0"/>
            </w:tcBorders>
            <w:shd w:val="clear" w:color="auto" w:fill="FBE5D6" w:themeFill="accent2" w:themeFillTint="32"/>
            <w:vAlign w:val="center"/>
          </w:tcPr>
          <w:p>
            <w:pPr>
              <w:widowControl/>
              <w:adjustRightInd w:val="0"/>
              <w:snapToGrid w:val="0"/>
              <w:jc w:val="center"/>
              <w:textAlignment w:val="center"/>
              <w:rPr>
                <w:rFonts w:ascii="方正楷体_GBK" w:hAnsi="方正楷体_GBK" w:eastAsia="方正楷体_GBK" w:cs="方正楷体_GBK"/>
                <w:sz w:val="24"/>
              </w:rPr>
            </w:pPr>
            <w:r>
              <w:rPr>
                <w:rFonts w:hint="eastAsia" w:ascii="方正楷体_GBK" w:hAnsi="方正楷体_GBK" w:eastAsia="方正楷体_GBK" w:cs="方正楷体_GBK"/>
                <w:kern w:val="0"/>
                <w:sz w:val="24"/>
                <w:lang w:bidi="ar"/>
              </w:rPr>
              <w:t>项目名称</w:t>
            </w:r>
          </w:p>
        </w:tc>
        <w:tc>
          <w:tcPr>
            <w:tcW w:w="708" w:type="pct"/>
            <w:vMerge w:val="restart"/>
            <w:tcBorders>
              <w:left w:val="single" w:color="000000" w:sz="4" w:space="0"/>
              <w:bottom w:val="single" w:color="000000" w:sz="4" w:space="0"/>
            </w:tcBorders>
            <w:shd w:val="clear" w:color="auto" w:fill="FBE5D6" w:themeFill="accent2" w:themeFillTint="32"/>
            <w:vAlign w:val="center"/>
          </w:tcPr>
          <w:p>
            <w:pPr>
              <w:widowControl/>
              <w:adjustRightInd w:val="0"/>
              <w:snapToGrid w:val="0"/>
              <w:jc w:val="center"/>
              <w:textAlignment w:val="center"/>
              <w:rPr>
                <w:rFonts w:ascii="方正楷体_GBK" w:hAnsi="方正楷体_GBK" w:eastAsia="方正楷体_GBK" w:cs="方正楷体_GBK"/>
                <w:sz w:val="24"/>
              </w:rPr>
            </w:pPr>
            <w:r>
              <w:rPr>
                <w:rFonts w:hint="eastAsia" w:ascii="方正楷体_GBK" w:hAnsi="方正楷体_GBK" w:eastAsia="方正楷体_GBK" w:cs="方正楷体_GBK"/>
                <w:kern w:val="0"/>
                <w:sz w:val="24"/>
                <w:lang w:bidi="ar"/>
              </w:rPr>
              <w:t>投资额（万元）</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89" w:type="pct"/>
            <w:vMerge w:val="continue"/>
            <w:tcBorders>
              <w:top w:val="single" w:color="000000" w:sz="4" w:space="0"/>
              <w:bottom w:val="single" w:color="000000" w:sz="4" w:space="0"/>
              <w:right w:val="single" w:color="000000" w:sz="4" w:space="0"/>
            </w:tcBorders>
            <w:shd w:val="clear" w:color="auto" w:fill="FBE5D6" w:themeFill="accent2" w:themeFillTint="32"/>
            <w:vAlign w:val="center"/>
          </w:tcPr>
          <w:p>
            <w:pPr>
              <w:widowControl/>
              <w:adjustRightInd w:val="0"/>
              <w:snapToGrid w:val="0"/>
              <w:jc w:val="center"/>
              <w:rPr>
                <w:rFonts w:ascii="Times New Roman" w:hAnsi="Times New Roman" w:eastAsia="方正仿宋_GBK" w:cs="Times New Roman"/>
                <w:sz w:val="24"/>
              </w:rPr>
            </w:pPr>
          </w:p>
        </w:tc>
        <w:tc>
          <w:tcPr>
            <w:tcW w:w="1781" w:type="pct"/>
            <w:vMerge w:val="continue"/>
            <w:tcBorders>
              <w:top w:val="single" w:color="000000" w:sz="4" w:space="0"/>
              <w:left w:val="single" w:color="000000" w:sz="4" w:space="0"/>
              <w:bottom w:val="single" w:color="000000" w:sz="4" w:space="0"/>
              <w:right w:val="single" w:color="000000" w:sz="4" w:space="0"/>
            </w:tcBorders>
            <w:shd w:val="clear" w:color="auto" w:fill="FBE5D6" w:themeFill="accent2" w:themeFillTint="32"/>
            <w:vAlign w:val="center"/>
          </w:tcPr>
          <w:p>
            <w:pPr>
              <w:widowControl/>
              <w:adjustRightInd w:val="0"/>
              <w:snapToGrid w:val="0"/>
              <w:jc w:val="center"/>
              <w:rPr>
                <w:rFonts w:ascii="Times New Roman" w:hAnsi="Times New Roman" w:eastAsia="方正仿宋_GBK" w:cs="Times New Roman"/>
                <w:sz w:val="24"/>
              </w:rPr>
            </w:pPr>
          </w:p>
        </w:tc>
        <w:tc>
          <w:tcPr>
            <w:tcW w:w="2121" w:type="pct"/>
            <w:vMerge w:val="continue"/>
            <w:tcBorders>
              <w:top w:val="single" w:color="000000" w:sz="4" w:space="0"/>
              <w:left w:val="single" w:color="000000" w:sz="4" w:space="0"/>
              <w:bottom w:val="single" w:color="000000" w:sz="4" w:space="0"/>
              <w:right w:val="single" w:color="000000" w:sz="4" w:space="0"/>
            </w:tcBorders>
            <w:shd w:val="clear" w:color="auto" w:fill="FBE5D6" w:themeFill="accent2" w:themeFillTint="32"/>
            <w:vAlign w:val="center"/>
          </w:tcPr>
          <w:p>
            <w:pPr>
              <w:widowControl/>
              <w:adjustRightInd w:val="0"/>
              <w:snapToGrid w:val="0"/>
              <w:jc w:val="center"/>
              <w:rPr>
                <w:rFonts w:ascii="Times New Roman" w:hAnsi="Times New Roman" w:eastAsia="方正仿宋_GBK" w:cs="Times New Roman"/>
                <w:sz w:val="24"/>
              </w:rPr>
            </w:pPr>
          </w:p>
        </w:tc>
        <w:tc>
          <w:tcPr>
            <w:tcW w:w="708" w:type="pct"/>
            <w:vMerge w:val="continue"/>
            <w:tcBorders>
              <w:top w:val="single" w:color="000000" w:sz="4" w:space="0"/>
              <w:left w:val="single" w:color="000000" w:sz="4" w:space="0"/>
              <w:bottom w:val="single" w:color="000000" w:sz="4" w:space="0"/>
            </w:tcBorders>
            <w:shd w:val="clear" w:color="auto" w:fill="FBE5D6" w:themeFill="accent2" w:themeFillTint="32"/>
            <w:vAlign w:val="center"/>
          </w:tcPr>
          <w:p>
            <w:pPr>
              <w:widowControl/>
              <w:adjustRightInd w:val="0"/>
              <w:snapToGrid w:val="0"/>
              <w:jc w:val="center"/>
              <w:rPr>
                <w:rFonts w:ascii="Times New Roman" w:hAnsi="Times New Roman" w:eastAsia="方正仿宋_GBK" w:cs="Times New Roman"/>
                <w:sz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85" w:hRule="atLeast"/>
        </w:trPr>
        <w:tc>
          <w:tcPr>
            <w:tcW w:w="389"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1</w:t>
            </w:r>
          </w:p>
        </w:tc>
        <w:tc>
          <w:tcPr>
            <w:tcW w:w="17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阿蓬江-诸佛江及支流流域综合治理重点工程</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阿蓬江流域综合治理重点项目</w:t>
            </w:r>
          </w:p>
        </w:tc>
        <w:tc>
          <w:tcPr>
            <w:tcW w:w="708"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56999</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389"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2</w:t>
            </w:r>
          </w:p>
        </w:tc>
        <w:tc>
          <w:tcPr>
            <w:tcW w:w="17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阿蓬江-诸佛江及支流流域综合治理重点工程</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诸佛江黔江段综合治理重点项目</w:t>
            </w:r>
          </w:p>
        </w:tc>
        <w:tc>
          <w:tcPr>
            <w:tcW w:w="708"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2000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389"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3</w:t>
            </w:r>
          </w:p>
        </w:tc>
        <w:tc>
          <w:tcPr>
            <w:tcW w:w="17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阿蓬江-诸佛江及支流流域综合治理重点工程</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小流域及重要河库湿地综合治理重点项目</w:t>
            </w:r>
          </w:p>
        </w:tc>
        <w:tc>
          <w:tcPr>
            <w:tcW w:w="708"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39056</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389"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4</w:t>
            </w:r>
          </w:p>
        </w:tc>
        <w:tc>
          <w:tcPr>
            <w:tcW w:w="17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水环境整治和水生态修复潜力重点工程</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新城生态水体治理重点项目</w:t>
            </w:r>
          </w:p>
        </w:tc>
        <w:tc>
          <w:tcPr>
            <w:tcW w:w="708"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6793</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718" w:hRule="atLeast"/>
        </w:trPr>
        <w:tc>
          <w:tcPr>
            <w:tcW w:w="389"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5</w:t>
            </w:r>
          </w:p>
        </w:tc>
        <w:tc>
          <w:tcPr>
            <w:tcW w:w="17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水环境整治和水生态修复潜力重点工程</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集中式饮用水水源地环境问题整治和生态修复重点项目</w:t>
            </w:r>
          </w:p>
        </w:tc>
        <w:tc>
          <w:tcPr>
            <w:tcW w:w="708"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3855.87</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816" w:hRule="atLeast"/>
        </w:trPr>
        <w:tc>
          <w:tcPr>
            <w:tcW w:w="389"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6</w:t>
            </w:r>
          </w:p>
        </w:tc>
        <w:tc>
          <w:tcPr>
            <w:tcW w:w="17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森林质量精准提升重点工程</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渝东南生物多样性保护与生态综合治理重点项目</w:t>
            </w:r>
          </w:p>
        </w:tc>
        <w:tc>
          <w:tcPr>
            <w:tcW w:w="708"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6193</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84" w:hRule="atLeast"/>
        </w:trPr>
        <w:tc>
          <w:tcPr>
            <w:tcW w:w="389"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 w:val="24"/>
                <w:lang w:bidi="ar"/>
              </w:rPr>
            </w:pPr>
            <w:r>
              <w:rPr>
                <w:rFonts w:hint="eastAsia" w:ascii="Times New Roman" w:hAnsi="Times New Roman" w:eastAsia="方正仿宋_GBK" w:cs="Times New Roman"/>
                <w:kern w:val="0"/>
                <w:sz w:val="24"/>
                <w:lang w:bidi="ar"/>
              </w:rPr>
              <w:t>7</w:t>
            </w:r>
          </w:p>
        </w:tc>
        <w:tc>
          <w:tcPr>
            <w:tcW w:w="17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 w:val="24"/>
                <w:lang w:bidi="ar"/>
              </w:rPr>
            </w:pPr>
            <w:r>
              <w:rPr>
                <w:rFonts w:ascii="Times New Roman" w:hAnsi="Times New Roman" w:eastAsia="方正仿宋_GBK" w:cs="Times New Roman"/>
                <w:kern w:val="0"/>
                <w:sz w:val="24"/>
                <w:lang w:bidi="ar"/>
              </w:rPr>
              <w:t>森林质量精准提升重点工程</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 w:val="24"/>
                <w:lang w:bidi="ar"/>
              </w:rPr>
            </w:pPr>
            <w:r>
              <w:rPr>
                <w:rFonts w:hint="eastAsia" w:ascii="Times New Roman" w:hAnsi="Times New Roman" w:eastAsia="方正仿宋_GBK" w:cs="Times New Roman"/>
                <w:kern w:val="0"/>
                <w:sz w:val="24"/>
                <w:lang w:bidi="ar"/>
              </w:rPr>
              <w:t>黔江区小南海、武陵山自然保护区能力建设</w:t>
            </w:r>
          </w:p>
        </w:tc>
        <w:tc>
          <w:tcPr>
            <w:tcW w:w="708"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 w:val="24"/>
                <w:lang w:bidi="ar"/>
              </w:rPr>
            </w:pPr>
            <w:r>
              <w:rPr>
                <w:rFonts w:hint="eastAsia" w:ascii="Times New Roman" w:hAnsi="Times New Roman" w:eastAsia="方正仿宋_GBK" w:cs="Times New Roman"/>
                <w:kern w:val="0"/>
                <w:sz w:val="24"/>
                <w:lang w:bidi="ar"/>
              </w:rPr>
              <w:t>10000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464" w:hRule="atLeast"/>
        </w:trPr>
        <w:tc>
          <w:tcPr>
            <w:tcW w:w="389"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hint="eastAsia" w:ascii="Times New Roman" w:hAnsi="Times New Roman" w:eastAsia="方正仿宋_GBK" w:cs="Times New Roman"/>
                <w:kern w:val="0"/>
                <w:sz w:val="24"/>
                <w:lang w:bidi="ar"/>
              </w:rPr>
              <w:t>8</w:t>
            </w:r>
          </w:p>
        </w:tc>
        <w:tc>
          <w:tcPr>
            <w:tcW w:w="1781" w:type="pct"/>
            <w:tcBorders>
              <w:top w:val="nil"/>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水土流失综合治理与石漠化修复重点工程</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水土流失综合治理重点项目</w:t>
            </w:r>
          </w:p>
        </w:tc>
        <w:tc>
          <w:tcPr>
            <w:tcW w:w="708"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7464</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389"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hint="eastAsia" w:ascii="Times New Roman" w:hAnsi="Times New Roman" w:eastAsia="方正仿宋_GBK" w:cs="Times New Roman"/>
                <w:kern w:val="0"/>
                <w:sz w:val="24"/>
                <w:lang w:bidi="ar"/>
              </w:rPr>
              <w:t>9</w:t>
            </w:r>
          </w:p>
        </w:tc>
        <w:tc>
          <w:tcPr>
            <w:tcW w:w="1781" w:type="pct"/>
            <w:tcBorders>
              <w:top w:val="nil"/>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水土流失综合治理与石漠化修复重点工程</w:t>
            </w:r>
          </w:p>
        </w:tc>
        <w:tc>
          <w:tcPr>
            <w:tcW w:w="2121" w:type="pct"/>
            <w:tcBorders>
              <w:top w:val="nil"/>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石漠化修复重点项目</w:t>
            </w:r>
          </w:p>
        </w:tc>
        <w:tc>
          <w:tcPr>
            <w:tcW w:w="708"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1351.28</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92" w:hRule="atLeast"/>
        </w:trPr>
        <w:tc>
          <w:tcPr>
            <w:tcW w:w="389"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hint="eastAsia" w:ascii="Times New Roman" w:hAnsi="Times New Roman" w:eastAsia="方正仿宋_GBK" w:cs="Times New Roman"/>
                <w:kern w:val="0"/>
                <w:sz w:val="24"/>
                <w:lang w:bidi="ar"/>
              </w:rPr>
              <w:t>10</w:t>
            </w:r>
          </w:p>
        </w:tc>
        <w:tc>
          <w:tcPr>
            <w:tcW w:w="1781" w:type="pct"/>
            <w:tcBorders>
              <w:top w:val="nil"/>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矿山生态修复重点工程</w:t>
            </w:r>
          </w:p>
        </w:tc>
        <w:tc>
          <w:tcPr>
            <w:tcW w:w="2121" w:type="pct"/>
            <w:tcBorders>
              <w:top w:val="nil"/>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矿山环境整治与修复潜力重点项目</w:t>
            </w:r>
          </w:p>
        </w:tc>
        <w:tc>
          <w:tcPr>
            <w:tcW w:w="708"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hint="eastAsia" w:ascii="Times New Roman" w:hAnsi="Times New Roman" w:eastAsia="方正仿宋_GBK" w:cs="Times New Roman"/>
                <w:kern w:val="0"/>
                <w:sz w:val="24"/>
                <w:lang w:bidi="ar"/>
              </w:rPr>
              <w:t>51364</w:t>
            </w:r>
            <w:r>
              <w:rPr>
                <w:rFonts w:ascii="Times New Roman" w:hAnsi="Times New Roman" w:eastAsia="方正仿宋_GBK" w:cs="Times New Roman"/>
                <w:kern w:val="0"/>
                <w:sz w:val="24"/>
                <w:lang w:bidi="ar"/>
              </w:rPr>
              <w:t xml:space="preserve"> </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563" w:hRule="atLeast"/>
        </w:trPr>
        <w:tc>
          <w:tcPr>
            <w:tcW w:w="389"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1</w:t>
            </w:r>
            <w:r>
              <w:rPr>
                <w:rFonts w:hint="eastAsia" w:ascii="Times New Roman" w:hAnsi="Times New Roman" w:eastAsia="方正仿宋_GBK" w:cs="Times New Roman"/>
                <w:kern w:val="0"/>
                <w:sz w:val="24"/>
                <w:lang w:bidi="ar"/>
              </w:rPr>
              <w:t>1</w:t>
            </w:r>
          </w:p>
        </w:tc>
        <w:tc>
          <w:tcPr>
            <w:tcW w:w="1781" w:type="pct"/>
            <w:tcBorders>
              <w:top w:val="nil"/>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土地综合整治重点工程</w:t>
            </w:r>
          </w:p>
        </w:tc>
        <w:tc>
          <w:tcPr>
            <w:tcW w:w="2121" w:type="pct"/>
            <w:tcBorders>
              <w:top w:val="nil"/>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农用地整治重点项目</w:t>
            </w:r>
          </w:p>
        </w:tc>
        <w:tc>
          <w:tcPr>
            <w:tcW w:w="708" w:type="pct"/>
            <w:tcBorders>
              <w:top w:val="nil"/>
              <w:left w:val="single" w:color="000000" w:sz="4" w:space="0"/>
              <w:bottom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hint="eastAsia" w:ascii="Times New Roman" w:hAnsi="Times New Roman" w:eastAsia="方正仿宋_GBK" w:cs="Times New Roman"/>
                <w:kern w:val="0"/>
                <w:sz w:val="24"/>
                <w:lang w:bidi="ar"/>
              </w:rPr>
              <w:t>3757.71</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563" w:hRule="atLeast"/>
        </w:trPr>
        <w:tc>
          <w:tcPr>
            <w:tcW w:w="389"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 w:val="24"/>
                <w:lang w:bidi="ar"/>
              </w:rPr>
            </w:pPr>
            <w:r>
              <w:rPr>
                <w:rFonts w:hint="eastAsia" w:ascii="Times New Roman" w:hAnsi="Times New Roman" w:eastAsia="方正仿宋_GBK" w:cs="Times New Roman"/>
                <w:kern w:val="0"/>
                <w:sz w:val="24"/>
                <w:lang w:bidi="ar"/>
              </w:rPr>
              <w:t>12</w:t>
            </w:r>
          </w:p>
        </w:tc>
        <w:tc>
          <w:tcPr>
            <w:tcW w:w="1781" w:type="pct"/>
            <w:tcBorders>
              <w:top w:val="nil"/>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 w:val="24"/>
                <w:lang w:bidi="ar"/>
              </w:rPr>
            </w:pPr>
            <w:r>
              <w:rPr>
                <w:rFonts w:ascii="Times New Roman" w:hAnsi="Times New Roman" w:eastAsia="方正仿宋_GBK" w:cs="Times New Roman"/>
                <w:kern w:val="0"/>
                <w:sz w:val="24"/>
                <w:lang w:bidi="ar"/>
              </w:rPr>
              <w:t>土地综合整治重点工程</w:t>
            </w:r>
          </w:p>
        </w:tc>
        <w:tc>
          <w:tcPr>
            <w:tcW w:w="2121" w:type="pct"/>
            <w:tcBorders>
              <w:top w:val="nil"/>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 w:val="24"/>
                <w:lang w:bidi="ar"/>
              </w:rPr>
            </w:pPr>
            <w:r>
              <w:rPr>
                <w:rFonts w:hint="eastAsia" w:ascii="Times New Roman" w:hAnsi="Times New Roman" w:eastAsia="方正仿宋_GBK" w:cs="Times New Roman"/>
                <w:kern w:val="0"/>
                <w:sz w:val="24"/>
                <w:lang w:bidi="ar"/>
              </w:rPr>
              <w:t>水系连通及水美乡村建设</w:t>
            </w:r>
          </w:p>
        </w:tc>
        <w:tc>
          <w:tcPr>
            <w:tcW w:w="708" w:type="pct"/>
            <w:tcBorders>
              <w:top w:val="nil"/>
              <w:left w:val="single" w:color="000000" w:sz="4" w:space="0"/>
              <w:bottom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kern w:val="0"/>
                <w:sz w:val="24"/>
                <w:lang w:bidi="ar"/>
              </w:rPr>
            </w:pPr>
            <w:r>
              <w:rPr>
                <w:rFonts w:hint="eastAsia" w:ascii="Times New Roman" w:hAnsi="Times New Roman" w:eastAsia="方正仿宋_GBK" w:cs="Times New Roman"/>
                <w:kern w:val="0"/>
                <w:sz w:val="24"/>
                <w:lang w:bidi="ar"/>
              </w:rPr>
              <w:t>34100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58" w:hRule="atLeast"/>
        </w:trPr>
        <w:tc>
          <w:tcPr>
            <w:tcW w:w="389"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1</w:t>
            </w:r>
            <w:r>
              <w:rPr>
                <w:rFonts w:hint="eastAsia" w:ascii="Times New Roman" w:hAnsi="Times New Roman" w:eastAsia="方正仿宋_GBK" w:cs="Times New Roman"/>
                <w:kern w:val="0"/>
                <w:sz w:val="24"/>
                <w:lang w:bidi="ar"/>
              </w:rPr>
              <w:t>3</w:t>
            </w:r>
          </w:p>
        </w:tc>
        <w:tc>
          <w:tcPr>
            <w:tcW w:w="17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黔江人居环境综合治理重点工程</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黔江城区公园建设重点项目</w:t>
            </w:r>
          </w:p>
        </w:tc>
        <w:tc>
          <w:tcPr>
            <w:tcW w:w="708"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132000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389"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1</w:t>
            </w:r>
            <w:r>
              <w:rPr>
                <w:rFonts w:hint="eastAsia" w:ascii="Times New Roman" w:hAnsi="Times New Roman" w:eastAsia="方正仿宋_GBK" w:cs="Times New Roman"/>
                <w:kern w:val="0"/>
                <w:sz w:val="24"/>
                <w:lang w:bidi="ar"/>
              </w:rPr>
              <w:t>4</w:t>
            </w:r>
          </w:p>
        </w:tc>
        <w:tc>
          <w:tcPr>
            <w:tcW w:w="17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黔江人居环境综合治理重点工程</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正阳水上体育公园重点项目</w:t>
            </w:r>
          </w:p>
        </w:tc>
        <w:tc>
          <w:tcPr>
            <w:tcW w:w="708"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hint="eastAsia" w:ascii="Times New Roman" w:hAnsi="Times New Roman" w:eastAsia="方正仿宋_GBK" w:cs="Times New Roman"/>
                <w:kern w:val="0"/>
                <w:sz w:val="24"/>
                <w:lang w:bidi="ar"/>
              </w:rPr>
              <w:t>79</w:t>
            </w:r>
            <w:r>
              <w:rPr>
                <w:rFonts w:ascii="Times New Roman" w:hAnsi="Times New Roman" w:eastAsia="方正仿宋_GBK" w:cs="Times New Roman"/>
                <w:kern w:val="0"/>
                <w:sz w:val="24"/>
                <w:lang w:bidi="ar"/>
              </w:rPr>
              <w:t>00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389" w:type="pct"/>
            <w:tcBorders>
              <w:top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1</w:t>
            </w:r>
            <w:r>
              <w:rPr>
                <w:rFonts w:hint="eastAsia" w:ascii="Times New Roman" w:hAnsi="Times New Roman" w:eastAsia="方正仿宋_GBK" w:cs="Times New Roman"/>
                <w:kern w:val="0"/>
                <w:sz w:val="24"/>
                <w:lang w:bidi="ar"/>
              </w:rPr>
              <w:t>5</w:t>
            </w:r>
          </w:p>
        </w:tc>
        <w:tc>
          <w:tcPr>
            <w:tcW w:w="178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黔江人居环境综合治理重点工程</w:t>
            </w:r>
          </w:p>
        </w:tc>
        <w:tc>
          <w:tcPr>
            <w:tcW w:w="212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人居环境综合治理重点项目</w:t>
            </w:r>
          </w:p>
        </w:tc>
        <w:tc>
          <w:tcPr>
            <w:tcW w:w="708" w:type="pct"/>
            <w:tcBorders>
              <w:top w:val="single" w:color="000000" w:sz="4" w:space="0"/>
              <w:left w:val="single" w:color="000000" w:sz="4" w:space="0"/>
              <w:bottom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sz w:val="24"/>
              </w:rPr>
            </w:pPr>
            <w:r>
              <w:rPr>
                <w:rFonts w:ascii="Times New Roman" w:hAnsi="Times New Roman" w:eastAsia="方正仿宋_GBK" w:cs="Times New Roman"/>
                <w:kern w:val="0"/>
                <w:sz w:val="24"/>
                <w:lang w:bidi="ar"/>
              </w:rPr>
              <w:t>10777.4</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4291" w:type="pct"/>
            <w:gridSpan w:val="3"/>
            <w:tcBorders>
              <w:top w:val="nil"/>
              <w:right w:val="single" w:color="000000" w:sz="4" w:space="0"/>
            </w:tcBorders>
            <w:shd w:val="clear" w:color="auto" w:fill="auto"/>
            <w:noWrap/>
            <w:vAlign w:val="bottom"/>
          </w:tcPr>
          <w:p>
            <w:pPr>
              <w:widowControl/>
              <w:adjustRightInd w:val="0"/>
              <w:snapToGrid w:val="0"/>
              <w:jc w:val="center"/>
              <w:rPr>
                <w:rFonts w:ascii="Times New Roman" w:hAnsi="Times New Roman" w:eastAsia="方正仿宋_GBK" w:cs="Times New Roman"/>
                <w:b/>
                <w:bCs/>
                <w:sz w:val="24"/>
              </w:rPr>
            </w:pPr>
            <w:r>
              <w:rPr>
                <w:rFonts w:hint="eastAsia" w:ascii="Times New Roman" w:hAnsi="Times New Roman" w:eastAsia="方正仿宋_GBK" w:cs="Times New Roman"/>
                <w:b/>
                <w:bCs/>
                <w:sz w:val="24"/>
              </w:rPr>
              <w:t>合计</w:t>
            </w:r>
          </w:p>
        </w:tc>
        <w:tc>
          <w:tcPr>
            <w:tcW w:w="708" w:type="pct"/>
            <w:tcBorders>
              <w:top w:val="single" w:color="000000" w:sz="4" w:space="0"/>
              <w:lef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方正仿宋_GBK" w:cs="Times New Roman"/>
                <w:b/>
                <w:bCs/>
                <w:sz w:val="24"/>
              </w:rPr>
            </w:pPr>
            <w:r>
              <w:rPr>
                <w:rFonts w:hint="eastAsia" w:ascii="Times New Roman" w:hAnsi="Times New Roman" w:eastAsia="方正仿宋_GBK" w:cs="Times New Roman"/>
                <w:b/>
                <w:bCs/>
                <w:kern w:val="0"/>
                <w:sz w:val="24"/>
                <w:lang w:bidi="ar"/>
              </w:rPr>
              <w:t>373611</w:t>
            </w:r>
          </w:p>
        </w:tc>
      </w:tr>
      <w:bookmarkEnd w:id="233"/>
    </w:tbl>
    <w:p>
      <w:pPr>
        <w:pStyle w:val="6"/>
        <w:adjustRightInd w:val="0"/>
        <w:snapToGrid w:val="0"/>
        <w:spacing w:before="156" w:beforeLines="50" w:after="0" w:line="600" w:lineRule="exact"/>
        <w:ind w:firstLine="640" w:firstLineChars="200"/>
        <w:rPr>
          <w:rFonts w:ascii="方正黑体_GBK" w:hAnsi="方正黑体_GBK" w:eastAsia="方正黑体_GBK" w:cs="方正黑体_GBK"/>
          <w:b w:val="0"/>
        </w:rPr>
      </w:pPr>
      <w:bookmarkStart w:id="234" w:name="_Toc17548"/>
      <w:bookmarkStart w:id="235" w:name="_Toc30477"/>
      <w:bookmarkStart w:id="236" w:name="_Toc29011"/>
      <w:bookmarkStart w:id="237" w:name="_Toc7431"/>
      <w:bookmarkStart w:id="238" w:name="_Toc20553"/>
      <w:bookmarkStart w:id="239" w:name="_Toc10764"/>
      <w:r>
        <w:rPr>
          <w:rFonts w:hint="eastAsia" w:ascii="方正黑体_GBK" w:hAnsi="方正黑体_GBK" w:eastAsia="方正黑体_GBK" w:cs="方正黑体_GBK"/>
          <w:b w:val="0"/>
        </w:rPr>
        <w:t>二、资金筹措</w:t>
      </w:r>
      <w:bookmarkEnd w:id="234"/>
      <w:bookmarkEnd w:id="235"/>
      <w:bookmarkEnd w:id="236"/>
      <w:bookmarkEnd w:id="237"/>
      <w:bookmarkEnd w:id="238"/>
      <w:bookmarkEnd w:id="239"/>
    </w:p>
    <w:p>
      <w:pPr>
        <w:adjustRightInd w:val="0"/>
        <w:snapToGrid w:val="0"/>
        <w:spacing w:line="600" w:lineRule="exact"/>
        <w:ind w:firstLine="641"/>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按照“性质不变，渠道不乱，统筹安排，集中投入，各负其责，各记其功”的原则，</w:t>
      </w:r>
      <w:r>
        <w:rPr>
          <w:rFonts w:ascii="Times New Roman" w:hAnsi="Times New Roman" w:eastAsia="方正仿宋_GBK" w:cs="Times New Roman"/>
          <w:sz w:val="32"/>
          <w:szCs w:val="32"/>
        </w:rPr>
        <w:t>建设过程中应坚持多渠道筹措资金，全社会各尽所能，保证重大工程实施顺利进行。资金来源主要包括国家专项资金、市级财政投入、生态修复基金投入、社会投入等，其中</w:t>
      </w:r>
      <w:r>
        <w:rPr>
          <w:rFonts w:hint="eastAsia" w:ascii="Times New Roman" w:hAnsi="Times New Roman" w:eastAsia="方正仿宋_GBK" w:cs="Times New Roman"/>
          <w:sz w:val="32"/>
          <w:szCs w:val="32"/>
        </w:rPr>
        <w:t>，中央和市级等上级资金</w:t>
      </w:r>
      <w:r>
        <w:rPr>
          <w:rFonts w:ascii="Times New Roman" w:hAnsi="Times New Roman" w:eastAsia="方正仿宋_GBK" w:cs="Times New Roman"/>
          <w:sz w:val="32"/>
          <w:szCs w:val="32"/>
        </w:rPr>
        <w:t>投入约</w:t>
      </w:r>
      <w:bookmarkStart w:id="240" w:name="_Hlk127655947"/>
      <w:r>
        <w:rPr>
          <w:rFonts w:hint="eastAsia" w:ascii="Times New Roman" w:hAnsi="Times New Roman" w:eastAsia="方正仿宋_GBK" w:cs="Times New Roman"/>
          <w:sz w:val="32"/>
          <w:szCs w:val="32"/>
        </w:rPr>
        <w:t>2</w:t>
      </w:r>
      <w:bookmarkEnd w:id="240"/>
      <w:r>
        <w:rPr>
          <w:rFonts w:hint="eastAsia" w:ascii="Times New Roman" w:hAnsi="Times New Roman" w:eastAsia="方正仿宋_GBK" w:cs="Times New Roman"/>
          <w:sz w:val="32"/>
          <w:szCs w:val="32"/>
        </w:rPr>
        <w:t>79691万</w:t>
      </w:r>
      <w:r>
        <w:rPr>
          <w:rFonts w:ascii="Times New Roman" w:hAnsi="Times New Roman" w:eastAsia="方正仿宋_GBK" w:cs="Times New Roman"/>
          <w:sz w:val="32"/>
          <w:szCs w:val="32"/>
        </w:rPr>
        <w:t>元，占总投资的7</w:t>
      </w:r>
      <w:r>
        <w:rPr>
          <w:rFonts w:hint="eastAsia" w:ascii="Times New Roman" w:hAnsi="Times New Roman" w:eastAsia="方正仿宋_GBK" w:cs="Times New Roman"/>
          <w:sz w:val="32"/>
          <w:szCs w:val="32"/>
        </w:rPr>
        <w:t>5</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区级资金</w:t>
      </w:r>
      <w:bookmarkStart w:id="241" w:name="_Hlk127655963"/>
      <w:r>
        <w:rPr>
          <w:rFonts w:hint="eastAsia" w:ascii="Times New Roman" w:hAnsi="Times New Roman" w:eastAsia="方正仿宋_GBK" w:cs="Times New Roman"/>
          <w:sz w:val="32"/>
          <w:szCs w:val="32"/>
        </w:rPr>
        <w:t>32391</w:t>
      </w:r>
      <w:bookmarkEnd w:id="241"/>
      <w:r>
        <w:rPr>
          <w:rFonts w:hint="eastAsia" w:ascii="Times New Roman" w:hAnsi="Times New Roman" w:eastAsia="方正仿宋_GBK" w:cs="Times New Roman"/>
          <w:sz w:val="32"/>
          <w:szCs w:val="32"/>
        </w:rPr>
        <w:t>万元，占总投资的</w:t>
      </w:r>
      <w:r>
        <w:rPr>
          <w:rFonts w:ascii="Times New Roman" w:hAnsi="Times New Roman" w:eastAsia="方正仿宋_GBK" w:cs="Times New Roman"/>
          <w:sz w:val="32"/>
          <w:szCs w:val="32"/>
        </w:rPr>
        <w:t>9%</w:t>
      </w:r>
      <w:r>
        <w:rPr>
          <w:rFonts w:hint="eastAsia" w:ascii="Times New Roman" w:hAnsi="Times New Roman" w:eastAsia="方正仿宋_GBK" w:cs="Times New Roman"/>
          <w:sz w:val="32"/>
          <w:szCs w:val="32"/>
        </w:rPr>
        <w:t>；社会资金61529万元，占总投资的</w:t>
      </w: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rPr>
        <w:t>6</w:t>
      </w:r>
      <w:r>
        <w:rPr>
          <w:rFonts w:ascii="Times New Roman" w:hAnsi="Times New Roman" w:eastAsia="方正仿宋_GBK" w:cs="Times New Roman"/>
          <w:sz w:val="32"/>
          <w:szCs w:val="32"/>
        </w:rPr>
        <w:t>%。</w:t>
      </w:r>
    </w:p>
    <w:p>
      <w:pPr>
        <w:spacing w:after="62" w:afterLines="20" w:line="600" w:lineRule="exact"/>
        <w:jc w:val="center"/>
        <w:rPr>
          <w:rFonts w:ascii="方正黑体_GBK" w:hAnsi="方正黑体_GBK" w:eastAsia="方正黑体_GBK" w:cs="方正黑体_GBK"/>
          <w:bCs/>
          <w:sz w:val="28"/>
          <w:szCs w:val="28"/>
        </w:rPr>
      </w:pPr>
      <w:r>
        <w:rPr>
          <w:rFonts w:hint="eastAsia" w:ascii="方正黑体_GBK" w:hAnsi="方正黑体_GBK" w:eastAsia="方正黑体_GBK" w:cs="方正黑体_GBK"/>
          <w:bCs/>
          <w:sz w:val="28"/>
          <w:szCs w:val="28"/>
        </w:rPr>
        <w:t>表4-2  资金筹措计划表</w:t>
      </w:r>
    </w:p>
    <w:tbl>
      <w:tblPr>
        <w:tblStyle w:val="19"/>
        <w:tblW w:w="905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7"/>
        <w:gridCol w:w="2147"/>
        <w:gridCol w:w="59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7" w:hRule="atLeast"/>
          <w:tblHeader/>
          <w:jc w:val="center"/>
        </w:trPr>
        <w:tc>
          <w:tcPr>
            <w:tcW w:w="937" w:type="dxa"/>
            <w:tcBorders>
              <w:bottom w:val="single" w:color="auto" w:sz="2" w:space="0"/>
              <w:right w:val="single" w:color="auto" w:sz="2" w:space="0"/>
            </w:tcBorders>
            <w:shd w:val="clear" w:color="auto" w:fill="FBE5D6" w:themeFill="accent2" w:themeFillTint="32"/>
            <w:vAlign w:val="center"/>
          </w:tcPr>
          <w:p>
            <w:pPr>
              <w:widowControl/>
              <w:adjustRightInd w:val="0"/>
              <w:snapToGrid w:val="0"/>
              <w:jc w:val="center"/>
              <w:rPr>
                <w:rFonts w:ascii="方正楷体_GBK" w:hAnsi="方正楷体_GBK" w:eastAsia="方正楷体_GBK" w:cs="方正楷体_GBK"/>
                <w:kern w:val="0"/>
                <w:sz w:val="24"/>
              </w:rPr>
            </w:pPr>
            <w:r>
              <w:rPr>
                <w:rFonts w:hint="eastAsia" w:ascii="方正楷体_GBK" w:hAnsi="方正楷体_GBK" w:eastAsia="方正楷体_GBK" w:cs="方正楷体_GBK"/>
                <w:kern w:val="0"/>
                <w:sz w:val="24"/>
              </w:rPr>
              <w:t>序号</w:t>
            </w:r>
          </w:p>
        </w:tc>
        <w:tc>
          <w:tcPr>
            <w:tcW w:w="2147" w:type="dxa"/>
            <w:tcBorders>
              <w:left w:val="single" w:color="auto" w:sz="2" w:space="0"/>
              <w:bottom w:val="single" w:color="auto" w:sz="2" w:space="0"/>
              <w:right w:val="single" w:color="auto" w:sz="2" w:space="0"/>
            </w:tcBorders>
            <w:shd w:val="clear" w:color="auto" w:fill="FBE5D6" w:themeFill="accent2" w:themeFillTint="32"/>
            <w:vAlign w:val="center"/>
          </w:tcPr>
          <w:p>
            <w:pPr>
              <w:widowControl/>
              <w:adjustRightInd w:val="0"/>
              <w:snapToGrid w:val="0"/>
              <w:jc w:val="center"/>
              <w:rPr>
                <w:rFonts w:ascii="方正楷体_GBK" w:hAnsi="方正楷体_GBK" w:eastAsia="方正楷体_GBK" w:cs="方正楷体_GBK"/>
                <w:kern w:val="0"/>
                <w:sz w:val="24"/>
              </w:rPr>
            </w:pPr>
            <w:r>
              <w:rPr>
                <w:rFonts w:hint="eastAsia" w:ascii="方正楷体_GBK" w:hAnsi="方正楷体_GBK" w:eastAsia="方正楷体_GBK" w:cs="方正楷体_GBK"/>
                <w:kern w:val="0"/>
                <w:sz w:val="24"/>
              </w:rPr>
              <w:t>资金来源</w:t>
            </w:r>
          </w:p>
        </w:tc>
        <w:tc>
          <w:tcPr>
            <w:tcW w:w="5966" w:type="dxa"/>
            <w:tcBorders>
              <w:left w:val="single" w:color="auto" w:sz="2" w:space="0"/>
              <w:bottom w:val="single" w:color="auto" w:sz="2" w:space="0"/>
            </w:tcBorders>
            <w:shd w:val="clear" w:color="auto" w:fill="FBE5D6" w:themeFill="accent2" w:themeFillTint="32"/>
            <w:vAlign w:val="center"/>
          </w:tcPr>
          <w:p>
            <w:pPr>
              <w:widowControl/>
              <w:adjustRightInd w:val="0"/>
              <w:snapToGrid w:val="0"/>
              <w:jc w:val="center"/>
              <w:rPr>
                <w:rFonts w:ascii="方正楷体_GBK" w:hAnsi="方正楷体_GBK" w:eastAsia="方正楷体_GBK" w:cs="方正楷体_GBK"/>
                <w:kern w:val="0"/>
                <w:sz w:val="24"/>
              </w:rPr>
            </w:pPr>
            <w:r>
              <w:rPr>
                <w:rFonts w:hint="eastAsia" w:ascii="方正楷体_GBK" w:hAnsi="方正楷体_GBK" w:eastAsia="方正楷体_GBK" w:cs="方正楷体_GBK"/>
                <w:kern w:val="0"/>
                <w:sz w:val="24"/>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7" w:type="dxa"/>
            <w:tcBorders>
              <w:top w:val="single" w:color="auto" w:sz="2" w:space="0"/>
              <w:bottom w:val="single" w:color="auto" w:sz="2" w:space="0"/>
              <w:right w:val="single" w:color="auto" w:sz="2" w:space="0"/>
            </w:tcBorders>
            <w:vAlign w:val="center"/>
          </w:tcPr>
          <w:p>
            <w:pPr>
              <w:widowControl/>
              <w:adjustRightInd w:val="0"/>
              <w:snapToGrid w:val="0"/>
              <w:jc w:val="center"/>
              <w:rPr>
                <w:rFonts w:ascii="Times New Roman" w:hAnsi="Times New Roman" w:eastAsia="方正仿宋_GBK" w:cs="Times New Roman"/>
                <w:kern w:val="0"/>
                <w:sz w:val="24"/>
              </w:rPr>
            </w:pPr>
            <w:r>
              <w:rPr>
                <w:rFonts w:hint="eastAsia" w:ascii="Times New Roman" w:hAnsi="Times New Roman" w:eastAsia="方正仿宋_GBK" w:cs="Times New Roman"/>
                <w:kern w:val="0"/>
                <w:sz w:val="24"/>
              </w:rPr>
              <w:t>1</w:t>
            </w:r>
          </w:p>
        </w:tc>
        <w:tc>
          <w:tcPr>
            <w:tcW w:w="2147" w:type="dxa"/>
            <w:tcBorders>
              <w:top w:val="single" w:color="auto" w:sz="2" w:space="0"/>
              <w:left w:val="single" w:color="auto" w:sz="2" w:space="0"/>
              <w:bottom w:val="single" w:color="auto" w:sz="2" w:space="0"/>
              <w:right w:val="single" w:color="auto" w:sz="2" w:space="0"/>
            </w:tcBorders>
            <w:vAlign w:val="center"/>
          </w:tcPr>
          <w:p>
            <w:pPr>
              <w:widowControl/>
              <w:adjustRightInd w:val="0"/>
              <w:snapToGrid w:val="0"/>
              <w:jc w:val="center"/>
              <w:rPr>
                <w:rFonts w:ascii="Times New Roman" w:hAnsi="Times New Roman" w:eastAsia="方正仿宋_GBK" w:cs="Times New Roman"/>
                <w:kern w:val="0"/>
                <w:sz w:val="24"/>
              </w:rPr>
            </w:pPr>
            <w:r>
              <w:rPr>
                <w:rFonts w:hint="eastAsia" w:ascii="Times New Roman" w:hAnsi="Times New Roman" w:eastAsia="方正仿宋_GBK" w:cs="Times New Roman"/>
                <w:kern w:val="0"/>
                <w:sz w:val="24"/>
              </w:rPr>
              <w:t>中央和市级等上级</w:t>
            </w:r>
            <w:r>
              <w:rPr>
                <w:rFonts w:ascii="Times New Roman" w:hAnsi="Times New Roman" w:eastAsia="方正仿宋_GBK" w:cs="Times New Roman"/>
                <w:kern w:val="0"/>
                <w:sz w:val="24"/>
              </w:rPr>
              <w:t>资金</w:t>
            </w:r>
            <w:r>
              <w:rPr>
                <w:rFonts w:hint="eastAsia" w:ascii="Times New Roman" w:hAnsi="Times New Roman" w:eastAsia="方正仿宋_GBK" w:cs="Times New Roman"/>
                <w:kern w:val="0"/>
                <w:sz w:val="24"/>
              </w:rPr>
              <w:t>279691万</w:t>
            </w:r>
            <w:r>
              <w:rPr>
                <w:rFonts w:ascii="Times New Roman" w:hAnsi="Times New Roman" w:eastAsia="方正仿宋_GBK" w:cs="Times New Roman"/>
                <w:kern w:val="0"/>
                <w:sz w:val="24"/>
              </w:rPr>
              <w:t>元（占总投资的7</w:t>
            </w:r>
            <w:r>
              <w:rPr>
                <w:rFonts w:hint="eastAsia" w:ascii="Times New Roman" w:hAnsi="Times New Roman" w:eastAsia="方正仿宋_GBK" w:cs="Times New Roman"/>
                <w:kern w:val="0"/>
                <w:sz w:val="24"/>
              </w:rPr>
              <w:t>5</w:t>
            </w:r>
            <w:r>
              <w:rPr>
                <w:rFonts w:ascii="Times New Roman" w:hAnsi="Times New Roman" w:eastAsia="方正仿宋_GBK" w:cs="Times New Roman"/>
                <w:kern w:val="0"/>
                <w:sz w:val="24"/>
              </w:rPr>
              <w:t>%）</w:t>
            </w:r>
          </w:p>
        </w:tc>
        <w:tc>
          <w:tcPr>
            <w:tcW w:w="5966" w:type="dxa"/>
            <w:tcBorders>
              <w:top w:val="single" w:color="auto" w:sz="2" w:space="0"/>
              <w:left w:val="single" w:color="auto" w:sz="2" w:space="0"/>
              <w:bottom w:val="single" w:color="auto" w:sz="2" w:space="0"/>
            </w:tcBorders>
            <w:vAlign w:val="center"/>
          </w:tcPr>
          <w:p>
            <w:pPr>
              <w:widowControl/>
              <w:adjustRightInd w:val="0"/>
              <w:snapToGrid w:val="0"/>
              <w:rPr>
                <w:rFonts w:ascii="Times New Roman" w:hAnsi="Times New Roman" w:eastAsia="方正仿宋_GBK" w:cs="Times New Roman"/>
                <w:kern w:val="0"/>
                <w:sz w:val="24"/>
              </w:rPr>
            </w:pPr>
            <w:r>
              <w:rPr>
                <w:rFonts w:ascii="Times New Roman" w:hAnsi="Times New Roman" w:eastAsia="方正仿宋_GBK" w:cs="Times New Roman"/>
                <w:kern w:val="0"/>
                <w:sz w:val="24"/>
              </w:rPr>
              <w:t>充分做好项目前期勘查、可行性分析及项目总体规划，严格按照国家、</w:t>
            </w:r>
            <w:r>
              <w:rPr>
                <w:rFonts w:hint="eastAsia" w:ascii="Times New Roman" w:hAnsi="Times New Roman" w:eastAsia="方正仿宋_GBK" w:cs="Times New Roman"/>
                <w:kern w:val="0"/>
                <w:sz w:val="24"/>
              </w:rPr>
              <w:t>重庆市</w:t>
            </w:r>
            <w:r>
              <w:rPr>
                <w:rFonts w:ascii="Times New Roman" w:hAnsi="Times New Roman" w:eastAsia="方正仿宋_GBK" w:cs="Times New Roman"/>
                <w:kern w:val="0"/>
                <w:sz w:val="24"/>
              </w:rPr>
              <w:t>有关规定和程序，做好项目立项、项目论证、项目概算与审核，切实设置项目绩效目标并采取措施保障项目实施进度，充分发挥中央资金引领作用与使用效益。</w:t>
            </w:r>
            <w:r>
              <w:rPr>
                <w:rFonts w:hint="eastAsia" w:ascii="Times New Roman" w:hAnsi="Times New Roman" w:eastAsia="方正仿宋_GBK" w:cs="Times New Roman"/>
                <w:kern w:val="0"/>
                <w:sz w:val="24"/>
              </w:rPr>
              <w:t>按照“性质不变，渠道不乱，统筹安排，集中投入，各负其责，各记其功”</w:t>
            </w:r>
            <w:r>
              <w:rPr>
                <w:rFonts w:ascii="Times New Roman" w:hAnsi="Times New Roman" w:eastAsia="方正仿宋_GBK" w:cs="Times New Roman"/>
                <w:kern w:val="0"/>
                <w:sz w:val="24"/>
              </w:rPr>
              <w:t>的原则筹集资金</w:t>
            </w:r>
            <w:r>
              <w:rPr>
                <w:rFonts w:hint="eastAsia" w:ascii="Times New Roman" w:hAnsi="Times New Roman" w:eastAsia="方正仿宋_GBK" w:cs="Times New Roman"/>
                <w:kern w:val="0"/>
                <w:sz w:val="24"/>
              </w:rPr>
              <w:t>279691万</w:t>
            </w:r>
            <w:r>
              <w:rPr>
                <w:rFonts w:ascii="Times New Roman" w:hAnsi="Times New Roman" w:eastAsia="方正仿宋_GBK" w:cs="Times New Roman"/>
                <w:kern w:val="0"/>
                <w:sz w:val="24"/>
              </w:rPr>
              <w:t>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7" w:type="dxa"/>
            <w:tcBorders>
              <w:top w:val="single" w:color="auto" w:sz="2" w:space="0"/>
              <w:bottom w:val="single" w:color="auto" w:sz="2" w:space="0"/>
              <w:right w:val="single" w:color="auto" w:sz="2" w:space="0"/>
            </w:tcBorders>
            <w:vAlign w:val="center"/>
          </w:tcPr>
          <w:p>
            <w:pPr>
              <w:widowControl/>
              <w:adjustRightInd w:val="0"/>
              <w:snapToGrid w:val="0"/>
              <w:jc w:val="center"/>
              <w:rPr>
                <w:rFonts w:ascii="Times New Roman" w:hAnsi="Times New Roman" w:eastAsia="方正仿宋_GBK" w:cs="Times New Roman"/>
                <w:kern w:val="0"/>
                <w:sz w:val="24"/>
              </w:rPr>
            </w:pPr>
            <w:r>
              <w:rPr>
                <w:rFonts w:hint="eastAsia" w:ascii="Times New Roman" w:hAnsi="Times New Roman" w:eastAsia="方正仿宋_GBK" w:cs="Times New Roman"/>
                <w:kern w:val="0"/>
                <w:sz w:val="24"/>
              </w:rPr>
              <w:t>2</w:t>
            </w:r>
          </w:p>
        </w:tc>
        <w:tc>
          <w:tcPr>
            <w:tcW w:w="2147" w:type="dxa"/>
            <w:tcBorders>
              <w:top w:val="single" w:color="auto" w:sz="2" w:space="0"/>
              <w:left w:val="single" w:color="auto" w:sz="2" w:space="0"/>
              <w:bottom w:val="single" w:color="auto" w:sz="2" w:space="0"/>
              <w:right w:val="single" w:color="auto" w:sz="2" w:space="0"/>
            </w:tcBorders>
            <w:vAlign w:val="center"/>
          </w:tcPr>
          <w:p>
            <w:pPr>
              <w:widowControl/>
              <w:adjustRightInd w:val="0"/>
              <w:snapToGrid w:val="0"/>
              <w:jc w:val="center"/>
              <w:rPr>
                <w:rFonts w:ascii="Times New Roman" w:hAnsi="Times New Roman" w:eastAsia="方正仿宋_GBK" w:cs="Times New Roman"/>
                <w:kern w:val="0"/>
                <w:sz w:val="24"/>
              </w:rPr>
            </w:pPr>
            <w:r>
              <w:rPr>
                <w:rFonts w:hint="eastAsia" w:ascii="Times New Roman" w:hAnsi="Times New Roman" w:eastAsia="方正仿宋_GBK" w:cs="Times New Roman"/>
                <w:kern w:val="0"/>
                <w:sz w:val="24"/>
              </w:rPr>
              <w:t>区级</w:t>
            </w:r>
            <w:r>
              <w:rPr>
                <w:rFonts w:ascii="Times New Roman" w:hAnsi="Times New Roman" w:eastAsia="方正仿宋_GBK" w:cs="Times New Roman"/>
                <w:kern w:val="0"/>
                <w:sz w:val="24"/>
              </w:rPr>
              <w:t>资金</w:t>
            </w:r>
          </w:p>
          <w:p>
            <w:pPr>
              <w:widowControl/>
              <w:adjustRightInd w:val="0"/>
              <w:snapToGrid w:val="0"/>
              <w:jc w:val="center"/>
              <w:rPr>
                <w:rFonts w:ascii="Times New Roman" w:hAnsi="Times New Roman" w:eastAsia="方正仿宋_GBK" w:cs="Times New Roman"/>
                <w:kern w:val="0"/>
                <w:sz w:val="24"/>
              </w:rPr>
            </w:pPr>
            <w:r>
              <w:rPr>
                <w:rFonts w:hint="eastAsia" w:ascii="Times New Roman" w:hAnsi="Times New Roman" w:eastAsia="方正仿宋_GBK" w:cs="Times New Roman"/>
                <w:kern w:val="0"/>
                <w:sz w:val="24"/>
              </w:rPr>
              <w:t>32391万</w:t>
            </w:r>
            <w:r>
              <w:rPr>
                <w:rFonts w:ascii="Times New Roman" w:hAnsi="Times New Roman" w:eastAsia="方正仿宋_GBK" w:cs="Times New Roman"/>
                <w:kern w:val="0"/>
                <w:sz w:val="24"/>
              </w:rPr>
              <w:t>元（占总投资的</w:t>
            </w:r>
            <w:r>
              <w:rPr>
                <w:rFonts w:hint="eastAsia" w:ascii="Times New Roman" w:hAnsi="Times New Roman" w:eastAsia="方正仿宋_GBK" w:cs="Times New Roman"/>
                <w:kern w:val="0"/>
                <w:sz w:val="24"/>
              </w:rPr>
              <w:t>9</w:t>
            </w:r>
            <w:r>
              <w:rPr>
                <w:rFonts w:ascii="Times New Roman" w:hAnsi="Times New Roman" w:eastAsia="方正仿宋_GBK" w:cs="Times New Roman"/>
                <w:kern w:val="0"/>
                <w:sz w:val="24"/>
              </w:rPr>
              <w:t>%）</w:t>
            </w:r>
          </w:p>
        </w:tc>
        <w:tc>
          <w:tcPr>
            <w:tcW w:w="5966" w:type="dxa"/>
            <w:tcBorders>
              <w:top w:val="single" w:color="auto" w:sz="2" w:space="0"/>
              <w:left w:val="single" w:color="auto" w:sz="2" w:space="0"/>
              <w:bottom w:val="single" w:color="auto" w:sz="2" w:space="0"/>
            </w:tcBorders>
            <w:vAlign w:val="center"/>
          </w:tcPr>
          <w:p>
            <w:pPr>
              <w:widowControl/>
              <w:adjustRightInd w:val="0"/>
              <w:snapToGrid w:val="0"/>
              <w:rPr>
                <w:rFonts w:ascii="Times New Roman" w:hAnsi="Times New Roman" w:eastAsia="方正仿宋_GBK" w:cs="Times New Roman"/>
                <w:kern w:val="0"/>
                <w:sz w:val="24"/>
              </w:rPr>
            </w:pPr>
            <w:r>
              <w:rPr>
                <w:rFonts w:ascii="Times New Roman" w:hAnsi="Times New Roman" w:eastAsia="方正仿宋_GBK" w:cs="Times New Roman"/>
                <w:kern w:val="0"/>
                <w:sz w:val="24"/>
              </w:rPr>
              <w:t>统筹和整合</w:t>
            </w:r>
            <w:r>
              <w:rPr>
                <w:rFonts w:hint="eastAsia" w:ascii="Times New Roman" w:hAnsi="Times New Roman" w:eastAsia="方正仿宋_GBK" w:cs="Times New Roman"/>
                <w:kern w:val="0"/>
                <w:sz w:val="24"/>
              </w:rPr>
              <w:t>黔江区涉及的</w:t>
            </w:r>
            <w:r>
              <w:rPr>
                <w:rFonts w:ascii="Times New Roman" w:hAnsi="Times New Roman" w:eastAsia="方正仿宋_GBK" w:cs="Times New Roman"/>
                <w:kern w:val="0"/>
                <w:sz w:val="24"/>
              </w:rPr>
              <w:t>山水林田湖草沙生态保护修复试点工程相关部门及专项资金</w:t>
            </w:r>
            <w:r>
              <w:rPr>
                <w:rFonts w:hint="eastAsia" w:ascii="Times New Roman" w:hAnsi="Times New Roman" w:eastAsia="方正仿宋_GBK" w:cs="Times New Roman"/>
                <w:kern w:val="0"/>
                <w:sz w:val="24"/>
              </w:rPr>
              <w:t>。同时，区</w:t>
            </w:r>
            <w:r>
              <w:rPr>
                <w:rFonts w:ascii="Times New Roman" w:hAnsi="Times New Roman" w:eastAsia="方正仿宋_GBK" w:cs="Times New Roman"/>
                <w:kern w:val="0"/>
                <w:sz w:val="24"/>
              </w:rPr>
              <w:t>级政府预算安排中新增或重点投入生态保护修复</w:t>
            </w:r>
            <w:r>
              <w:rPr>
                <w:rFonts w:hint="eastAsia" w:ascii="Times New Roman" w:hAnsi="Times New Roman" w:eastAsia="方正仿宋_GBK" w:cs="Times New Roman"/>
                <w:kern w:val="0"/>
                <w:sz w:val="24"/>
              </w:rPr>
              <w:t>重点</w:t>
            </w:r>
            <w:r>
              <w:rPr>
                <w:rFonts w:ascii="Times New Roman" w:hAnsi="Times New Roman" w:eastAsia="方正仿宋_GBK" w:cs="Times New Roman"/>
                <w:kern w:val="0"/>
                <w:sz w:val="24"/>
              </w:rPr>
              <w:t>工程32391</w:t>
            </w:r>
            <w:r>
              <w:rPr>
                <w:rFonts w:hint="eastAsia" w:ascii="Times New Roman" w:hAnsi="Times New Roman" w:eastAsia="方正仿宋_GBK" w:cs="Times New Roman"/>
                <w:kern w:val="0"/>
                <w:sz w:val="24"/>
              </w:rPr>
              <w:t>万</w:t>
            </w:r>
            <w:r>
              <w:rPr>
                <w:rFonts w:ascii="Times New Roman" w:hAnsi="Times New Roman" w:eastAsia="方正仿宋_GBK" w:cs="Times New Roman"/>
                <w:kern w:val="0"/>
                <w:sz w:val="24"/>
              </w:rPr>
              <w:t>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937" w:type="dxa"/>
            <w:tcBorders>
              <w:top w:val="single" w:color="auto" w:sz="2" w:space="0"/>
              <w:right w:val="single" w:color="auto" w:sz="2" w:space="0"/>
            </w:tcBorders>
            <w:vAlign w:val="center"/>
          </w:tcPr>
          <w:p>
            <w:pPr>
              <w:widowControl/>
              <w:adjustRightInd w:val="0"/>
              <w:snapToGrid w:val="0"/>
              <w:jc w:val="center"/>
              <w:rPr>
                <w:rFonts w:ascii="Times New Roman" w:hAnsi="Times New Roman" w:eastAsia="方正仿宋_GBK" w:cs="Times New Roman"/>
                <w:kern w:val="0"/>
                <w:sz w:val="24"/>
              </w:rPr>
            </w:pPr>
            <w:r>
              <w:rPr>
                <w:rFonts w:hint="eastAsia" w:ascii="Times New Roman" w:hAnsi="Times New Roman" w:eastAsia="方正仿宋_GBK" w:cs="Times New Roman"/>
                <w:kern w:val="0"/>
                <w:sz w:val="24"/>
              </w:rPr>
              <w:t>3</w:t>
            </w:r>
          </w:p>
        </w:tc>
        <w:tc>
          <w:tcPr>
            <w:tcW w:w="2147" w:type="dxa"/>
            <w:tcBorders>
              <w:top w:val="single" w:color="auto" w:sz="2" w:space="0"/>
              <w:left w:val="single" w:color="auto" w:sz="2" w:space="0"/>
              <w:right w:val="single" w:color="auto" w:sz="2" w:space="0"/>
            </w:tcBorders>
            <w:vAlign w:val="center"/>
          </w:tcPr>
          <w:p>
            <w:pPr>
              <w:widowControl/>
              <w:adjustRightInd w:val="0"/>
              <w:snapToGrid w:val="0"/>
              <w:jc w:val="center"/>
              <w:rPr>
                <w:rFonts w:ascii="Times New Roman" w:hAnsi="Times New Roman" w:eastAsia="方正仿宋_GBK" w:cs="Times New Roman"/>
                <w:kern w:val="0"/>
                <w:sz w:val="24"/>
              </w:rPr>
            </w:pPr>
            <w:r>
              <w:rPr>
                <w:rFonts w:ascii="Times New Roman" w:hAnsi="Times New Roman" w:eastAsia="方正仿宋_GBK" w:cs="Times New Roman"/>
                <w:kern w:val="0"/>
                <w:sz w:val="24"/>
              </w:rPr>
              <w:t>社会资金</w:t>
            </w:r>
          </w:p>
          <w:p>
            <w:pPr>
              <w:widowControl/>
              <w:adjustRightInd w:val="0"/>
              <w:snapToGrid w:val="0"/>
              <w:jc w:val="center"/>
              <w:rPr>
                <w:rFonts w:ascii="Times New Roman" w:hAnsi="Times New Roman" w:eastAsia="方正仿宋_GBK" w:cs="Times New Roman"/>
                <w:kern w:val="0"/>
                <w:sz w:val="24"/>
              </w:rPr>
            </w:pPr>
            <w:r>
              <w:rPr>
                <w:rFonts w:hint="eastAsia" w:ascii="Times New Roman" w:hAnsi="Times New Roman" w:eastAsia="方正仿宋_GBK" w:cs="Times New Roman"/>
                <w:kern w:val="0"/>
                <w:sz w:val="24"/>
              </w:rPr>
              <w:t>61529万</w:t>
            </w:r>
            <w:r>
              <w:rPr>
                <w:rFonts w:ascii="Times New Roman" w:hAnsi="Times New Roman" w:eastAsia="方正仿宋_GBK" w:cs="Times New Roman"/>
                <w:kern w:val="0"/>
                <w:sz w:val="24"/>
              </w:rPr>
              <w:t>元（占总投资的1</w:t>
            </w:r>
            <w:r>
              <w:rPr>
                <w:rFonts w:hint="eastAsia" w:ascii="Times New Roman" w:hAnsi="Times New Roman" w:eastAsia="方正仿宋_GBK" w:cs="Times New Roman"/>
                <w:kern w:val="0"/>
                <w:sz w:val="24"/>
              </w:rPr>
              <w:t>6</w:t>
            </w:r>
            <w:r>
              <w:rPr>
                <w:rFonts w:ascii="Times New Roman" w:hAnsi="Times New Roman" w:eastAsia="方正仿宋_GBK" w:cs="Times New Roman"/>
                <w:kern w:val="0"/>
                <w:sz w:val="24"/>
              </w:rPr>
              <w:t>%）</w:t>
            </w:r>
          </w:p>
        </w:tc>
        <w:tc>
          <w:tcPr>
            <w:tcW w:w="5966" w:type="dxa"/>
            <w:tcBorders>
              <w:top w:val="single" w:color="auto" w:sz="2" w:space="0"/>
              <w:left w:val="single" w:color="auto" w:sz="2" w:space="0"/>
            </w:tcBorders>
            <w:vAlign w:val="center"/>
          </w:tcPr>
          <w:p>
            <w:pPr>
              <w:adjustRightInd w:val="0"/>
              <w:snapToGrid w:val="0"/>
              <w:jc w:val="left"/>
              <w:rPr>
                <w:rFonts w:ascii="Times New Roman" w:hAnsi="Times New Roman" w:eastAsia="方正仿宋_GBK" w:cs="Times New Roman"/>
                <w:kern w:val="0"/>
                <w:sz w:val="24"/>
              </w:rPr>
            </w:pPr>
            <w:r>
              <w:rPr>
                <w:rFonts w:ascii="Times New Roman" w:hAnsi="Times New Roman" w:eastAsia="方正仿宋_GBK" w:cs="Times New Roman"/>
                <w:kern w:val="0"/>
                <w:sz w:val="24"/>
              </w:rPr>
              <w:t>按照“谁污染、谁治理，谁破坏、谁治理”落实企业治污与恢复主体责任筹集。修复工程自身潜在价值撬动社会资金投入生态保护修复工程筹集。</w:t>
            </w:r>
          </w:p>
        </w:tc>
      </w:tr>
    </w:tbl>
    <w:p>
      <w:pPr>
        <w:spacing w:before="312" w:beforeLines="100" w:after="312" w:afterLines="100" w:line="600" w:lineRule="exact"/>
        <w:jc w:val="center"/>
        <w:outlineLvl w:val="0"/>
        <w:rPr>
          <w:rFonts w:ascii="方正小标宋_GBK" w:hAnsi="方正小标宋_GBK" w:eastAsia="方正小标宋_GBK" w:cs="方正小标宋_GBK"/>
          <w:sz w:val="44"/>
          <w:szCs w:val="44"/>
        </w:rPr>
        <w:sectPr>
          <w:pgSz w:w="11906" w:h="16838"/>
          <w:pgMar w:top="1701" w:right="1474" w:bottom="1440" w:left="1587" w:header="851" w:footer="992" w:gutter="0"/>
          <w:cols w:space="0" w:num="1"/>
          <w:docGrid w:type="lines" w:linePitch="312" w:charSpace="0"/>
        </w:sectPr>
      </w:pPr>
      <w:bookmarkStart w:id="242" w:name="_Toc16860"/>
      <w:bookmarkStart w:id="243" w:name="_Toc1568"/>
      <w:bookmarkStart w:id="244" w:name="_Toc3887"/>
      <w:bookmarkStart w:id="245" w:name="_Toc2545"/>
    </w:p>
    <w:p>
      <w:pPr>
        <w:spacing w:before="312" w:beforeLines="100" w:after="312" w:afterLines="100" w:line="600" w:lineRule="exact"/>
        <w:jc w:val="center"/>
        <w:outlineLvl w:val="0"/>
        <w:rPr>
          <w:rFonts w:ascii="方正小标宋_GBK" w:hAnsi="方正小标宋_GBK" w:eastAsia="方正小标宋_GBK" w:cs="方正小标宋_GBK"/>
          <w:sz w:val="44"/>
          <w:szCs w:val="44"/>
        </w:rPr>
      </w:pPr>
      <w:bookmarkStart w:id="246" w:name="_Toc27466"/>
      <w:r>
        <w:rPr>
          <w:rFonts w:hint="eastAsia" w:ascii="方正小标宋_GBK" w:hAnsi="方正小标宋_GBK" w:eastAsia="方正小标宋_GBK" w:cs="方正小标宋_GBK"/>
          <w:sz w:val="44"/>
          <w:szCs w:val="44"/>
        </w:rPr>
        <w:t>第五章 综合效益分析</w:t>
      </w:r>
      <w:bookmarkEnd w:id="242"/>
      <w:bookmarkEnd w:id="243"/>
      <w:bookmarkEnd w:id="244"/>
      <w:bookmarkEnd w:id="245"/>
      <w:bookmarkEnd w:id="246"/>
    </w:p>
    <w:p>
      <w:pPr>
        <w:spacing w:before="312" w:beforeLines="100" w:after="156" w:afterLines="50" w:line="600" w:lineRule="exact"/>
        <w:ind w:firstLine="640" w:firstLineChars="200"/>
        <w:outlineLvl w:val="1"/>
        <w:rPr>
          <w:rFonts w:ascii="方正黑体_GBK" w:hAnsi="方正黑体_GBK" w:eastAsia="方正黑体_GBK" w:cs="方正黑体_GBK"/>
          <w:sz w:val="32"/>
          <w:szCs w:val="32"/>
        </w:rPr>
      </w:pPr>
      <w:bookmarkStart w:id="247" w:name="_Toc7546"/>
      <w:bookmarkStart w:id="248" w:name="_Toc17015"/>
      <w:bookmarkStart w:id="249" w:name="_Toc1859"/>
      <w:bookmarkStart w:id="250" w:name="_Toc23608"/>
      <w:r>
        <w:rPr>
          <w:rFonts w:hint="eastAsia" w:ascii="方正黑体_GBK" w:hAnsi="方正黑体_GBK" w:eastAsia="方正黑体_GBK" w:cs="方正黑体_GBK"/>
          <w:sz w:val="32"/>
          <w:szCs w:val="32"/>
        </w:rPr>
        <w:t>第一节 生态效益分析</w:t>
      </w:r>
      <w:bookmarkEnd w:id="247"/>
      <w:bookmarkEnd w:id="248"/>
      <w:bookmarkEnd w:id="249"/>
      <w:bookmarkEnd w:id="250"/>
    </w:p>
    <w:p>
      <w:pPr>
        <w:adjustRightInd w:val="0"/>
        <w:snapToGrid w:val="0"/>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规划实施后，全区生态、农业、城镇和矿山等区域生态服务功能将显著提高、生态环境得到有效治理、生态产品供给能力得到扩大。通过森林质量精准提升工程实施，</w:t>
      </w:r>
      <w:r>
        <w:rPr>
          <w:rFonts w:hint="eastAsia" w:ascii="方正仿宋_GBK" w:hAnsi="方正仿宋_GBK" w:eastAsia="方正仿宋_GBK" w:cs="方正仿宋_GBK"/>
          <w:sz w:val="32"/>
          <w:szCs w:val="32"/>
        </w:rPr>
        <w:t>对于建立资源结构合理、生产力高、稳定高效的自然生态系统，筑牢农业生产和气候调节的生态屏障具有重大的战略作用</w:t>
      </w:r>
      <w:r>
        <w:rPr>
          <w:rFonts w:hint="eastAsia" w:ascii="Times New Roman" w:hAnsi="Times New Roman" w:eastAsia="方正仿宋_GBK" w:cs="Times New Roman"/>
          <w:sz w:val="32"/>
          <w:szCs w:val="32"/>
        </w:rPr>
        <w:t>。在舟白湿地、官渡峡、蒲花河湿地、两河湿地、神龟峡湿地、外围保护地带、湿地乡村展示区开展流域综合治理</w:t>
      </w:r>
      <w:r>
        <w:rPr>
          <w:rFonts w:hint="eastAsia" w:ascii="方正仿宋_GBK" w:hAnsi="方正仿宋_GBK" w:eastAsia="方正仿宋_GBK" w:cs="方正仿宋_GBK"/>
          <w:sz w:val="32"/>
          <w:szCs w:val="32"/>
        </w:rPr>
        <w:t>，将逐步恢复和提升湿地“地球之肾”功能，河湖湿地生态系统功能、水源涵养功能增强，污染得到控制，水质明显改善。</w:t>
      </w:r>
      <w:r>
        <w:rPr>
          <w:rFonts w:hint="eastAsia" w:ascii="Times New Roman" w:hAnsi="Times New Roman" w:eastAsia="方正仿宋_GBK" w:cs="Times New Roman"/>
          <w:sz w:val="32"/>
          <w:szCs w:val="32"/>
        </w:rPr>
        <w:t>通过开展水土流失综合治理与石漠化修复重点工程，土</w:t>
      </w:r>
      <w:r>
        <w:rPr>
          <w:rFonts w:hint="eastAsia" w:ascii="方正仿宋_GBK" w:hAnsi="方正仿宋_GBK" w:eastAsia="方正仿宋_GBK" w:cs="方正仿宋_GBK"/>
          <w:sz w:val="32"/>
          <w:szCs w:val="32"/>
        </w:rPr>
        <w:t>壤侵蚀强度大幅度下降，有效拦截进入江河湖库的泥沙，</w:t>
      </w:r>
      <w:r>
        <w:rPr>
          <w:rFonts w:hint="eastAsia" w:ascii="Times New Roman" w:hAnsi="Times New Roman" w:eastAsia="方正仿宋_GBK" w:cs="Times New Roman"/>
          <w:sz w:val="32"/>
          <w:szCs w:val="32"/>
        </w:rPr>
        <w:t>同时治理过程中采取的</w:t>
      </w:r>
      <w:r>
        <w:rPr>
          <w:rFonts w:ascii="Times New Roman" w:hAnsi="Times New Roman" w:eastAsia="方正仿宋_GBK" w:cs="Times New Roman"/>
          <w:sz w:val="32"/>
          <w:szCs w:val="32"/>
        </w:rPr>
        <w:t>绿化建设、各种防护措施等具有良好的水土保持作用，可减少地区水土流失，</w:t>
      </w:r>
      <w:r>
        <w:rPr>
          <w:rFonts w:hint="eastAsia" w:ascii="Times New Roman" w:hAnsi="Times New Roman" w:eastAsia="方正仿宋_GBK" w:cs="Times New Roman"/>
          <w:sz w:val="32"/>
          <w:szCs w:val="32"/>
        </w:rPr>
        <w:t>能显著增强</w:t>
      </w:r>
      <w:r>
        <w:rPr>
          <w:rFonts w:ascii="Times New Roman" w:hAnsi="Times New Roman" w:eastAsia="方正仿宋_GBK" w:cs="Times New Roman"/>
          <w:sz w:val="32"/>
          <w:szCs w:val="32"/>
        </w:rPr>
        <w:t>区域保持水土功能</w:t>
      </w:r>
      <w:r>
        <w:rPr>
          <w:rFonts w:hint="eastAsia" w:ascii="Times New Roman" w:hAnsi="Times New Roman" w:eastAsia="方正仿宋_GBK" w:cs="Times New Roman"/>
          <w:sz w:val="32"/>
          <w:szCs w:val="32"/>
        </w:rPr>
        <w:t>。通过实施人居环境综合治理重点工程，城市和乡村的人居生活品质显著提高，农业面源污染得到有效控制。</w:t>
      </w:r>
      <w:r>
        <w:rPr>
          <w:rFonts w:hint="eastAsia" w:ascii="方正仿宋_GBK" w:hAnsi="方正仿宋_GBK" w:eastAsia="方正仿宋_GBK" w:cs="方正仿宋_GBK"/>
          <w:sz w:val="32"/>
          <w:szCs w:val="32"/>
        </w:rPr>
        <w:t>随着森林、湿地生态环境的改善，以及开展的动植物栖息地保护、生态廊道建设等措施，野生动物栖息和繁衍环境明显好转，物种迁徙生态廊道全面连通，</w:t>
      </w:r>
      <w:r>
        <w:rPr>
          <w:rFonts w:ascii="Times New Roman" w:hAnsi="Times New Roman" w:eastAsia="方正仿宋_GBK" w:cs="Times New Roman"/>
          <w:sz w:val="32"/>
          <w:szCs w:val="32"/>
        </w:rPr>
        <w:t>野生动植物栖息和繁衍提供良好的保护体系和生存环境，使珍稀、濒危和特有物种得到有效保护。</w:t>
      </w:r>
      <w:r>
        <w:rPr>
          <w:rFonts w:hint="eastAsia" w:ascii="Times New Roman" w:hAnsi="Times New Roman" w:eastAsia="方正仿宋_GBK" w:cs="Times New Roman"/>
          <w:sz w:val="32"/>
          <w:szCs w:val="32"/>
        </w:rPr>
        <w:t>此外，良好的生态环境，为全区生态旅游发展提供重要的生态支撑，有助于形成资源高效利用、综合效益明显的生态旅游模式及产业化经营管理模式，进一步推进区域绿色产业建设。</w:t>
      </w:r>
    </w:p>
    <w:p>
      <w:pPr>
        <w:spacing w:before="312" w:beforeLines="100" w:after="156" w:afterLines="50" w:line="600" w:lineRule="exact"/>
        <w:ind w:firstLine="640" w:firstLineChars="200"/>
        <w:outlineLvl w:val="1"/>
        <w:rPr>
          <w:rFonts w:ascii="方正黑体_GBK" w:hAnsi="方正黑体_GBK" w:eastAsia="方正黑体_GBK" w:cs="方正黑体_GBK"/>
          <w:sz w:val="32"/>
          <w:szCs w:val="32"/>
        </w:rPr>
      </w:pPr>
      <w:bookmarkStart w:id="251" w:name="_Toc32408"/>
      <w:bookmarkStart w:id="252" w:name="_Toc15473"/>
      <w:bookmarkStart w:id="253" w:name="_Toc25569"/>
      <w:bookmarkStart w:id="254" w:name="_Toc14745"/>
      <w:r>
        <w:rPr>
          <w:rFonts w:hint="eastAsia" w:ascii="方正黑体_GBK" w:hAnsi="方正黑体_GBK" w:eastAsia="方正黑体_GBK" w:cs="方正黑体_GBK"/>
          <w:sz w:val="32"/>
          <w:szCs w:val="32"/>
        </w:rPr>
        <w:t>第二节 经济效益分析</w:t>
      </w:r>
      <w:bookmarkEnd w:id="251"/>
      <w:bookmarkEnd w:id="252"/>
      <w:bookmarkEnd w:id="253"/>
      <w:bookmarkEnd w:id="254"/>
    </w:p>
    <w:p>
      <w:pPr>
        <w:adjustRightInd w:val="0"/>
        <w:snapToGrid w:val="0"/>
        <w:spacing w:line="600" w:lineRule="exact"/>
        <w:ind w:firstLine="641"/>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规划实施后，有助于促进黔江区自然资源永续利用、区域经济转型发展以及当地群众的持续稳定增收。通过持续推进森林质量精准提升、河湖湿地治理，将大幅提升生态系统服务功能，恢复生物多样性，改善当地水土资源条件，促进区域经济可持续发展。通过逐步改善自然生态质量，将为生态旅游、森林康养、林业经济等生态产业发展奠定良好基础，有助于促进形成特色突出、布局合理、具有较强竞争优势的生态产业带，打造新的区域经济增长点。通过建立健全生态保护补偿制度，有利于稳定和扩大就地就业机会，巩固武陵山区脱贫攻坚成果，助力乡村振兴，使群众从生态保护中直接受益，推动实现生态美、百姓富的目标，促进将绿水青山转化为金山银山。</w:t>
      </w:r>
    </w:p>
    <w:p>
      <w:pPr>
        <w:spacing w:before="312" w:beforeLines="100" w:after="156" w:afterLines="50" w:line="600" w:lineRule="exact"/>
        <w:ind w:firstLine="640" w:firstLineChars="200"/>
        <w:outlineLvl w:val="1"/>
        <w:rPr>
          <w:rFonts w:ascii="方正黑体_GBK" w:hAnsi="方正黑体_GBK" w:eastAsia="方正黑体_GBK" w:cs="方正黑体_GBK"/>
          <w:sz w:val="32"/>
          <w:szCs w:val="32"/>
        </w:rPr>
      </w:pPr>
      <w:bookmarkStart w:id="255" w:name="_Toc15947"/>
      <w:bookmarkStart w:id="256" w:name="_Toc22951"/>
      <w:bookmarkStart w:id="257" w:name="_Toc6534"/>
      <w:bookmarkStart w:id="258" w:name="_Toc17772"/>
      <w:r>
        <w:rPr>
          <w:rFonts w:hint="eastAsia" w:ascii="方正黑体_GBK" w:hAnsi="方正黑体_GBK" w:eastAsia="方正黑体_GBK" w:cs="方正黑体_GBK"/>
          <w:sz w:val="32"/>
          <w:szCs w:val="32"/>
        </w:rPr>
        <w:t>第三节 社会效益分析</w:t>
      </w:r>
      <w:bookmarkEnd w:id="255"/>
      <w:bookmarkEnd w:id="256"/>
      <w:bookmarkEnd w:id="257"/>
      <w:bookmarkEnd w:id="258"/>
    </w:p>
    <w:p>
      <w:pPr>
        <w:adjustRightInd w:val="0"/>
        <w:snapToGrid w:val="0"/>
        <w:spacing w:line="600" w:lineRule="exact"/>
        <w:ind w:firstLine="640" w:firstLineChars="200"/>
        <w:rPr>
          <w:rFonts w:ascii="Times New Roman" w:hAnsi="Times New Roman" w:eastAsia="方正仿宋_GBK" w:cs="Times New Roman"/>
          <w:sz w:val="32"/>
          <w:szCs w:val="32"/>
        </w:rPr>
        <w:sectPr>
          <w:pgSz w:w="11906" w:h="16838"/>
          <w:pgMar w:top="1701" w:right="1474" w:bottom="1440" w:left="1587" w:header="851" w:footer="992" w:gutter="0"/>
          <w:cols w:space="0" w:num="1"/>
          <w:docGrid w:type="lines" w:linePitch="312" w:charSpace="0"/>
        </w:sectPr>
      </w:pPr>
      <w:r>
        <w:rPr>
          <w:rFonts w:hint="eastAsia" w:ascii="Times New Roman" w:hAnsi="Times New Roman" w:eastAsia="方正仿宋_GBK" w:cs="Times New Roman"/>
          <w:sz w:val="32"/>
          <w:szCs w:val="32"/>
        </w:rPr>
        <w:t>全面加强黔江区生态保护和修复，有助于进一步筑牢全区生态屏障，提高区域资源环境承载能力，促进加快建立可持续的产业结构、生产方式和消费模式，逐步建立人与自然相互依存、和谐共生的发展格局，增进民生福祉，提升群众幸福感。通过推进国土空间生态修复重点工程实施，有助于积累统筹山水林田湖草沙一体化保护修复的实践经验，促进完善生态保护和修复的配套政策和管理制度，为我市乃至全国生态保护修复贡献黔江智慧和方案，引领生态文明建设。此外</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规划实施</w:t>
      </w:r>
      <w:r>
        <w:rPr>
          <w:rFonts w:ascii="Times New Roman" w:hAnsi="Times New Roman" w:eastAsia="方正仿宋_GBK" w:cs="Times New Roman"/>
          <w:sz w:val="32"/>
          <w:szCs w:val="32"/>
        </w:rPr>
        <w:t>将辐射带动相关节能环保、新材料等战略性新兴产业发展，推进绿色产业开发，迫使排污企业调整生产模式，有效地促进区域产业结构的调整和产业链的优化升级，带动区域生态经济发展，实现区域经济绿色发展</w:t>
      </w:r>
      <w:r>
        <w:rPr>
          <w:rFonts w:hint="eastAsia" w:ascii="Times New Roman" w:hAnsi="Times New Roman" w:eastAsia="方正仿宋_GBK" w:cs="Times New Roman"/>
          <w:sz w:val="32"/>
          <w:szCs w:val="32"/>
        </w:rPr>
        <w:t>。</w:t>
      </w:r>
    </w:p>
    <w:p>
      <w:pPr>
        <w:spacing w:before="312" w:beforeLines="100" w:after="312" w:afterLines="100" w:line="600" w:lineRule="exact"/>
        <w:jc w:val="center"/>
        <w:outlineLvl w:val="0"/>
        <w:rPr>
          <w:rFonts w:ascii="方正小标宋_GBK" w:hAnsi="方正小标宋_GBK" w:eastAsia="方正小标宋_GBK" w:cs="方正小标宋_GBK"/>
          <w:sz w:val="44"/>
          <w:szCs w:val="44"/>
        </w:rPr>
      </w:pPr>
      <w:bookmarkStart w:id="259" w:name="_Toc931"/>
      <w:bookmarkStart w:id="260" w:name="_Toc29568"/>
      <w:bookmarkStart w:id="261" w:name="_Toc22811"/>
      <w:bookmarkStart w:id="262" w:name="_Toc10441"/>
      <w:r>
        <w:rPr>
          <w:rFonts w:hint="eastAsia" w:ascii="方正小标宋_GBK" w:hAnsi="方正小标宋_GBK" w:eastAsia="方正小标宋_GBK" w:cs="方正小标宋_GBK"/>
          <w:sz w:val="44"/>
          <w:szCs w:val="44"/>
        </w:rPr>
        <w:t>第六章 保障措施</w:t>
      </w:r>
      <w:bookmarkEnd w:id="259"/>
      <w:bookmarkEnd w:id="260"/>
      <w:bookmarkEnd w:id="261"/>
      <w:bookmarkEnd w:id="262"/>
    </w:p>
    <w:p>
      <w:pPr>
        <w:spacing w:before="312" w:beforeLines="100" w:after="156" w:afterLines="50" w:line="600" w:lineRule="exact"/>
        <w:ind w:firstLine="640" w:firstLineChars="200"/>
        <w:outlineLvl w:val="1"/>
        <w:rPr>
          <w:rFonts w:ascii="方正黑体_GBK" w:hAnsi="方正黑体_GBK" w:eastAsia="方正黑体_GBK" w:cs="方正黑体_GBK"/>
          <w:sz w:val="32"/>
          <w:szCs w:val="32"/>
        </w:rPr>
      </w:pPr>
      <w:bookmarkStart w:id="263" w:name="_Toc6241"/>
      <w:bookmarkStart w:id="264" w:name="_Toc28934"/>
      <w:bookmarkStart w:id="265" w:name="_Toc4736"/>
      <w:bookmarkStart w:id="266" w:name="_Toc23591"/>
      <w:r>
        <w:rPr>
          <w:rFonts w:hint="eastAsia" w:ascii="方正黑体_GBK" w:hAnsi="方正黑体_GBK" w:eastAsia="方正黑体_GBK" w:cs="方正黑体_GBK"/>
          <w:sz w:val="32"/>
          <w:szCs w:val="32"/>
        </w:rPr>
        <w:t xml:space="preserve">第一节 </w:t>
      </w:r>
      <w:bookmarkEnd w:id="263"/>
      <w:r>
        <w:rPr>
          <w:rFonts w:hint="eastAsia" w:ascii="方正黑体_GBK" w:hAnsi="方正黑体_GBK" w:eastAsia="方正黑体_GBK" w:cs="方正黑体_GBK"/>
          <w:sz w:val="32"/>
          <w:szCs w:val="32"/>
        </w:rPr>
        <w:t>创新体制机制</w:t>
      </w:r>
      <w:bookmarkEnd w:id="264"/>
      <w:bookmarkEnd w:id="265"/>
      <w:bookmarkEnd w:id="266"/>
    </w:p>
    <w:p>
      <w:pPr>
        <w:adjustRightInd w:val="0"/>
        <w:snapToGrid w:val="0"/>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山水林田湖草沙作为一个生命共同体，对其进行保护修复，必须打破行政区划、部门管理、行业管理的界线，按照复合生态系统要素的内在规律，统筹考虑生态系统管理要求，健全“生态系统管理”与“自然资源管理”相结合的管理体制机制。黔江区国土空间生态修复过程中，区政府作为第一责任人，区规资部门主导监管、指导，区发改、财政、生态环保、农业农村、能源、公安、安监、林业、水利、交通等职能部门要加强协调联动，形成合力。国土生态修复工程项目实施的过程中，不同行业专家组成技术团队参与生态环境修复的全过程技术管理，对每项工程逐一进行规划设计，明确目标任务、技术路线。</w:t>
      </w:r>
    </w:p>
    <w:p>
      <w:pPr>
        <w:spacing w:before="312" w:beforeLines="100" w:after="156" w:afterLines="50" w:line="600" w:lineRule="exact"/>
        <w:ind w:firstLine="640" w:firstLineChars="200"/>
        <w:outlineLvl w:val="1"/>
        <w:rPr>
          <w:rFonts w:ascii="方正黑体_GBK" w:hAnsi="方正黑体_GBK" w:eastAsia="方正黑体_GBK" w:cs="方正黑体_GBK"/>
          <w:sz w:val="32"/>
          <w:szCs w:val="32"/>
        </w:rPr>
      </w:pPr>
      <w:bookmarkStart w:id="267" w:name="_Toc8231"/>
      <w:bookmarkStart w:id="268" w:name="_Toc22092"/>
      <w:bookmarkStart w:id="269" w:name="_Toc2399"/>
      <w:r>
        <w:rPr>
          <w:rFonts w:hint="eastAsia" w:ascii="方正黑体_GBK" w:hAnsi="方正黑体_GBK" w:eastAsia="方正黑体_GBK" w:cs="方正黑体_GBK"/>
          <w:sz w:val="32"/>
          <w:szCs w:val="32"/>
        </w:rPr>
        <w:t>第二节 建立政策体系</w:t>
      </w:r>
      <w:bookmarkEnd w:id="267"/>
      <w:bookmarkEnd w:id="268"/>
      <w:bookmarkEnd w:id="269"/>
    </w:p>
    <w:p>
      <w:pPr>
        <w:adjustRightInd w:val="0"/>
        <w:snapToGrid w:val="0"/>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探索建立国土空间生态保护修复补偿制度，建立国土空间中各类生态空间、各类自然保护地的自然资源和生态环境功能价值评估核算制度，加快健全有效市场和有为政府更好结合、分类补偿与综合补偿统筹兼顾、纵向补偿与横向补偿协调推进、强化激励与硬化约束协同发力的生态保护补偿制度。加大对重要生态系统或重要生态功能区的政策支持，对列入重点生态功能区保护和建设的重点工程和示范工程优先实施，并在土地、税收、资金方面给予支持。</w:t>
      </w:r>
    </w:p>
    <w:p>
      <w:pPr>
        <w:spacing w:before="312" w:beforeLines="100" w:after="156" w:afterLines="50" w:line="600" w:lineRule="exact"/>
        <w:ind w:firstLine="640" w:firstLineChars="200"/>
        <w:outlineLvl w:val="1"/>
        <w:rPr>
          <w:rFonts w:ascii="方正黑体_GBK" w:hAnsi="方正黑体_GBK" w:eastAsia="方正黑体_GBK" w:cs="方正黑体_GBK"/>
          <w:sz w:val="32"/>
          <w:szCs w:val="32"/>
        </w:rPr>
      </w:pPr>
      <w:bookmarkStart w:id="270" w:name="_Toc8942"/>
      <w:bookmarkStart w:id="271" w:name="_Toc4055"/>
      <w:bookmarkStart w:id="272" w:name="_Toc19628"/>
      <w:r>
        <w:rPr>
          <w:rFonts w:hint="eastAsia" w:ascii="方正黑体_GBK" w:hAnsi="方正黑体_GBK" w:eastAsia="方正黑体_GBK" w:cs="方正黑体_GBK"/>
          <w:sz w:val="32"/>
          <w:szCs w:val="32"/>
        </w:rPr>
        <w:t>第三节 落实规划传导</w:t>
      </w:r>
      <w:bookmarkEnd w:id="270"/>
      <w:bookmarkEnd w:id="271"/>
      <w:bookmarkEnd w:id="272"/>
    </w:p>
    <w:p>
      <w:pPr>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本规划是黔江区国土空间生态保护修复总体规划，相关部门制定专项规划、年度计划时，应做好与本规划的衔接。</w:t>
      </w:r>
      <w:r>
        <w:rPr>
          <w:rFonts w:hint="eastAsia" w:ascii="方正仿宋_GBK" w:hAnsi="方正仿宋_GBK" w:eastAsia="方正仿宋_GBK" w:cs="方正仿宋_GBK"/>
          <w:sz w:val="32"/>
          <w:szCs w:val="32"/>
        </w:rPr>
        <w:t>建立国土空间生态保护修复监测、评估、管控、考核等全生命周期的适应性监管体系，</w:t>
      </w:r>
      <w:r>
        <w:rPr>
          <w:rFonts w:hint="eastAsia" w:ascii="Times New Roman" w:hAnsi="Times New Roman" w:eastAsia="方正仿宋_GBK" w:cs="Times New Roman"/>
          <w:sz w:val="32"/>
          <w:szCs w:val="32"/>
        </w:rPr>
        <w:t>严格规划实施的监督管理。</w:t>
      </w:r>
      <w:r>
        <w:rPr>
          <w:rFonts w:hint="eastAsia" w:ascii="方正仿宋_GBK" w:hAnsi="方正仿宋_GBK" w:eastAsia="方正仿宋_GBK" w:cs="方正仿宋_GBK"/>
          <w:sz w:val="32"/>
          <w:szCs w:val="32"/>
        </w:rPr>
        <w:t>规划实施期间，做好前期调研、中期评估和后期总结，全面分析检查规划实施效果及各项政策措施落实情况，及时根据评估反馈进行优化和完善，达到国土空间生态保护修复规划目标的整体实现。</w:t>
      </w:r>
      <w:r>
        <w:rPr>
          <w:rFonts w:hint="eastAsia" w:ascii="Times New Roman" w:hAnsi="Times New Roman" w:eastAsia="方正仿宋_GBK" w:cs="Times New Roman"/>
          <w:sz w:val="32"/>
          <w:szCs w:val="32"/>
        </w:rPr>
        <w:t>实行规划实施的年度评估制度、领导责任制度和目标考核制度。制定责任目标和考核办法，切实做好年度检查考核工作。</w:t>
      </w:r>
    </w:p>
    <w:p>
      <w:pPr>
        <w:spacing w:before="312" w:beforeLines="100" w:after="156" w:afterLines="50" w:line="600" w:lineRule="exact"/>
        <w:ind w:firstLine="640" w:firstLineChars="200"/>
        <w:outlineLvl w:val="1"/>
        <w:rPr>
          <w:rFonts w:ascii="方正黑体_GBK" w:hAnsi="方正黑体_GBK" w:eastAsia="方正黑体_GBK" w:cs="方正黑体_GBK"/>
          <w:sz w:val="32"/>
          <w:szCs w:val="32"/>
        </w:rPr>
      </w:pPr>
      <w:bookmarkStart w:id="273" w:name="_Toc5208"/>
      <w:bookmarkStart w:id="274" w:name="_Toc32533"/>
      <w:bookmarkStart w:id="275" w:name="_Toc82622409"/>
      <w:bookmarkStart w:id="276" w:name="_Toc4621"/>
      <w:bookmarkStart w:id="277" w:name="_Toc89966372"/>
      <w:r>
        <w:rPr>
          <w:rFonts w:hint="eastAsia" w:ascii="方正黑体_GBK" w:hAnsi="方正黑体_GBK" w:eastAsia="方正黑体_GBK" w:cs="方正黑体_GBK"/>
          <w:sz w:val="32"/>
          <w:szCs w:val="32"/>
        </w:rPr>
        <w:t>第四节 强化资金保障</w:t>
      </w:r>
      <w:bookmarkEnd w:id="273"/>
      <w:bookmarkEnd w:id="274"/>
      <w:bookmarkEnd w:id="275"/>
      <w:bookmarkEnd w:id="276"/>
      <w:bookmarkEnd w:id="277"/>
    </w:p>
    <w:p>
      <w:pPr>
        <w:spacing w:line="60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建立市场化运作机制，鼓励社会投资主体以多种形式参与生态保护修复工作，逐步形成政府引导、企业自觉、社会支持的生态文明建设多元化投入机制。加大生态保护修复建设财政投入，积极争取中央和市级等上级各专项资金，重大生态系统修复和环境综合整治项目应优先纳入国民经济和社会发展计划，统筹安排，认真组织实施。探索将生态补偿、生态环境损害赔偿金等资金注入生态修复基金，为后续生态修复提供资金支持。建立制度化的财政投入预算保障机制，逐年增加财政支持力度，确保生态保护修复的支出与地区生产总值、财政收入联动增长，确保新增财力更多地用于生态保护修复。</w:t>
      </w:r>
    </w:p>
    <w:p>
      <w:pPr>
        <w:spacing w:before="312" w:beforeLines="100" w:after="156" w:afterLines="50" w:line="600" w:lineRule="exact"/>
        <w:ind w:firstLine="640" w:firstLineChars="200"/>
        <w:outlineLvl w:val="1"/>
        <w:rPr>
          <w:rFonts w:ascii="方正黑体_GBK" w:hAnsi="方正黑体_GBK" w:eastAsia="方正黑体_GBK" w:cs="方正黑体_GBK"/>
          <w:sz w:val="32"/>
          <w:szCs w:val="32"/>
        </w:rPr>
      </w:pPr>
      <w:bookmarkStart w:id="278" w:name="_Toc7176"/>
      <w:bookmarkStart w:id="279" w:name="_Toc7003"/>
      <w:bookmarkStart w:id="280" w:name="_Toc32282"/>
      <w:r>
        <w:rPr>
          <w:rFonts w:hint="eastAsia" w:ascii="方正黑体_GBK" w:hAnsi="方正黑体_GBK" w:eastAsia="方正黑体_GBK" w:cs="方正黑体_GBK"/>
          <w:sz w:val="32"/>
          <w:szCs w:val="32"/>
        </w:rPr>
        <w:t>第五节 加强科技支撑</w:t>
      </w:r>
      <w:bookmarkEnd w:id="278"/>
      <w:bookmarkEnd w:id="279"/>
      <w:bookmarkEnd w:id="280"/>
    </w:p>
    <w:p>
      <w:pPr>
        <w:spacing w:line="60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加强理论方法体系与相关标准的建立，建立国土空间生态保护修复调查监测评估体系和生态修复数据库。联合国家及市内相关行业科研院所、知名专家学者，成立专家咨询委员会，在项目踏勘、咨询论证、立项申报、项目审查、项目指导、项目验收等环节开展全程指导和监督，开展自然资源和生态环境功能动态变化监测评估，为国土空间生态保护修复管理提供技术支持。结合工作实际，依托国家、市级已有技术要求，将各部门生态修复相关的项目纳入数据库平台，推进生态修复工程的全生命周期管理，进一步完善适用于黔江区生态保护修复工作的技术要求与管理办法。</w:t>
      </w:r>
    </w:p>
    <w:p>
      <w:pPr>
        <w:spacing w:before="312" w:beforeLines="100" w:after="156" w:afterLines="50" w:line="600" w:lineRule="exact"/>
        <w:ind w:firstLine="640" w:firstLineChars="200"/>
        <w:outlineLvl w:val="1"/>
        <w:rPr>
          <w:rFonts w:ascii="方正黑体_GBK" w:hAnsi="方正黑体_GBK" w:eastAsia="方正黑体_GBK" w:cs="方正黑体_GBK"/>
          <w:sz w:val="32"/>
          <w:szCs w:val="32"/>
        </w:rPr>
      </w:pPr>
      <w:bookmarkStart w:id="281" w:name="_Toc9306"/>
      <w:bookmarkStart w:id="282" w:name="_Toc29363"/>
      <w:bookmarkStart w:id="283" w:name="_Toc21917"/>
      <w:r>
        <w:rPr>
          <w:rFonts w:hint="eastAsia" w:ascii="方正黑体_GBK" w:hAnsi="方正黑体_GBK" w:eastAsia="方正黑体_GBK" w:cs="方正黑体_GBK"/>
          <w:sz w:val="32"/>
          <w:szCs w:val="32"/>
        </w:rPr>
        <w:t>第六节 鼓励公众参与</w:t>
      </w:r>
      <w:bookmarkEnd w:id="281"/>
      <w:bookmarkEnd w:id="282"/>
      <w:bookmarkEnd w:id="283"/>
    </w:p>
    <w:p>
      <w:pPr>
        <w:spacing w:line="600" w:lineRule="exact"/>
        <w:ind w:firstLine="640" w:firstLineChars="200"/>
        <w:rPr>
          <w:rFonts w:ascii="方正仿宋_GBK" w:hAnsi="方正仿宋_GBK" w:eastAsia="方正仿宋_GBK" w:cs="方正仿宋_GBK"/>
          <w:sz w:val="32"/>
          <w:szCs w:val="32"/>
        </w:rPr>
        <w:sectPr>
          <w:pgSz w:w="11906" w:h="16838"/>
          <w:pgMar w:top="1701" w:right="1474" w:bottom="1440" w:left="1587" w:header="851" w:footer="992" w:gutter="0"/>
          <w:cols w:space="0" w:num="1"/>
          <w:docGrid w:type="lines" w:linePitch="312" w:charSpace="0"/>
        </w:sectPr>
      </w:pPr>
      <w:r>
        <w:rPr>
          <w:rFonts w:hint="eastAsia" w:ascii="方正仿宋_GBK" w:hAnsi="方正仿宋_GBK" w:eastAsia="方正仿宋_GBK" w:cs="方正仿宋_GBK"/>
          <w:sz w:val="32"/>
          <w:szCs w:val="32"/>
        </w:rPr>
        <w:t>充分利用大众媒体，加强自然生态现状宣传和生态保护法治教育，将自然保护区、自然公园等作为普及生态保护修复知识的重要阵地，依托植树节、世界水日、世界环境日等活动，开展主题宣传，提高公众尊重自然、顺应自然、保护自然的自觉意识，争取公众对生态保护修复实施的支持，动员社会各界力量参与生态保护修复。探索建立公众监督机制，拓宽群众举报投诉渠道，听取公众意见，促进《规划》有效实施。制定新的公众参与机制和方式，抓紧建立和完善促进公众参与的政策、规范性制度，保障公众参与生态保护修复决策过程和行动过程机会的公平性和参与途径的有效性。</w:t>
      </w:r>
    </w:p>
    <w:p>
      <w:pPr>
        <w:spacing w:line="600" w:lineRule="exact"/>
        <w:ind w:firstLine="643" w:firstLineChars="200"/>
        <w:jc w:val="left"/>
        <w:outlineLvl w:val="0"/>
        <w:rPr>
          <w:rFonts w:ascii="Times New Roman" w:hAnsi="Times New Roman" w:eastAsia="方正仿宋_GBK" w:cs="Times New Roman"/>
          <w:b/>
          <w:bCs/>
          <w:sz w:val="32"/>
          <w:szCs w:val="32"/>
        </w:rPr>
      </w:pPr>
      <w:bookmarkStart w:id="284" w:name="_Toc27414"/>
      <w:bookmarkStart w:id="285" w:name="_Toc21533"/>
      <w:bookmarkStart w:id="286" w:name="_Toc18849"/>
      <w:bookmarkStart w:id="287" w:name="_Toc20934"/>
      <w:r>
        <w:rPr>
          <w:rFonts w:ascii="Times New Roman" w:hAnsi="Times New Roman" w:eastAsia="方正仿宋_GBK" w:cs="Times New Roman"/>
          <w:b/>
          <w:bCs/>
          <w:sz w:val="32"/>
          <w:szCs w:val="32"/>
        </w:rPr>
        <w:t>附表：</w:t>
      </w:r>
      <w:bookmarkEnd w:id="284"/>
      <w:bookmarkEnd w:id="285"/>
      <w:bookmarkEnd w:id="286"/>
      <w:bookmarkEnd w:id="287"/>
    </w:p>
    <w:p>
      <w:pPr>
        <w:spacing w:line="600" w:lineRule="exact"/>
        <w:ind w:firstLine="640" w:firstLineChars="20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1. 重庆市</w:t>
      </w:r>
      <w:r>
        <w:rPr>
          <w:rFonts w:hint="eastAsia" w:ascii="Times New Roman" w:hAnsi="Times New Roman" w:eastAsia="方正仿宋_GBK" w:cs="Times New Roman"/>
          <w:sz w:val="32"/>
          <w:szCs w:val="32"/>
        </w:rPr>
        <w:t>黔江区</w:t>
      </w:r>
      <w:r>
        <w:rPr>
          <w:rFonts w:ascii="Times New Roman" w:hAnsi="Times New Roman" w:eastAsia="方正仿宋_GBK" w:cs="Times New Roman"/>
          <w:sz w:val="32"/>
          <w:szCs w:val="32"/>
        </w:rPr>
        <w:t>国土空间生态修复规划重点项目一览表</w:t>
      </w:r>
    </w:p>
    <w:p>
      <w:pPr>
        <w:spacing w:line="600" w:lineRule="exact"/>
        <w:ind w:firstLine="643" w:firstLineChars="200"/>
        <w:jc w:val="left"/>
        <w:rPr>
          <w:rFonts w:ascii="Times New Roman" w:hAnsi="Times New Roman" w:eastAsia="方正仿宋_GBK" w:cs="Times New Roman"/>
          <w:b/>
          <w:bCs/>
          <w:sz w:val="32"/>
          <w:szCs w:val="32"/>
        </w:rPr>
      </w:pPr>
      <w:r>
        <w:rPr>
          <w:rFonts w:ascii="Times New Roman" w:hAnsi="Times New Roman" w:eastAsia="方正仿宋_GBK" w:cs="Times New Roman"/>
          <w:b/>
          <w:bCs/>
          <w:sz w:val="32"/>
          <w:szCs w:val="32"/>
        </w:rPr>
        <w:t>附图：</w:t>
      </w:r>
    </w:p>
    <w:p>
      <w:pPr>
        <w:numPr>
          <w:ilvl w:val="0"/>
          <w:numId w:val="2"/>
        </w:numPr>
        <w:spacing w:line="600" w:lineRule="exact"/>
        <w:ind w:firstLine="64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生态安全格局图</w:t>
      </w:r>
    </w:p>
    <w:p>
      <w:pPr>
        <w:spacing w:line="600" w:lineRule="exact"/>
        <w:ind w:firstLine="640" w:firstLineChars="20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2. 生态修复分区图</w:t>
      </w:r>
    </w:p>
    <w:p>
      <w:pPr>
        <w:spacing w:line="600" w:lineRule="exact"/>
        <w:ind w:firstLine="640" w:firstLineChars="200"/>
        <w:jc w:val="left"/>
        <w:rPr>
          <w:rFonts w:ascii="Times New Roman" w:hAnsi="Times New Roman" w:eastAsia="方正仿宋_GBK" w:cs="Times New Roman"/>
          <w:sz w:val="32"/>
          <w:szCs w:val="32"/>
        </w:rPr>
        <w:sectPr>
          <w:pgSz w:w="11906" w:h="16838"/>
          <w:pgMar w:top="1701" w:right="1474" w:bottom="1440" w:left="1587" w:header="851" w:footer="992" w:gutter="0"/>
          <w:cols w:space="0" w:num="1"/>
          <w:docGrid w:type="lines" w:linePitch="312" w:charSpace="0"/>
        </w:sectPr>
      </w:pPr>
      <w:r>
        <w:rPr>
          <w:rFonts w:ascii="Times New Roman" w:hAnsi="Times New Roman" w:eastAsia="方正仿宋_GBK" w:cs="Times New Roman"/>
          <w:sz w:val="32"/>
          <w:szCs w:val="32"/>
        </w:rPr>
        <w:t>3. 生态修复重点工程分布图</w:t>
      </w:r>
    </w:p>
    <w:p>
      <w:pPr>
        <w:spacing w:line="560" w:lineRule="exact"/>
        <w:jc w:val="left"/>
        <w:outlineLvl w:val="0"/>
        <w:rPr>
          <w:rFonts w:ascii="方正黑体_GBK" w:hAnsi="方正黑体_GBK" w:eastAsia="方正黑体_GBK" w:cs="方正黑体_GBK"/>
          <w:sz w:val="32"/>
          <w:szCs w:val="32"/>
        </w:rPr>
      </w:pPr>
      <w:bookmarkStart w:id="288" w:name="_Toc4929"/>
      <w:bookmarkStart w:id="289" w:name="_Toc16477"/>
      <w:bookmarkStart w:id="290" w:name="_Toc30139"/>
      <w:bookmarkStart w:id="291" w:name="_Toc17925"/>
      <w:r>
        <w:rPr>
          <w:rFonts w:hint="eastAsia" w:ascii="方正黑体_GBK" w:hAnsi="方正黑体_GBK" w:eastAsia="方正黑体_GBK" w:cs="方正黑体_GBK"/>
          <w:sz w:val="32"/>
          <w:szCs w:val="32"/>
        </w:rPr>
        <w:t>附表</w:t>
      </w:r>
      <w:bookmarkEnd w:id="288"/>
      <w:bookmarkEnd w:id="289"/>
      <w:bookmarkEnd w:id="290"/>
      <w:bookmarkEnd w:id="291"/>
    </w:p>
    <w:p>
      <w:pPr>
        <w:spacing w:line="560" w:lineRule="exact"/>
        <w:jc w:val="center"/>
        <w:outlineLvl w:val="1"/>
        <w:rPr>
          <w:rFonts w:ascii="Times New Roman" w:hAnsi="Times New Roman" w:eastAsia="方正仿宋_GBK" w:cs="Times New Roman"/>
          <w:sz w:val="32"/>
          <w:szCs w:val="32"/>
        </w:rPr>
      </w:pPr>
      <w:bookmarkStart w:id="292" w:name="_Toc28043"/>
      <w:bookmarkStart w:id="293" w:name="_Toc9252"/>
      <w:bookmarkStart w:id="294" w:name="_Toc586"/>
      <w:bookmarkStart w:id="295" w:name="_Toc2750"/>
      <w:r>
        <w:rPr>
          <w:rFonts w:hint="eastAsia" w:ascii="方正黑体_GBK" w:hAnsi="方正黑体_GBK" w:eastAsia="方正黑体_GBK" w:cs="方正黑体_GBK"/>
          <w:sz w:val="28"/>
          <w:szCs w:val="28"/>
        </w:rPr>
        <w:t>重庆市黔江区国土空间生态修复规划重点工程与项目一览表</w:t>
      </w:r>
      <w:bookmarkEnd w:id="292"/>
      <w:bookmarkEnd w:id="293"/>
      <w:bookmarkEnd w:id="294"/>
      <w:bookmarkEnd w:id="295"/>
    </w:p>
    <w:tbl>
      <w:tblPr>
        <w:tblStyle w:val="19"/>
        <w:tblW w:w="5499" w:type="pct"/>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573"/>
        <w:gridCol w:w="880"/>
        <w:gridCol w:w="760"/>
        <w:gridCol w:w="1353"/>
        <w:gridCol w:w="1193"/>
        <w:gridCol w:w="5475"/>
        <w:gridCol w:w="1068"/>
        <w:gridCol w:w="1013"/>
        <w:gridCol w:w="1062"/>
        <w:gridCol w:w="1925"/>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78" w:hRule="atLeast"/>
          <w:tblHeader/>
          <w:jc w:val="center"/>
        </w:trPr>
        <w:tc>
          <w:tcPr>
            <w:tcW w:w="187" w:type="pct"/>
            <w:tcBorders>
              <w:bottom w:val="single" w:color="000000" w:sz="4" w:space="0"/>
              <w:right w:val="single" w:color="000000" w:sz="4" w:space="0"/>
            </w:tcBorders>
            <w:shd w:val="clear" w:color="auto" w:fill="FBE5D6" w:themeFill="accent2" w:themeFillTint="32"/>
            <w:vAlign w:val="center"/>
          </w:tcPr>
          <w:p>
            <w:pPr>
              <w:jc w:val="center"/>
              <w:rPr>
                <w:rFonts w:ascii="Times New Roman" w:hAnsi="Times New Roman" w:eastAsia="方正仿宋_GBK" w:cs="Times New Roman"/>
                <w:szCs w:val="21"/>
              </w:rPr>
            </w:pPr>
            <w:r>
              <w:rPr>
                <w:rFonts w:hint="eastAsia" w:ascii="Times New Roman" w:hAnsi="Times New Roman" w:eastAsia="方正仿宋_GBK" w:cs="Times New Roman"/>
                <w:szCs w:val="21"/>
              </w:rPr>
              <w:t>序号</w:t>
            </w:r>
          </w:p>
        </w:tc>
        <w:tc>
          <w:tcPr>
            <w:tcW w:w="287" w:type="pct"/>
            <w:tcBorders>
              <w:left w:val="single" w:color="000000" w:sz="4" w:space="0"/>
              <w:bottom w:val="single" w:color="000000" w:sz="4" w:space="0"/>
              <w:right w:val="single" w:color="000000" w:sz="4" w:space="0"/>
            </w:tcBorders>
            <w:shd w:val="clear" w:color="auto" w:fill="FBE5D6" w:themeFill="accent2" w:themeFillTint="32"/>
            <w:vAlign w:val="center"/>
          </w:tcPr>
          <w:p>
            <w:pPr>
              <w:jc w:val="center"/>
              <w:rPr>
                <w:rFonts w:ascii="Times New Roman" w:hAnsi="Times New Roman" w:eastAsia="方正仿宋_GBK" w:cs="Times New Roman"/>
                <w:szCs w:val="21"/>
              </w:rPr>
            </w:pPr>
            <w:r>
              <w:rPr>
                <w:rFonts w:hint="eastAsia" w:ascii="Times New Roman" w:hAnsi="Times New Roman" w:eastAsia="方正仿宋_GBK" w:cs="Times New Roman"/>
                <w:szCs w:val="21"/>
              </w:rPr>
              <w:t>工程</w:t>
            </w:r>
          </w:p>
          <w:p>
            <w:pPr>
              <w:jc w:val="center"/>
              <w:rPr>
                <w:rFonts w:ascii="Times New Roman" w:hAnsi="Times New Roman" w:eastAsia="方正仿宋_GBK" w:cs="Times New Roman"/>
                <w:szCs w:val="21"/>
              </w:rPr>
            </w:pPr>
            <w:r>
              <w:rPr>
                <w:rFonts w:hint="eastAsia" w:ascii="Times New Roman" w:hAnsi="Times New Roman" w:eastAsia="方正仿宋_GBK" w:cs="Times New Roman"/>
                <w:szCs w:val="21"/>
              </w:rPr>
              <w:t>名称</w:t>
            </w:r>
          </w:p>
        </w:tc>
        <w:tc>
          <w:tcPr>
            <w:tcW w:w="248" w:type="pct"/>
            <w:tcBorders>
              <w:left w:val="single" w:color="000000" w:sz="4" w:space="0"/>
              <w:bottom w:val="single" w:color="000000" w:sz="4" w:space="0"/>
              <w:right w:val="single" w:color="000000" w:sz="4" w:space="0"/>
            </w:tcBorders>
            <w:shd w:val="clear" w:color="auto" w:fill="FBE5D6" w:themeFill="accent2" w:themeFillTint="32"/>
            <w:vAlign w:val="center"/>
          </w:tcPr>
          <w:p>
            <w:pPr>
              <w:jc w:val="center"/>
              <w:rPr>
                <w:rFonts w:ascii="Times New Roman" w:hAnsi="Times New Roman" w:eastAsia="方正仿宋_GBK" w:cs="Times New Roman"/>
                <w:szCs w:val="21"/>
              </w:rPr>
            </w:pPr>
            <w:r>
              <w:rPr>
                <w:rFonts w:hint="eastAsia" w:ascii="Times New Roman" w:hAnsi="Times New Roman" w:eastAsia="方正仿宋_GBK" w:cs="Times New Roman"/>
                <w:szCs w:val="21"/>
              </w:rPr>
              <w:t>项目名称</w:t>
            </w:r>
          </w:p>
        </w:tc>
        <w:tc>
          <w:tcPr>
            <w:tcW w:w="442" w:type="pct"/>
            <w:tcBorders>
              <w:left w:val="single" w:color="000000" w:sz="4" w:space="0"/>
              <w:bottom w:val="single" w:color="000000" w:sz="4" w:space="0"/>
              <w:right w:val="single" w:color="000000" w:sz="4" w:space="0"/>
            </w:tcBorders>
            <w:shd w:val="clear" w:color="auto" w:fill="FBE5D6" w:themeFill="accent2" w:themeFillTint="32"/>
            <w:vAlign w:val="center"/>
          </w:tcPr>
          <w:p>
            <w:pPr>
              <w:jc w:val="center"/>
              <w:rPr>
                <w:rFonts w:ascii="Times New Roman" w:hAnsi="Times New Roman" w:eastAsia="方正仿宋_GBK" w:cs="Times New Roman"/>
                <w:szCs w:val="21"/>
              </w:rPr>
            </w:pPr>
            <w:r>
              <w:rPr>
                <w:rFonts w:hint="eastAsia" w:ascii="Times New Roman" w:hAnsi="Times New Roman" w:eastAsia="方正仿宋_GBK" w:cs="Times New Roman"/>
                <w:szCs w:val="21"/>
              </w:rPr>
              <w:t>实施区域</w:t>
            </w:r>
          </w:p>
        </w:tc>
        <w:tc>
          <w:tcPr>
            <w:tcW w:w="390" w:type="pct"/>
            <w:tcBorders>
              <w:left w:val="single" w:color="000000" w:sz="4" w:space="0"/>
              <w:bottom w:val="single" w:color="000000" w:sz="4" w:space="0"/>
              <w:right w:val="single" w:color="000000" w:sz="4" w:space="0"/>
            </w:tcBorders>
            <w:shd w:val="clear" w:color="auto" w:fill="FBE5D6" w:themeFill="accent2" w:themeFillTint="32"/>
            <w:vAlign w:val="center"/>
          </w:tcPr>
          <w:p>
            <w:pPr>
              <w:jc w:val="center"/>
              <w:rPr>
                <w:rFonts w:ascii="Times New Roman" w:hAnsi="Times New Roman" w:eastAsia="方正仿宋_GBK" w:cs="Times New Roman"/>
                <w:szCs w:val="21"/>
              </w:rPr>
            </w:pPr>
            <w:r>
              <w:rPr>
                <w:rFonts w:hint="eastAsia" w:ascii="Times New Roman" w:hAnsi="Times New Roman" w:eastAsia="方正仿宋_GBK" w:cs="Times New Roman"/>
                <w:szCs w:val="21"/>
              </w:rPr>
              <w:t>实施周期</w:t>
            </w:r>
          </w:p>
        </w:tc>
        <w:tc>
          <w:tcPr>
            <w:tcW w:w="1788" w:type="pct"/>
            <w:tcBorders>
              <w:left w:val="single" w:color="000000" w:sz="4" w:space="0"/>
              <w:bottom w:val="single" w:color="000000" w:sz="4" w:space="0"/>
              <w:right w:val="single" w:color="000000" w:sz="4" w:space="0"/>
            </w:tcBorders>
            <w:shd w:val="clear" w:color="auto" w:fill="FBE5D6" w:themeFill="accent2" w:themeFillTint="32"/>
            <w:vAlign w:val="center"/>
          </w:tcPr>
          <w:p>
            <w:pPr>
              <w:jc w:val="center"/>
              <w:rPr>
                <w:rFonts w:ascii="Times New Roman" w:hAnsi="Times New Roman" w:eastAsia="方正仿宋_GBK" w:cs="Times New Roman"/>
                <w:szCs w:val="21"/>
              </w:rPr>
            </w:pPr>
            <w:r>
              <w:rPr>
                <w:rFonts w:hint="eastAsia" w:ascii="Times New Roman" w:hAnsi="Times New Roman" w:eastAsia="方正仿宋_GBK" w:cs="Times New Roman"/>
                <w:szCs w:val="21"/>
              </w:rPr>
              <w:t>主要建设内容及规模</w:t>
            </w:r>
          </w:p>
        </w:tc>
        <w:tc>
          <w:tcPr>
            <w:tcW w:w="346" w:type="pct"/>
            <w:tcBorders>
              <w:left w:val="single" w:color="000000" w:sz="4" w:space="0"/>
              <w:bottom w:val="single" w:color="000000" w:sz="4" w:space="0"/>
              <w:right w:val="single" w:color="000000" w:sz="4" w:space="0"/>
            </w:tcBorders>
            <w:shd w:val="clear" w:color="auto" w:fill="FBE5D6" w:themeFill="accent2" w:themeFillTint="32"/>
            <w:vAlign w:val="center"/>
          </w:tcPr>
          <w:p>
            <w:pPr>
              <w:jc w:val="center"/>
              <w:rPr>
                <w:rFonts w:ascii="Times New Roman" w:hAnsi="Times New Roman" w:eastAsia="方正仿宋_GBK" w:cs="Times New Roman"/>
                <w:szCs w:val="21"/>
              </w:rPr>
            </w:pPr>
            <w:r>
              <w:rPr>
                <w:rFonts w:hint="eastAsia" w:ascii="Times New Roman" w:hAnsi="Times New Roman" w:eastAsia="方正仿宋_GBK" w:cs="Times New Roman"/>
                <w:szCs w:val="21"/>
              </w:rPr>
              <w:t>单价（元）</w:t>
            </w:r>
          </w:p>
        </w:tc>
        <w:tc>
          <w:tcPr>
            <w:tcW w:w="331" w:type="pct"/>
            <w:tcBorders>
              <w:left w:val="single" w:color="000000" w:sz="4" w:space="0"/>
              <w:bottom w:val="single" w:color="000000" w:sz="4" w:space="0"/>
              <w:right w:val="single" w:color="000000" w:sz="4" w:space="0"/>
            </w:tcBorders>
            <w:shd w:val="clear" w:color="auto" w:fill="FBE5D6" w:themeFill="accent2" w:themeFillTint="32"/>
            <w:vAlign w:val="center"/>
          </w:tcPr>
          <w:p>
            <w:pPr>
              <w:jc w:val="center"/>
              <w:rPr>
                <w:rFonts w:ascii="Times New Roman" w:hAnsi="Times New Roman" w:eastAsia="方正仿宋_GBK" w:cs="Times New Roman"/>
                <w:szCs w:val="21"/>
              </w:rPr>
            </w:pPr>
            <w:r>
              <w:rPr>
                <w:rFonts w:hint="eastAsia" w:ascii="Times New Roman" w:hAnsi="Times New Roman" w:eastAsia="方正仿宋_GBK" w:cs="Times New Roman"/>
                <w:szCs w:val="21"/>
              </w:rPr>
              <w:t>投资额（万元）</w:t>
            </w:r>
          </w:p>
        </w:tc>
        <w:tc>
          <w:tcPr>
            <w:tcW w:w="347" w:type="pct"/>
            <w:tcBorders>
              <w:left w:val="single" w:color="000000" w:sz="4" w:space="0"/>
              <w:bottom w:val="single" w:color="000000" w:sz="4" w:space="0"/>
              <w:right w:val="single" w:color="000000" w:sz="4" w:space="0"/>
            </w:tcBorders>
            <w:shd w:val="clear" w:color="auto" w:fill="FBE5D6" w:themeFill="accent2" w:themeFillTint="32"/>
            <w:vAlign w:val="center"/>
          </w:tcPr>
          <w:p>
            <w:pPr>
              <w:jc w:val="center"/>
              <w:rPr>
                <w:rFonts w:ascii="Times New Roman" w:hAnsi="Times New Roman" w:eastAsia="方正仿宋_GBK" w:cs="Times New Roman"/>
                <w:szCs w:val="21"/>
              </w:rPr>
            </w:pPr>
            <w:r>
              <w:rPr>
                <w:rFonts w:hint="eastAsia" w:ascii="Times New Roman" w:hAnsi="Times New Roman" w:eastAsia="方正仿宋_GBK" w:cs="Times New Roman"/>
                <w:szCs w:val="21"/>
              </w:rPr>
              <w:t>牵头单位</w:t>
            </w:r>
          </w:p>
        </w:tc>
        <w:tc>
          <w:tcPr>
            <w:tcW w:w="629" w:type="pct"/>
            <w:tcBorders>
              <w:left w:val="nil"/>
              <w:bottom w:val="single" w:color="000000" w:sz="4" w:space="0"/>
            </w:tcBorders>
            <w:shd w:val="clear" w:color="auto" w:fill="FBE5D6" w:themeFill="accent2" w:themeFillTint="32"/>
            <w:vAlign w:val="center"/>
          </w:tcPr>
          <w:p>
            <w:pPr>
              <w:jc w:val="center"/>
              <w:rPr>
                <w:rFonts w:ascii="Times New Roman" w:hAnsi="Times New Roman" w:eastAsia="方正仿宋_GBK" w:cs="Times New Roman"/>
                <w:szCs w:val="21"/>
              </w:rPr>
            </w:pPr>
            <w:r>
              <w:rPr>
                <w:rFonts w:hint="eastAsia" w:ascii="Times New Roman" w:hAnsi="Times New Roman" w:eastAsia="方正仿宋_GBK" w:cs="Times New Roman"/>
                <w:szCs w:val="21"/>
              </w:rPr>
              <w:t>备注</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520" w:hRule="atLeast"/>
          <w:jc w:val="center"/>
        </w:trPr>
        <w:tc>
          <w:tcPr>
            <w:tcW w:w="187" w:type="pct"/>
            <w:tcBorders>
              <w:top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1</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阿蓬江-诸佛江及支流流域综合治理重点工程</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阿蓬江流域综合治理重点项目</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阿蓬江流域，重点涉及舟白街道、冯家街道、阿蓬江镇、濯水镇等街镇，以及舟白湿地、官渡峡、蒲花河湿地、两河湿</w:t>
            </w:r>
            <w:r>
              <w:rPr>
                <w:rFonts w:hint="eastAsia" w:ascii="Times New Roman" w:hAnsi="Times New Roman" w:eastAsia="方正仿宋_GBK" w:cs="Times New Roman"/>
                <w:kern w:val="0"/>
                <w:szCs w:val="21"/>
                <w:lang w:bidi="ar"/>
              </w:rPr>
              <w:t>地</w:t>
            </w:r>
            <w:r>
              <w:rPr>
                <w:rFonts w:ascii="Times New Roman" w:hAnsi="Times New Roman" w:eastAsia="方正仿宋_GBK" w:cs="Times New Roman"/>
                <w:kern w:val="0"/>
                <w:szCs w:val="21"/>
                <w:lang w:bidi="ar"/>
              </w:rPr>
              <w:t>、神龟峡湿地、外围保护地带、湿地乡村展示区</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2021-2025</w:t>
            </w:r>
          </w:p>
        </w:tc>
        <w:tc>
          <w:tcPr>
            <w:tcW w:w="178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方正仿宋_GBK" w:cs="Times New Roman"/>
                <w:szCs w:val="21"/>
              </w:rPr>
            </w:pPr>
            <w:r>
              <w:rPr>
                <w:rFonts w:hint="eastAsia" w:ascii="Times New Roman" w:hAnsi="Times New Roman" w:eastAsia="方正仿宋_GBK" w:cs="Times New Roman"/>
                <w:szCs w:val="21"/>
              </w:rPr>
              <w:t>项目位于阿蓬江流域，重点涉及舟白街道、冯家街道、阿蓬江镇、濯水镇等4个街镇，以及舟白湿地、官渡峡、蒲花河湿地、两河湿地、神龟峡湿地、外围保护地带、湿地乡村展示区等区域。主要建设内容为：新建堤防和护岸，湿地修复，生态修复与生态产业文化建设等。一是新建堤防和护岸94公里，其中舟白街道段新建堤防15公里、护岸10公里，冯家街道段新建堤防8公里、护岸5公里，阿蓬江镇段新建防洪护岸24公里，濯水镇段新建堤防15公里、护岸5公里。二是在舟白湿地、官渡峡、蒲花河湿地、两河湿地、神龟峡湿地、外围保护地带、湿地乡村展示区，新建生态护岸工程15公里，湿地生态修复54公顷，新建沿江生态步道80公里，新建亲水、临水平台6公顷，新增生态隔离林带307公顷，建设生态水土保持林 228公顷。</w:t>
            </w:r>
          </w:p>
        </w:tc>
        <w:tc>
          <w:tcPr>
            <w:tcW w:w="346" w:type="pct"/>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56999</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区水利局、区建设投资（集团）有限公司</w:t>
            </w:r>
          </w:p>
        </w:tc>
        <w:tc>
          <w:tcPr>
            <w:tcW w:w="629" w:type="pct"/>
            <w:tcBorders>
              <w:top w:val="single" w:color="000000" w:sz="4" w:space="0"/>
              <w:left w:val="nil"/>
              <w:bottom w:val="single" w:color="000000" w:sz="4" w:space="0"/>
            </w:tcBorders>
            <w:shd w:val="clear" w:color="auto" w:fill="auto"/>
            <w:vAlign w:val="center"/>
          </w:tcPr>
          <w:p>
            <w:pPr>
              <w:widowControl/>
              <w:jc w:val="left"/>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该重点项目及其投资额由区水利局、区建设投资（集团）有限公司核定报送。其中在舟白湿地、官渡峡、蒲花河湿地、两河湿</w:t>
            </w:r>
            <w:r>
              <w:rPr>
                <w:rFonts w:hint="eastAsia" w:ascii="Times New Roman" w:hAnsi="Times New Roman" w:eastAsia="方正仿宋_GBK" w:cs="Times New Roman"/>
                <w:kern w:val="0"/>
                <w:szCs w:val="21"/>
                <w:lang w:bidi="ar"/>
              </w:rPr>
              <w:t>地</w:t>
            </w:r>
            <w:r>
              <w:rPr>
                <w:rFonts w:ascii="Times New Roman" w:hAnsi="Times New Roman" w:eastAsia="方正仿宋_GBK" w:cs="Times New Roman"/>
                <w:kern w:val="0"/>
                <w:szCs w:val="21"/>
                <w:lang w:bidi="ar"/>
              </w:rPr>
              <w:t>、神龟峡湿地、外围保护地带、湿地乡村展示区项目由重庆市枳丹石城市建设开发有限公司负责。</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449" w:hRule="atLeast"/>
          <w:jc w:val="center"/>
        </w:trPr>
        <w:tc>
          <w:tcPr>
            <w:tcW w:w="187" w:type="pct"/>
            <w:tcBorders>
              <w:top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2</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阿蓬江-诸佛江及支流流域综合治理重点工程</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诸佛江黔江段综合治理重点项目</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石家镇、新华乡</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w:t>
            </w:r>
          </w:p>
        </w:tc>
        <w:tc>
          <w:tcPr>
            <w:tcW w:w="178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项目涉及石家镇、新华乡等2个乡镇。主要建设内容为：流域综合治理。项目建设规模为：综合治理河道长度7公里，新建堤防6公里。</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2000</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区水利局</w:t>
            </w:r>
          </w:p>
        </w:tc>
        <w:tc>
          <w:tcPr>
            <w:tcW w:w="629" w:type="pct"/>
            <w:tcBorders>
              <w:top w:val="single" w:color="000000" w:sz="4" w:space="0"/>
              <w:left w:val="nil"/>
              <w:bottom w:val="single" w:color="000000" w:sz="4" w:space="0"/>
            </w:tcBorders>
            <w:shd w:val="clear" w:color="auto" w:fill="auto"/>
            <w:vAlign w:val="center"/>
          </w:tcPr>
          <w:p>
            <w:pPr>
              <w:widowControl/>
              <w:jc w:val="left"/>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该重点项目及其投资额由区水利局核定报送。</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4000" w:hRule="atLeast"/>
          <w:jc w:val="center"/>
        </w:trPr>
        <w:tc>
          <w:tcPr>
            <w:tcW w:w="187" w:type="pct"/>
            <w:tcBorders>
              <w:top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3</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阿蓬江-诸佛江及支流流域综合治理重点工程</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小流域及重要河库湿地综合治理重点项目</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城东街道、城南街道、城西街道、正阳街道、冯家街道、小南海镇、金溪镇、黑溪镇、马喇镇、中塘镇、沙坝镇、石会镇、五里镇、</w:t>
            </w:r>
            <w:r>
              <w:rPr>
                <w:rFonts w:hint="eastAsia" w:ascii="Times New Roman" w:hAnsi="Times New Roman" w:eastAsia="方正仿宋_GBK" w:cs="Times New Roman"/>
                <w:kern w:val="0"/>
                <w:szCs w:val="21"/>
                <w:lang w:bidi="ar"/>
              </w:rPr>
              <w:t>太极镇、</w:t>
            </w:r>
            <w:r>
              <w:rPr>
                <w:rFonts w:ascii="Times New Roman" w:hAnsi="Times New Roman" w:eastAsia="方正仿宋_GBK" w:cs="Times New Roman"/>
                <w:kern w:val="0"/>
                <w:szCs w:val="21"/>
                <w:lang w:bidi="ar"/>
              </w:rPr>
              <w:t>水田乡、金洞乡</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2021-2025</w:t>
            </w:r>
          </w:p>
        </w:tc>
        <w:tc>
          <w:tcPr>
            <w:tcW w:w="178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方正仿宋_GBK" w:cs="Times New Roman"/>
                <w:szCs w:val="21"/>
              </w:rPr>
            </w:pPr>
            <w:r>
              <w:rPr>
                <w:rFonts w:hint="eastAsia" w:ascii="Times New Roman" w:hAnsi="Times New Roman" w:eastAsia="方正仿宋_GBK" w:cs="Times New Roman"/>
                <w:szCs w:val="21"/>
              </w:rPr>
              <w:t>项目涉及城东街道、城南街道、城西街道、正阳街道、冯家街道、小南海镇、金溪镇、黑溪镇、马喇镇、中塘镇、沙坝镇、石会镇、五里镇、太极镇、水田乡、金洞乡等16个街道和乡镇，涉及河流15条。主要建设内容包括：生态护岸及水生态修复措施、水系联通及水美乡村建设。项目总规模136公里。其中黔江河综合治理河道长度10公里，新建堤防7公里，加固堤防5公里。石会河新建堤防8公里。袁溪河新建堤防12公里。段溪河（小南海、中塘段）综合治理河道长度10公里，新建堤防15公里。细沙河（马喇、金洞段）综合治理河道长度10公里，新建堤防15公里。南溪河新建堤防8公里。黎水河新建堤防8公里。深溪河新建堤防8公里。团结河综合治理河道总长10公里。南沟河综合治理河道4公里。细沙河马喇段治理河道3.17公里，控制线总长为6288米；五里段治理河道长3公里，控制线总长为4828米。中井河综合治理14公里。太极河蒲花暗河大坝及7公里河道整治。实施水系连通及水美乡村建设，包括水系连通工程1处，引水隧洞总长度4公里；河道清淤疏浚长度17公里；河道岸坡整治总长17公里；水源涵养人工湿地1处；水美乡村建设工程5处，总户数1026户、总人口3852人。</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39056</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区水利局</w:t>
            </w:r>
          </w:p>
        </w:tc>
        <w:tc>
          <w:tcPr>
            <w:tcW w:w="629" w:type="pct"/>
            <w:tcBorders>
              <w:top w:val="single" w:color="000000" w:sz="4" w:space="0"/>
              <w:left w:val="nil"/>
              <w:bottom w:val="single" w:color="000000" w:sz="4" w:space="0"/>
            </w:tcBorders>
            <w:shd w:val="clear" w:color="auto" w:fill="auto"/>
            <w:vAlign w:val="center"/>
          </w:tcPr>
          <w:p>
            <w:pPr>
              <w:widowControl/>
              <w:jc w:val="left"/>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该重点项目及其投资额由区水利局核定报送。</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560" w:hRule="atLeast"/>
          <w:jc w:val="center"/>
        </w:trPr>
        <w:tc>
          <w:tcPr>
            <w:tcW w:w="187" w:type="pct"/>
            <w:tcBorders>
              <w:top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4</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hint="eastAsia" w:ascii="Times New Roman" w:hAnsi="Times New Roman" w:eastAsia="方正仿宋_GBK" w:cs="Times New Roman"/>
                <w:szCs w:val="21"/>
              </w:rPr>
              <w:t>正阳-舟白-洞塘水生态治理工程重点工程</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新城生态水体治理重点项目</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正阳街道、舟白街道</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2021-2025</w:t>
            </w:r>
          </w:p>
        </w:tc>
        <w:tc>
          <w:tcPr>
            <w:tcW w:w="178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项目涉及正阳街道、舟白街道等2个街道。主要建设内容为生态水体建设。项目建设规模为新建生态水体18个，其中，在正阳、舟白新城片区建设9座生态水体，新增水域面积835亩；在舟白组团建设杨家坝公园、龙洞垭和民族公园3个水体；在正阳组团内建设滨河公园、听松岭、天生湖、湿地公园、小湾、鲤鱼池公园6个水体。</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6793</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区水利局</w:t>
            </w:r>
          </w:p>
        </w:tc>
        <w:tc>
          <w:tcPr>
            <w:tcW w:w="629" w:type="pct"/>
            <w:tcBorders>
              <w:top w:val="single" w:color="000000" w:sz="4" w:space="0"/>
              <w:left w:val="nil"/>
              <w:bottom w:val="single" w:color="000000" w:sz="4" w:space="0"/>
            </w:tcBorders>
            <w:shd w:val="clear" w:color="auto" w:fill="auto"/>
            <w:vAlign w:val="center"/>
          </w:tcPr>
          <w:p>
            <w:pPr>
              <w:widowControl/>
              <w:jc w:val="left"/>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该重点项目及其投资额由区水利局核定报送。</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740" w:hRule="atLeast"/>
          <w:jc w:val="center"/>
        </w:trPr>
        <w:tc>
          <w:tcPr>
            <w:tcW w:w="187" w:type="pct"/>
            <w:tcBorders>
              <w:top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5</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hint="eastAsia" w:ascii="Times New Roman" w:hAnsi="Times New Roman" w:eastAsia="方正仿宋_GBK" w:cs="Times New Roman"/>
                <w:szCs w:val="21"/>
              </w:rPr>
              <w:t>正阳-舟白-洞塘水生态治理工程重点工程</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集中式饮用水水源地环境问题整治和生态修复重点项目</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洞塘、老窖溪、马家沟、盖坪水库</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2021-2023</w:t>
            </w:r>
          </w:p>
        </w:tc>
        <w:tc>
          <w:tcPr>
            <w:tcW w:w="178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项目涉及洞塘、老窖溪水库、马家沟水库、盖坪水库等3个水库。主要建设内容为生活污水处理、农</w:t>
            </w:r>
            <w:r>
              <w:rPr>
                <w:rFonts w:hint="eastAsia" w:ascii="Times New Roman" w:hAnsi="Times New Roman" w:eastAsia="方正仿宋_GBK" w:cs="Times New Roman"/>
                <w:kern w:val="0"/>
                <w:szCs w:val="21"/>
                <w:lang w:bidi="ar"/>
              </w:rPr>
              <w:t>业</w:t>
            </w:r>
            <w:r>
              <w:rPr>
                <w:rFonts w:ascii="Times New Roman" w:hAnsi="Times New Roman" w:eastAsia="方正仿宋_GBK" w:cs="Times New Roman"/>
                <w:kern w:val="0"/>
                <w:szCs w:val="21"/>
                <w:lang w:bidi="ar"/>
              </w:rPr>
              <w:t>面源污染治理、实施生态修复等。一是农村生活污水治理。采用分散式处理原则，每户修建三格式化粪池对污水进行收集处理后就近还田利用，新建约500余座三格式化粪池，并配套入户管网。二是农</w:t>
            </w:r>
            <w:r>
              <w:rPr>
                <w:rFonts w:hint="eastAsia" w:ascii="Times New Roman" w:hAnsi="Times New Roman" w:eastAsia="方正仿宋_GBK" w:cs="Times New Roman"/>
                <w:kern w:val="0"/>
                <w:szCs w:val="21"/>
                <w:lang w:bidi="ar"/>
              </w:rPr>
              <w:t>业</w:t>
            </w:r>
            <w:r>
              <w:rPr>
                <w:rFonts w:ascii="Times New Roman" w:hAnsi="Times New Roman" w:eastAsia="方正仿宋_GBK" w:cs="Times New Roman"/>
                <w:kern w:val="0"/>
                <w:szCs w:val="21"/>
                <w:lang w:bidi="ar"/>
              </w:rPr>
              <w:t>面源污染治理。主要采用生态拦截沟+人工湿地进行整治，道路面源污染主要采用道路干植草沟进行处理，修建生态拦截沟约500米，道路干植草沟约270米，人工湿地面积约68亩。三是实施生态修复。采取生态绿篱隔离带+植被种植进行修复，通过绿篱隔离带隔绝人类活动，减少人类活动对水源地的影响；通过水位变幅区植被种植，使受损河湖岸带生态系统得到修复，构建绿篱隔离带约500米，缓冲带面积约100亩。</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3855.87</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区生态环境局</w:t>
            </w:r>
          </w:p>
        </w:tc>
        <w:tc>
          <w:tcPr>
            <w:tcW w:w="629" w:type="pct"/>
            <w:tcBorders>
              <w:top w:val="single" w:color="000000" w:sz="4" w:space="0"/>
              <w:left w:val="single" w:color="000000" w:sz="4" w:space="0"/>
              <w:bottom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该重点项目及其投资额由区生态环境局核定报送。</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187" w:type="pct"/>
            <w:tcBorders>
              <w:top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6</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森林质量精准提升重点工程</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渝东南生物多样性保护与生态综合治理重点项目</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30个乡镇街道</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2022-2025</w:t>
            </w:r>
          </w:p>
        </w:tc>
        <w:tc>
          <w:tcPr>
            <w:tcW w:w="178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项目涉及全区30个乡镇街道。主要建设内容为：退化林修复和封山育林，涉及阿蓬江镇分水村、青杠村、黄莲村、柒坨村森林生态修复重点工程，白石镇中河居委、天河村、复兴村森林生态修复重点工程，白土乡三塘村森林生态修复重点工程，鹅池镇鹅池居委森林生态修复重点工程，黑溪镇胜地居委、苏维村、光明村、互助村森林生态修复重点工程，黄溪镇黄桥居委、三羊村、茶山村、新民村森林生态修复重点工程。项目建设规模63.23平方公里。</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6193</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区林业局</w:t>
            </w:r>
          </w:p>
        </w:tc>
        <w:tc>
          <w:tcPr>
            <w:tcW w:w="629" w:type="pct"/>
            <w:tcBorders>
              <w:top w:val="single" w:color="000000" w:sz="4" w:space="0"/>
              <w:left w:val="nil"/>
              <w:bottom w:val="single" w:color="000000" w:sz="4" w:space="0"/>
            </w:tcBorders>
            <w:shd w:val="clear" w:color="auto" w:fill="auto"/>
            <w:vAlign w:val="center"/>
          </w:tcPr>
          <w:p>
            <w:pPr>
              <w:widowControl/>
              <w:jc w:val="left"/>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该重点项目及其投资额由区林业局核定报送。</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187" w:type="pct"/>
            <w:tcBorders>
              <w:top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kern w:val="0"/>
                <w:szCs w:val="21"/>
                <w:lang w:bidi="ar"/>
              </w:rPr>
            </w:pPr>
            <w:r>
              <w:rPr>
                <w:rFonts w:hint="eastAsia" w:ascii="Times New Roman" w:hAnsi="Times New Roman" w:eastAsia="方正仿宋_GBK" w:cs="Times New Roman"/>
                <w:kern w:val="0"/>
                <w:szCs w:val="21"/>
                <w:lang w:bidi="ar"/>
              </w:rPr>
              <w:t>7</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森林质量精准提升重点工程</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kern w:val="0"/>
                <w:szCs w:val="21"/>
                <w:lang w:bidi="ar"/>
              </w:rPr>
            </w:pPr>
            <w:r>
              <w:rPr>
                <w:rFonts w:hint="eastAsia" w:ascii="Times New Roman" w:hAnsi="Times New Roman" w:eastAsia="方正仿宋_GBK" w:cs="Times New Roman"/>
                <w:kern w:val="0"/>
                <w:szCs w:val="21"/>
                <w:lang w:bidi="ar"/>
              </w:rPr>
              <w:t>黔江区小南海、武陵山自然保护区能力建设</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kern w:val="0"/>
                <w:szCs w:val="21"/>
                <w:lang w:bidi="ar"/>
              </w:rPr>
            </w:pPr>
            <w:r>
              <w:rPr>
                <w:rFonts w:hint="eastAsia" w:ascii="Times New Roman" w:hAnsi="Times New Roman" w:eastAsia="方正仿宋_GBK" w:cs="Times New Roman"/>
                <w:kern w:val="0"/>
                <w:szCs w:val="21"/>
                <w:lang w:bidi="ar"/>
              </w:rPr>
              <w:t>小南海自然公园（地质）、武陵仙山自然公园、阿蓬江自然公园、仰头山自然公园（森林）</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kern w:val="0"/>
                <w:szCs w:val="21"/>
                <w:lang w:bidi="ar"/>
              </w:rPr>
            </w:pPr>
            <w:r>
              <w:rPr>
                <w:rFonts w:hint="eastAsia" w:ascii="Times New Roman" w:hAnsi="Times New Roman" w:eastAsia="方正仿宋_GBK" w:cs="Times New Roman"/>
                <w:kern w:val="0"/>
                <w:szCs w:val="21"/>
                <w:lang w:bidi="ar"/>
              </w:rPr>
              <w:t>2022-2025</w:t>
            </w:r>
          </w:p>
        </w:tc>
        <w:tc>
          <w:tcPr>
            <w:tcW w:w="178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方正仿宋_GBK" w:cs="Times New Roman"/>
                <w:kern w:val="0"/>
                <w:szCs w:val="21"/>
                <w:lang w:bidi="ar"/>
              </w:rPr>
            </w:pPr>
            <w:r>
              <w:rPr>
                <w:rFonts w:hint="eastAsia" w:ascii="Times New Roman" w:hAnsi="Times New Roman" w:eastAsia="方正仿宋_GBK" w:cs="Times New Roman"/>
                <w:kern w:val="0"/>
                <w:szCs w:val="21"/>
                <w:lang w:bidi="ar"/>
              </w:rPr>
              <w:t>项目涉及小南海自然公园（地质）建设面积6564公顷，武陵仙山自然公园建设面积8721公顷；阿蓬江自然公园建设面积2303公顷；仰头山自然公园（森林）建设面积469公顷。主要建设内容包括：1）自然公园优化整合勘界立标及总体规划编制；2）自然生态系统修复；3）生态廊道、退化湿地生态恢复、科普宣教中心建设；4）保护站点、巡护路网、监测监控、应急救灾、森林草原防火等保护管理基础设施建设；5）调查监测体系建设，监测体系信息化、智能化建设；6）完善管理机构和队伍建设，配置管理队伍的技术装备。</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kern w:val="0"/>
                <w:szCs w:val="21"/>
                <w:lang w:bidi="ar"/>
              </w:rPr>
            </w:pPr>
            <w:r>
              <w:rPr>
                <w:rFonts w:hint="eastAsia" w:ascii="Times New Roman" w:hAnsi="Times New Roman" w:eastAsia="方正仿宋_GBK" w:cs="Times New Roman"/>
                <w:kern w:val="0"/>
                <w:szCs w:val="21"/>
                <w:lang w:bidi="ar"/>
              </w:rPr>
              <w:t>——</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kern w:val="0"/>
                <w:szCs w:val="21"/>
                <w:lang w:bidi="ar"/>
              </w:rPr>
            </w:pPr>
            <w:r>
              <w:rPr>
                <w:rFonts w:hint="eastAsia" w:ascii="Times New Roman" w:hAnsi="Times New Roman" w:eastAsia="方正仿宋_GBK" w:cs="Times New Roman"/>
                <w:kern w:val="0"/>
                <w:szCs w:val="21"/>
                <w:lang w:bidi="ar"/>
              </w:rPr>
              <w:t>10000</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kern w:val="0"/>
                <w:szCs w:val="21"/>
                <w:lang w:bidi="ar"/>
              </w:rPr>
            </w:pPr>
            <w:r>
              <w:rPr>
                <w:rFonts w:hint="eastAsia" w:ascii="Times New Roman" w:hAnsi="Times New Roman" w:eastAsia="方正仿宋_GBK" w:cs="Times New Roman"/>
                <w:kern w:val="0"/>
                <w:szCs w:val="21"/>
                <w:lang w:bidi="ar"/>
              </w:rPr>
              <w:t>区林业局</w:t>
            </w:r>
          </w:p>
        </w:tc>
        <w:tc>
          <w:tcPr>
            <w:tcW w:w="629" w:type="pct"/>
            <w:tcBorders>
              <w:top w:val="single" w:color="000000" w:sz="4" w:space="0"/>
              <w:left w:val="nil"/>
              <w:bottom w:val="single" w:color="000000" w:sz="4" w:space="0"/>
            </w:tcBorders>
            <w:shd w:val="clear" w:color="auto" w:fill="auto"/>
            <w:vAlign w:val="center"/>
          </w:tcPr>
          <w:p>
            <w:pPr>
              <w:widowControl/>
              <w:jc w:val="left"/>
              <w:textAlignment w:val="center"/>
              <w:rPr>
                <w:rFonts w:ascii="Times New Roman" w:hAnsi="Times New Roman" w:eastAsia="方正仿宋_GBK" w:cs="Times New Roman"/>
                <w:kern w:val="0"/>
                <w:szCs w:val="21"/>
                <w:lang w:bidi="ar"/>
              </w:rPr>
            </w:pPr>
            <w:r>
              <w:rPr>
                <w:rFonts w:hint="eastAsia" w:ascii="Times New Roman" w:hAnsi="Times New Roman" w:eastAsia="方正仿宋_GBK" w:cs="Times New Roman"/>
                <w:kern w:val="0"/>
                <w:szCs w:val="21"/>
                <w:lang w:bidi="ar"/>
              </w:rPr>
              <w:t>该重点项目即其投资额来源《黔江区阿蓬江流域“绿水青山就是金山银山”实践创新基地建设实施方案》</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020" w:hRule="atLeast"/>
          <w:jc w:val="center"/>
        </w:trPr>
        <w:tc>
          <w:tcPr>
            <w:tcW w:w="187" w:type="pct"/>
            <w:tcBorders>
              <w:top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hint="eastAsia" w:ascii="Times New Roman" w:hAnsi="Times New Roman" w:eastAsia="方正仿宋_GBK" w:cs="Times New Roman"/>
                <w:kern w:val="0"/>
                <w:szCs w:val="21"/>
                <w:lang w:bidi="ar"/>
              </w:rPr>
              <w:t>8</w:t>
            </w:r>
          </w:p>
        </w:tc>
        <w:tc>
          <w:tcPr>
            <w:tcW w:w="287" w:type="pct"/>
            <w:tcBorders>
              <w:top w:val="nil"/>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方正仿宋_GBK" w:cs="Times New Roman"/>
                <w:szCs w:val="21"/>
              </w:rPr>
            </w:pPr>
            <w:r>
              <w:rPr>
                <w:rFonts w:hint="eastAsia" w:ascii="Times New Roman" w:hAnsi="Times New Roman" w:eastAsia="方正仿宋_GBK" w:cs="Times New Roman"/>
                <w:kern w:val="0"/>
                <w:szCs w:val="21"/>
                <w:lang w:bidi="ar"/>
              </w:rPr>
              <w:t>水土流失和石漠化治理</w:t>
            </w:r>
            <w:r>
              <w:rPr>
                <w:rFonts w:ascii="Times New Roman" w:hAnsi="Times New Roman" w:eastAsia="方正仿宋_GBK" w:cs="Times New Roman"/>
                <w:kern w:val="0"/>
                <w:szCs w:val="21"/>
                <w:lang w:bidi="ar"/>
              </w:rPr>
              <w:t>重点工程</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水土流失综合治理重点项目</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城东街道、城南街道、冯家街道、黄溪镇、黎水镇、邻鄂镇、马喇镇、沙坝镇、石家镇、水田乡、太极镇、白石乡、白土乡、五里镇、新华乡</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2021-2025</w:t>
            </w:r>
          </w:p>
        </w:tc>
        <w:tc>
          <w:tcPr>
            <w:tcW w:w="178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方正仿宋_GBK" w:cs="Times New Roman"/>
                <w:szCs w:val="21"/>
              </w:rPr>
            </w:pPr>
            <w:r>
              <w:rPr>
                <w:rFonts w:hint="eastAsia" w:ascii="Times New Roman" w:hAnsi="Times New Roman" w:eastAsia="方正仿宋_GBK" w:cs="Times New Roman"/>
                <w:szCs w:val="21"/>
              </w:rPr>
              <w:t>项目涉及城东街道、城南街道、冯家街道、黄溪镇、黎水镇、邻鄂镇、马喇镇、沙坝镇、石家镇、水田乡、太极镇、白石乡、白土乡、五里镇、新华乡等15个乡镇。主要建设内容为：水土流失治理。建设总规模为：35.57平方公里。</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7464</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区水利局</w:t>
            </w:r>
          </w:p>
        </w:tc>
        <w:tc>
          <w:tcPr>
            <w:tcW w:w="629" w:type="pct"/>
            <w:tcBorders>
              <w:top w:val="single" w:color="000000" w:sz="4" w:space="0"/>
              <w:left w:val="nil"/>
              <w:bottom w:val="single" w:color="000000" w:sz="4" w:space="0"/>
            </w:tcBorders>
            <w:shd w:val="clear" w:color="auto" w:fill="auto"/>
            <w:vAlign w:val="center"/>
          </w:tcPr>
          <w:p>
            <w:pPr>
              <w:widowControl/>
              <w:jc w:val="left"/>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该重点项目及其投资额由区水利局核定报送。</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580" w:hRule="atLeast"/>
          <w:jc w:val="center"/>
        </w:trPr>
        <w:tc>
          <w:tcPr>
            <w:tcW w:w="187" w:type="pct"/>
            <w:tcBorders>
              <w:top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hint="eastAsia" w:ascii="Times New Roman" w:hAnsi="Times New Roman" w:eastAsia="方正仿宋_GBK" w:cs="Times New Roman"/>
                <w:kern w:val="0"/>
                <w:szCs w:val="21"/>
                <w:lang w:bidi="ar"/>
              </w:rPr>
              <w:t>9</w:t>
            </w:r>
          </w:p>
        </w:tc>
        <w:tc>
          <w:tcPr>
            <w:tcW w:w="287" w:type="pct"/>
            <w:tcBorders>
              <w:top w:val="nil"/>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方正仿宋_GBK" w:cs="Times New Roman"/>
                <w:szCs w:val="21"/>
              </w:rPr>
            </w:pPr>
            <w:r>
              <w:rPr>
                <w:rFonts w:hint="eastAsia" w:ascii="Times New Roman" w:hAnsi="Times New Roman" w:eastAsia="方正仿宋_GBK" w:cs="Times New Roman"/>
                <w:kern w:val="0"/>
                <w:szCs w:val="21"/>
                <w:lang w:bidi="ar"/>
              </w:rPr>
              <w:t>水土流失和石漠化治理</w:t>
            </w:r>
            <w:r>
              <w:rPr>
                <w:rFonts w:ascii="Times New Roman" w:hAnsi="Times New Roman" w:eastAsia="方正仿宋_GBK" w:cs="Times New Roman"/>
                <w:kern w:val="0"/>
                <w:szCs w:val="21"/>
                <w:lang w:bidi="ar"/>
              </w:rPr>
              <w:t>重点工程</w:t>
            </w:r>
          </w:p>
        </w:tc>
        <w:tc>
          <w:tcPr>
            <w:tcW w:w="248" w:type="pct"/>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石漠化修复重点项目</w:t>
            </w:r>
          </w:p>
        </w:tc>
        <w:tc>
          <w:tcPr>
            <w:tcW w:w="442" w:type="pct"/>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kern w:val="0"/>
                <w:szCs w:val="21"/>
                <w:lang w:bidi="ar"/>
              </w:rPr>
            </w:pPr>
            <w:r>
              <w:rPr>
                <w:rFonts w:ascii="Times New Roman" w:hAnsi="Times New Roman" w:eastAsia="方正仿宋_GBK" w:cs="Times New Roman"/>
                <w:kern w:val="0"/>
                <w:szCs w:val="21"/>
                <w:lang w:bidi="ar"/>
              </w:rPr>
              <w:t>舟白街道、冯家街道、邻鄂镇、阿蓬江镇、马喇镇、濯水镇、鹅池镇、水田乡、白土乡、</w:t>
            </w:r>
          </w:p>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新华乡</w:t>
            </w:r>
          </w:p>
        </w:tc>
        <w:tc>
          <w:tcPr>
            <w:tcW w:w="390" w:type="pct"/>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2021-2035</w:t>
            </w:r>
          </w:p>
        </w:tc>
        <w:tc>
          <w:tcPr>
            <w:tcW w:w="1788" w:type="pct"/>
            <w:tcBorders>
              <w:top w:val="nil"/>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项目涉及舟白街道、冯家街道、邻鄂镇、阿蓬江镇、马喇镇、濯水镇、鹅池镇、水田乡、白土乡、新华乡等10个街道和乡镇。主要建设内容为：采取坡地修复、土壤改良, 营造水土保持埂坎防护林、经果林、格网林带、发展复合农林业等措施，减少地表裸露。项目建设规模为36.56平方公里。</w:t>
            </w:r>
          </w:p>
        </w:tc>
        <w:tc>
          <w:tcPr>
            <w:tcW w:w="346" w:type="pct"/>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760000</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1351.28</w:t>
            </w:r>
          </w:p>
        </w:tc>
        <w:tc>
          <w:tcPr>
            <w:tcW w:w="347" w:type="pct"/>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区规划自然资源局</w:t>
            </w:r>
          </w:p>
        </w:tc>
        <w:tc>
          <w:tcPr>
            <w:tcW w:w="629" w:type="pct"/>
            <w:tcBorders>
              <w:top w:val="nil"/>
              <w:left w:val="nil"/>
              <w:bottom w:val="single" w:color="000000" w:sz="4" w:space="0"/>
            </w:tcBorders>
            <w:shd w:val="clear" w:color="auto" w:fill="auto"/>
            <w:vAlign w:val="center"/>
          </w:tcPr>
          <w:p>
            <w:pPr>
              <w:widowControl/>
              <w:jc w:val="left"/>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该重点项目来自《黔江区国土空间规划（2021-2035年）》，投资额单价根据近几年该类项目中标总价与实施面积测算得到。</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820" w:hRule="atLeast"/>
          <w:jc w:val="center"/>
        </w:trPr>
        <w:tc>
          <w:tcPr>
            <w:tcW w:w="187" w:type="pct"/>
            <w:tcBorders>
              <w:top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hint="eastAsia" w:ascii="Times New Roman" w:hAnsi="Times New Roman" w:eastAsia="方正仿宋_GBK" w:cs="Times New Roman"/>
                <w:kern w:val="0"/>
                <w:szCs w:val="21"/>
                <w:lang w:bidi="ar"/>
              </w:rPr>
              <w:t>10</w:t>
            </w:r>
          </w:p>
        </w:tc>
        <w:tc>
          <w:tcPr>
            <w:tcW w:w="287" w:type="pct"/>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矿山生态修复重点工程</w:t>
            </w:r>
          </w:p>
        </w:tc>
        <w:tc>
          <w:tcPr>
            <w:tcW w:w="248" w:type="pct"/>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矿山环境整治与修复潜力重点项目</w:t>
            </w:r>
          </w:p>
        </w:tc>
        <w:tc>
          <w:tcPr>
            <w:tcW w:w="442" w:type="pct"/>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hint="eastAsia" w:ascii="Times New Roman" w:hAnsi="Times New Roman" w:eastAsia="方正仿宋_GBK" w:cs="Times New Roman"/>
                <w:kern w:val="0"/>
                <w:szCs w:val="21"/>
                <w:lang w:bidi="ar"/>
              </w:rPr>
              <w:t>舟白街道、阿蓬江镇、马喇镇、濯水镇、石家镇、五里镇、蓬东乡、白土乡</w:t>
            </w:r>
          </w:p>
        </w:tc>
        <w:tc>
          <w:tcPr>
            <w:tcW w:w="390" w:type="pct"/>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2021-2035</w:t>
            </w:r>
          </w:p>
        </w:tc>
        <w:tc>
          <w:tcPr>
            <w:tcW w:w="1788" w:type="pct"/>
            <w:tcBorders>
              <w:top w:val="nil"/>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方正仿宋_GBK" w:cs="Times New Roman"/>
                <w:szCs w:val="21"/>
              </w:rPr>
            </w:pPr>
            <w:r>
              <w:rPr>
                <w:rFonts w:hint="eastAsia" w:ascii="Times New Roman" w:hAnsi="Times New Roman" w:eastAsia="方正仿宋_GBK" w:cs="Times New Roman"/>
                <w:szCs w:val="21"/>
              </w:rPr>
              <w:t>项目涉及舟白街道、阿蓬江镇、马喇镇、濯水镇、石家镇、五里镇、蓬东乡、白土乡等8个街镇。主要建设内容为：黔江区两河镇岩口采石场修复、黔江区铁厂槽采石场修复、黔江区龙城采石场修复、黔江区老泉林采石场修复、黔江区五里镇河南村小岩口采石场修复、黔江区继波采石场修复、黔江区吉东采石场修复、黔江区蓬东乡麻田村一组采石场修复、黔江区三塘村3组27号采石场修复、黔江区石家镇渗坝村01号采石场修复、黔江区三门村7组23号采石场修复、黔江区马喇镇莲花村6组01号采石场修复、黔江区香树垭口采石场修复、黔江区楠木园石粉厂修复、黔江区东风煤矿修复、黔江区岔河采石场修复等16个项目。项目建设规模为11.42公顷。</w:t>
            </w:r>
          </w:p>
        </w:tc>
        <w:tc>
          <w:tcPr>
            <w:tcW w:w="346" w:type="pct"/>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hint="eastAsia" w:ascii="Times New Roman" w:hAnsi="Times New Roman" w:eastAsia="方正仿宋_GBK" w:cs="Times New Roman"/>
                <w:kern w:val="0"/>
                <w:szCs w:val="21"/>
                <w:lang w:bidi="ar"/>
              </w:rPr>
              <w:t>——</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等线" w:cs="Times New Roman"/>
                <w:color w:val="000000"/>
                <w:sz w:val="20"/>
                <w:szCs w:val="20"/>
              </w:rPr>
            </w:pPr>
            <w:r>
              <w:rPr>
                <w:rFonts w:ascii="Times New Roman" w:hAnsi="Times New Roman" w:eastAsia="等线" w:cs="Times New Roman"/>
                <w:color w:val="000000"/>
                <w:kern w:val="0"/>
                <w:sz w:val="20"/>
                <w:szCs w:val="20"/>
                <w:lang w:bidi="ar"/>
              </w:rPr>
              <w:t xml:space="preserve">51364 </w:t>
            </w:r>
          </w:p>
        </w:tc>
        <w:tc>
          <w:tcPr>
            <w:tcW w:w="347" w:type="pct"/>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区规划自然资源局</w:t>
            </w:r>
          </w:p>
        </w:tc>
        <w:tc>
          <w:tcPr>
            <w:tcW w:w="629" w:type="pct"/>
            <w:tcBorders>
              <w:top w:val="nil"/>
              <w:left w:val="nil"/>
              <w:bottom w:val="single" w:color="000000" w:sz="4" w:space="0"/>
            </w:tcBorders>
            <w:shd w:val="clear" w:color="auto" w:fill="auto"/>
            <w:vAlign w:val="center"/>
          </w:tcPr>
          <w:p>
            <w:pPr>
              <w:widowControl/>
              <w:jc w:val="left"/>
              <w:textAlignment w:val="center"/>
              <w:rPr>
                <w:rFonts w:ascii="Times New Roman" w:hAnsi="Times New Roman" w:eastAsia="方正仿宋_GBK" w:cs="Times New Roman"/>
                <w:szCs w:val="21"/>
              </w:rPr>
            </w:pPr>
            <w:r>
              <w:rPr>
                <w:rFonts w:hint="eastAsia" w:ascii="Times New Roman" w:hAnsi="Times New Roman" w:eastAsia="方正仿宋_GBK" w:cs="Times New Roman"/>
                <w:kern w:val="0"/>
                <w:szCs w:val="21"/>
                <w:lang w:bidi="ar"/>
              </w:rPr>
              <w:t>该重点项目和投资额来自《黔江区国土空间规划（2021-2035年）》《黔江区阿蓬江流域“绿水青山就是金山银山”实践创新基地建设实施方案》</w:t>
            </w:r>
            <w:r>
              <w:rPr>
                <w:rFonts w:ascii="Times New Roman" w:hAnsi="Times New Roman" w:eastAsia="方正仿宋_GBK" w:cs="Times New Roman"/>
                <w:kern w:val="0"/>
                <w:szCs w:val="21"/>
                <w:lang w:bidi="ar"/>
              </w:rPr>
              <w:t>。</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51" w:hRule="atLeast"/>
          <w:jc w:val="center"/>
        </w:trPr>
        <w:tc>
          <w:tcPr>
            <w:tcW w:w="187" w:type="pct"/>
            <w:tcBorders>
              <w:top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1</w:t>
            </w:r>
            <w:r>
              <w:rPr>
                <w:rFonts w:hint="eastAsia" w:ascii="Times New Roman" w:hAnsi="Times New Roman" w:eastAsia="方正仿宋_GBK" w:cs="Times New Roman"/>
                <w:kern w:val="0"/>
                <w:szCs w:val="21"/>
                <w:lang w:bidi="ar"/>
              </w:rPr>
              <w:t>1</w:t>
            </w:r>
          </w:p>
        </w:tc>
        <w:tc>
          <w:tcPr>
            <w:tcW w:w="287" w:type="pct"/>
            <w:tcBorders>
              <w:top w:val="nil"/>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方正仿宋_GBK" w:cs="Times New Roman"/>
                <w:szCs w:val="21"/>
              </w:rPr>
            </w:pPr>
            <w:r>
              <w:rPr>
                <w:rFonts w:hint="eastAsia" w:ascii="Times New Roman" w:hAnsi="Times New Roman" w:eastAsia="方正仿宋_GBK" w:cs="Times New Roman"/>
                <w:kern w:val="0"/>
                <w:szCs w:val="21"/>
                <w:lang w:bidi="ar"/>
              </w:rPr>
              <w:t>全域</w:t>
            </w:r>
            <w:r>
              <w:rPr>
                <w:rFonts w:ascii="Times New Roman" w:hAnsi="Times New Roman" w:eastAsia="方正仿宋_GBK" w:cs="Times New Roman"/>
                <w:kern w:val="0"/>
                <w:szCs w:val="21"/>
                <w:lang w:bidi="ar"/>
              </w:rPr>
              <w:t>土地综合整治重点工程</w:t>
            </w:r>
          </w:p>
        </w:tc>
        <w:tc>
          <w:tcPr>
            <w:tcW w:w="248" w:type="pct"/>
            <w:tcBorders>
              <w:top w:val="nil"/>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农用地整治重点项目</w:t>
            </w:r>
          </w:p>
        </w:tc>
        <w:tc>
          <w:tcPr>
            <w:tcW w:w="442" w:type="pct"/>
            <w:tcBorders>
              <w:top w:val="nil"/>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黎水镇、黄溪镇、杉岭乡、白石镇、黑溪镇</w:t>
            </w:r>
          </w:p>
        </w:tc>
        <w:tc>
          <w:tcPr>
            <w:tcW w:w="390" w:type="pct"/>
            <w:tcBorders>
              <w:top w:val="nil"/>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2021-2035</w:t>
            </w:r>
          </w:p>
        </w:tc>
        <w:tc>
          <w:tcPr>
            <w:tcW w:w="1788" w:type="pct"/>
            <w:tcBorders>
              <w:top w:val="nil"/>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项目涉及黎水镇、黄溪镇、杉岭乡、白石镇、黑溪镇等5个乡镇。主要建设内容为：土地整治+产业改造+永农置换+旅游文化等多样化模式开展国土综合整治，促进耕地绿色生产、生态产品供给、农村居住环境改善的协调发展，提高自然资源利用效率。涉及黎水镇竹园等3个村土地整理项目、黄溪镇兴阳等3个村土地整理项目、杉岭乡兴隆村土地整理项目、杉岭乡苦竹等2个村土地整理项目、白石镇鞍山等2个村土地整理项目、白石镇龙池村土地整理项目、白石镇玉岩村土地整理项目、黑溪镇互助村土地整理项目、黑溪镇光明等2个村土地整理项目、黑溪镇百合居委土地整理项目。项目规模1852公顷。</w:t>
            </w:r>
          </w:p>
        </w:tc>
        <w:tc>
          <w:tcPr>
            <w:tcW w:w="346" w:type="pct"/>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20290</w:t>
            </w:r>
          </w:p>
        </w:tc>
        <w:tc>
          <w:tcPr>
            <w:tcW w:w="331" w:type="pct"/>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hint="eastAsia" w:ascii="Times New Roman" w:hAnsi="Times New Roman" w:eastAsia="方正仿宋_GBK" w:cs="Times New Roman"/>
                <w:kern w:val="0"/>
                <w:szCs w:val="21"/>
                <w:lang w:bidi="ar"/>
              </w:rPr>
              <w:t>3757.71</w:t>
            </w:r>
          </w:p>
        </w:tc>
        <w:tc>
          <w:tcPr>
            <w:tcW w:w="347" w:type="pct"/>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区规划自然资源局</w:t>
            </w:r>
          </w:p>
        </w:tc>
        <w:tc>
          <w:tcPr>
            <w:tcW w:w="629" w:type="pct"/>
            <w:tcBorders>
              <w:top w:val="nil"/>
              <w:left w:val="nil"/>
              <w:bottom w:val="single" w:color="000000" w:sz="4" w:space="0"/>
            </w:tcBorders>
            <w:shd w:val="clear" w:color="auto" w:fill="auto"/>
            <w:vAlign w:val="center"/>
          </w:tcPr>
          <w:p>
            <w:pPr>
              <w:widowControl/>
              <w:jc w:val="left"/>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该重点项目来自《黔江区国土空间规划（2021-2035年）》，投资额单价根据近几年该类项目中标总价与实施面积测算得到。</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51" w:hRule="atLeast"/>
          <w:jc w:val="center"/>
        </w:trPr>
        <w:tc>
          <w:tcPr>
            <w:tcW w:w="187" w:type="pct"/>
            <w:tcBorders>
              <w:top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kern w:val="0"/>
                <w:szCs w:val="21"/>
                <w:lang w:bidi="ar"/>
              </w:rPr>
            </w:pPr>
            <w:r>
              <w:rPr>
                <w:rFonts w:hint="eastAsia" w:ascii="Times New Roman" w:hAnsi="Times New Roman" w:eastAsia="方正仿宋_GBK" w:cs="Times New Roman"/>
                <w:kern w:val="0"/>
                <w:szCs w:val="21"/>
                <w:lang w:bidi="ar"/>
              </w:rPr>
              <w:t>12</w:t>
            </w:r>
          </w:p>
        </w:tc>
        <w:tc>
          <w:tcPr>
            <w:tcW w:w="287" w:type="pct"/>
            <w:tcBorders>
              <w:top w:val="nil"/>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方正仿宋_GBK" w:cs="Times New Roman"/>
                <w:kern w:val="0"/>
                <w:szCs w:val="21"/>
                <w:lang w:bidi="ar"/>
              </w:rPr>
            </w:pPr>
            <w:r>
              <w:rPr>
                <w:rFonts w:hint="eastAsia" w:ascii="Times New Roman" w:hAnsi="Times New Roman" w:eastAsia="方正仿宋_GBK" w:cs="Times New Roman"/>
                <w:kern w:val="0"/>
                <w:szCs w:val="21"/>
                <w:lang w:bidi="ar"/>
              </w:rPr>
              <w:t>全域土地综合整治重点工程</w:t>
            </w:r>
          </w:p>
        </w:tc>
        <w:tc>
          <w:tcPr>
            <w:tcW w:w="248" w:type="pct"/>
            <w:tcBorders>
              <w:top w:val="nil"/>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方正仿宋_GBK" w:cs="Times New Roman"/>
                <w:kern w:val="0"/>
                <w:szCs w:val="21"/>
                <w:lang w:bidi="ar"/>
              </w:rPr>
            </w:pPr>
            <w:r>
              <w:rPr>
                <w:rFonts w:hint="eastAsia" w:ascii="Times New Roman" w:hAnsi="Times New Roman" w:eastAsia="方正仿宋_GBK" w:cs="Times New Roman"/>
                <w:kern w:val="0"/>
                <w:szCs w:val="21"/>
                <w:lang w:bidi="ar"/>
              </w:rPr>
              <w:t>水系连通及水美乡村建设</w:t>
            </w:r>
          </w:p>
        </w:tc>
        <w:tc>
          <w:tcPr>
            <w:tcW w:w="442" w:type="pct"/>
            <w:tcBorders>
              <w:top w:val="nil"/>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方正仿宋_GBK" w:cs="Times New Roman"/>
                <w:kern w:val="0"/>
                <w:szCs w:val="21"/>
                <w:lang w:bidi="ar"/>
              </w:rPr>
            </w:pPr>
            <w:r>
              <w:rPr>
                <w:rFonts w:hint="eastAsia" w:ascii="Times New Roman" w:hAnsi="Times New Roman" w:eastAsia="方正仿宋_GBK" w:cs="Times New Roman"/>
                <w:kern w:val="0"/>
                <w:szCs w:val="21"/>
                <w:lang w:bidi="ar"/>
              </w:rPr>
              <w:t>洞塘片区、平溪片区、关云（金桥、桃坪）片区</w:t>
            </w:r>
          </w:p>
        </w:tc>
        <w:tc>
          <w:tcPr>
            <w:tcW w:w="390" w:type="pct"/>
            <w:tcBorders>
              <w:top w:val="nil"/>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方正仿宋_GBK" w:cs="Times New Roman"/>
                <w:kern w:val="0"/>
                <w:szCs w:val="21"/>
                <w:lang w:bidi="ar"/>
              </w:rPr>
            </w:pPr>
            <w:r>
              <w:rPr>
                <w:rFonts w:hint="eastAsia" w:ascii="Times New Roman" w:hAnsi="Times New Roman" w:eastAsia="方正仿宋_GBK" w:cs="Times New Roman"/>
                <w:kern w:val="0"/>
                <w:szCs w:val="21"/>
                <w:lang w:bidi="ar"/>
              </w:rPr>
              <w:t>2021-2025</w:t>
            </w:r>
          </w:p>
        </w:tc>
        <w:tc>
          <w:tcPr>
            <w:tcW w:w="1788" w:type="pct"/>
            <w:tcBorders>
              <w:top w:val="nil"/>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方正仿宋_GBK" w:cs="Times New Roman"/>
                <w:kern w:val="0"/>
                <w:szCs w:val="21"/>
                <w:lang w:bidi="ar"/>
              </w:rPr>
            </w:pPr>
            <w:r>
              <w:rPr>
                <w:rFonts w:hint="eastAsia" w:ascii="Times New Roman" w:hAnsi="Times New Roman" w:eastAsia="方正仿宋_GBK" w:cs="Times New Roman"/>
                <w:kern w:val="0"/>
                <w:szCs w:val="21"/>
                <w:lang w:bidi="ar"/>
              </w:rPr>
              <w:t>项目涉及黔江区洞塘、平溪、关云（金桥、桃坪）3个片区。主要建设内容为引水隧洞、治理河道、河道清淤疏浚、河道岸坡整治、水土保持工程。建设规模引水隧洞长度3.9公里，治理河道18.8公里，河道清淤疏浚16.6公里，河道岸坡整治12.2公里和水土保持工程。</w:t>
            </w:r>
          </w:p>
        </w:tc>
        <w:tc>
          <w:tcPr>
            <w:tcW w:w="346" w:type="pct"/>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kern w:val="0"/>
                <w:szCs w:val="21"/>
                <w:lang w:bidi="ar"/>
              </w:rPr>
            </w:pPr>
            <w:r>
              <w:rPr>
                <w:rFonts w:hint="eastAsia" w:ascii="Times New Roman" w:hAnsi="Times New Roman" w:eastAsia="方正仿宋_GBK" w:cs="Times New Roman"/>
                <w:kern w:val="0"/>
                <w:szCs w:val="21"/>
                <w:lang w:bidi="ar"/>
              </w:rPr>
              <w:t>——</w:t>
            </w:r>
          </w:p>
        </w:tc>
        <w:tc>
          <w:tcPr>
            <w:tcW w:w="331" w:type="pct"/>
            <w:tcBorders>
              <w:top w:val="nil"/>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方正仿宋_GBK" w:cs="Times New Roman"/>
                <w:kern w:val="0"/>
                <w:szCs w:val="21"/>
                <w:lang w:bidi="ar"/>
              </w:rPr>
            </w:pPr>
            <w:r>
              <w:rPr>
                <w:rFonts w:hint="eastAsia" w:ascii="Times New Roman" w:hAnsi="Times New Roman" w:eastAsia="方正仿宋_GBK" w:cs="Times New Roman"/>
                <w:kern w:val="0"/>
                <w:szCs w:val="21"/>
                <w:lang w:bidi="ar"/>
              </w:rPr>
              <w:t>34100</w:t>
            </w:r>
          </w:p>
        </w:tc>
        <w:tc>
          <w:tcPr>
            <w:tcW w:w="347" w:type="pct"/>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kern w:val="0"/>
                <w:szCs w:val="21"/>
                <w:lang w:bidi="ar"/>
              </w:rPr>
            </w:pPr>
            <w:r>
              <w:rPr>
                <w:rFonts w:hint="eastAsia" w:ascii="Times New Roman" w:hAnsi="Times New Roman" w:eastAsia="方正仿宋_GBK" w:cs="Times New Roman"/>
                <w:kern w:val="0"/>
                <w:szCs w:val="21"/>
                <w:lang w:bidi="ar"/>
              </w:rPr>
              <w:t>区水利局</w:t>
            </w:r>
          </w:p>
        </w:tc>
        <w:tc>
          <w:tcPr>
            <w:tcW w:w="629" w:type="pct"/>
            <w:tcBorders>
              <w:top w:val="nil"/>
              <w:left w:val="nil"/>
              <w:bottom w:val="single" w:color="000000" w:sz="4" w:space="0"/>
            </w:tcBorders>
            <w:shd w:val="clear" w:color="auto" w:fill="auto"/>
            <w:vAlign w:val="center"/>
          </w:tcPr>
          <w:p>
            <w:pPr>
              <w:widowControl/>
              <w:jc w:val="center"/>
              <w:textAlignment w:val="center"/>
              <w:rPr>
                <w:rFonts w:ascii="Times New Roman" w:hAnsi="Times New Roman" w:eastAsia="方正仿宋_GBK" w:cs="Times New Roman"/>
                <w:kern w:val="0"/>
                <w:szCs w:val="21"/>
                <w:lang w:bidi="ar"/>
              </w:rPr>
            </w:pPr>
            <w:r>
              <w:rPr>
                <w:rFonts w:hint="eastAsia" w:ascii="Times New Roman" w:hAnsi="Times New Roman" w:eastAsia="方正仿宋_GBK" w:cs="Times New Roman"/>
                <w:kern w:val="0"/>
                <w:szCs w:val="21"/>
                <w:lang w:bidi="ar"/>
              </w:rPr>
              <w:t>该重点项目及其投资额来自区政府官网</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85" w:hRule="atLeast"/>
          <w:jc w:val="center"/>
        </w:trPr>
        <w:tc>
          <w:tcPr>
            <w:tcW w:w="187" w:type="pct"/>
            <w:tcBorders>
              <w:top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hint="eastAsia" w:ascii="Times New Roman" w:hAnsi="Times New Roman" w:eastAsia="方正仿宋_GBK" w:cs="Times New Roman"/>
                <w:kern w:val="0"/>
                <w:szCs w:val="21"/>
                <w:lang w:bidi="ar"/>
              </w:rPr>
              <w:t>13</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黔江人居环境综合治理重点工程</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黔江城区</w:t>
            </w:r>
            <w:r>
              <w:rPr>
                <w:rFonts w:hint="eastAsia" w:ascii="Times New Roman" w:hAnsi="Times New Roman" w:eastAsia="方正仿宋_GBK" w:cs="Times New Roman"/>
                <w:kern w:val="0"/>
                <w:szCs w:val="21"/>
                <w:lang w:bidi="ar"/>
              </w:rPr>
              <w:t>城市绿地板块提升</w:t>
            </w:r>
            <w:r>
              <w:rPr>
                <w:rFonts w:ascii="Times New Roman" w:hAnsi="Times New Roman" w:eastAsia="方正仿宋_GBK" w:cs="Times New Roman"/>
                <w:kern w:val="0"/>
                <w:szCs w:val="21"/>
                <w:lang w:bidi="ar"/>
              </w:rPr>
              <w:t>重点项目</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城东街道、城南街道、城西街道、正阳街道</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2022-2028</w:t>
            </w:r>
          </w:p>
        </w:tc>
        <w:tc>
          <w:tcPr>
            <w:tcW w:w="178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项目涉及城东街道、城南街道、城西街道、正阳街道等4个街道。主要建设内容为：建设正舟公园、人民公园、听松岭公园、天生湖公园、鲤鱼池公园、正阳山公园。项目建设占地规模105万平方米。其中，正舟公园占地6.1万平方米，重要种植园林植物、开展坡地植物修复、设置步游道、景观小品及其他配套设施。人民公园建占地</w:t>
            </w:r>
            <w:r>
              <w:rPr>
                <w:rFonts w:hint="eastAsia" w:ascii="Times New Roman" w:hAnsi="Times New Roman" w:eastAsia="方正仿宋_GBK" w:cs="Times New Roman"/>
                <w:kern w:val="0"/>
                <w:szCs w:val="21"/>
                <w:lang w:bidi="ar"/>
              </w:rPr>
              <w:t>1</w:t>
            </w:r>
            <w:r>
              <w:rPr>
                <w:rFonts w:ascii="Times New Roman" w:hAnsi="Times New Roman" w:eastAsia="方正仿宋_GBK" w:cs="Times New Roman"/>
                <w:kern w:val="0"/>
                <w:szCs w:val="21"/>
                <w:lang w:bidi="ar"/>
              </w:rPr>
              <w:t>7万平方米，主要种植园林植物，修复裸露边坡、岸坡，种植水生植物，配套公园其他游憩和服务设施。听松岭公园占地17万平方米，主要种植园林植物，修复水体，裸露边坡，配套公园其他游憩和服务设施。天生湖公园占地面积35万平方米，主要梳理水系，修复水体，种植园林植物，开展植被修复，配套公园其他游憩和服务设施。鲤鱼池公园占地20万平方米，梳理水系，修复水体，种植园林植物，开展植被修复，配套公园其他游憩和服务设施。正阳山公园开展植被修复、地质地貌修复，增加一定的游憩配套设施。</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132000</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区城市管理局</w:t>
            </w:r>
          </w:p>
        </w:tc>
        <w:tc>
          <w:tcPr>
            <w:tcW w:w="629" w:type="pct"/>
            <w:tcBorders>
              <w:top w:val="single" w:color="000000" w:sz="4" w:space="0"/>
              <w:left w:val="nil"/>
              <w:bottom w:val="single" w:color="000000" w:sz="4" w:space="0"/>
            </w:tcBorders>
            <w:shd w:val="clear" w:color="auto" w:fill="auto"/>
            <w:vAlign w:val="center"/>
          </w:tcPr>
          <w:p>
            <w:pPr>
              <w:widowControl/>
              <w:jc w:val="left"/>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该重点项目及其投资额由区城市管理局核定报送。</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87" w:type="pct"/>
            <w:tcBorders>
              <w:top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hint="eastAsia" w:ascii="Times New Roman" w:hAnsi="Times New Roman" w:eastAsia="方正仿宋_GBK" w:cs="Times New Roman"/>
                <w:kern w:val="0"/>
                <w:szCs w:val="21"/>
                <w:lang w:bidi="ar"/>
              </w:rPr>
              <w:t>14</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黔江人居环境综合治理重点工程</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正阳</w:t>
            </w:r>
            <w:r>
              <w:rPr>
                <w:rFonts w:hint="eastAsia" w:ascii="Times New Roman" w:hAnsi="Times New Roman" w:eastAsia="方正仿宋_GBK" w:cs="Times New Roman"/>
                <w:kern w:val="0"/>
                <w:szCs w:val="21"/>
                <w:lang w:bidi="ar"/>
              </w:rPr>
              <w:t>水生态环境治理</w:t>
            </w:r>
            <w:r>
              <w:rPr>
                <w:rFonts w:ascii="Times New Roman" w:hAnsi="Times New Roman" w:eastAsia="方正仿宋_GBK" w:cs="Times New Roman"/>
                <w:kern w:val="0"/>
                <w:szCs w:val="21"/>
                <w:lang w:bidi="ar"/>
              </w:rPr>
              <w:t>重点项目</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正阳街道桐坪居委</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2021-2025</w:t>
            </w:r>
          </w:p>
        </w:tc>
        <w:tc>
          <w:tcPr>
            <w:tcW w:w="178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方正仿宋_GBK" w:cs="Times New Roman"/>
                <w:szCs w:val="21"/>
              </w:rPr>
            </w:pPr>
            <w:r>
              <w:rPr>
                <w:rFonts w:hint="eastAsia" w:ascii="Times New Roman" w:hAnsi="Times New Roman" w:eastAsia="方正仿宋_GBK" w:cs="Times New Roman"/>
                <w:szCs w:val="21"/>
              </w:rPr>
              <w:t>项目涉及正阳街道。主要建设内容为：水上公园水生态环境治理。项目生态环境治理面积37568平方米，绿化面积25186平方米，绿地率达84.07%。</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hint="eastAsia" w:ascii="Times New Roman" w:hAnsi="Times New Roman" w:eastAsia="方正仿宋_GBK" w:cs="Times New Roman"/>
                <w:kern w:val="0"/>
                <w:szCs w:val="21"/>
                <w:lang w:bidi="ar"/>
              </w:rPr>
              <w:t>79</w:t>
            </w:r>
            <w:r>
              <w:rPr>
                <w:rFonts w:ascii="Times New Roman" w:hAnsi="Times New Roman" w:eastAsia="方正仿宋_GBK" w:cs="Times New Roman"/>
                <w:kern w:val="0"/>
                <w:szCs w:val="21"/>
                <w:lang w:bidi="ar"/>
              </w:rPr>
              <w:t>00</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区建设投资（集团）有限公司</w:t>
            </w:r>
          </w:p>
        </w:tc>
        <w:tc>
          <w:tcPr>
            <w:tcW w:w="629" w:type="pct"/>
            <w:tcBorders>
              <w:top w:val="single" w:color="000000" w:sz="4" w:space="0"/>
              <w:left w:val="nil"/>
              <w:bottom w:val="single" w:color="000000" w:sz="4" w:space="0"/>
            </w:tcBorders>
            <w:shd w:val="clear" w:color="auto" w:fill="auto"/>
            <w:vAlign w:val="center"/>
          </w:tcPr>
          <w:p>
            <w:pPr>
              <w:widowControl/>
              <w:jc w:val="left"/>
              <w:textAlignment w:val="center"/>
              <w:rPr>
                <w:rFonts w:ascii="Times New Roman" w:hAnsi="Times New Roman" w:eastAsia="方正仿宋_GBK" w:cs="Times New Roman"/>
                <w:szCs w:val="21"/>
              </w:rPr>
            </w:pPr>
            <w:r>
              <w:rPr>
                <w:rFonts w:hint="eastAsia" w:ascii="Times New Roman" w:hAnsi="Times New Roman" w:eastAsia="方正仿宋_GBK" w:cs="Times New Roman"/>
                <w:szCs w:val="21"/>
              </w:rPr>
              <w:t>重点项目及其投资额由区城市建设投资（集团）有限公司核定报送。其中项目具体开发建设由重庆市枳丹石城市建设开发有限公司负责。</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87" w:type="pct"/>
            <w:tcBorders>
              <w:top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hint="eastAsia" w:ascii="Times New Roman" w:hAnsi="Times New Roman" w:eastAsia="方正仿宋_GBK" w:cs="Times New Roman"/>
                <w:kern w:val="0"/>
                <w:szCs w:val="21"/>
                <w:lang w:bidi="ar"/>
              </w:rPr>
              <w:t>15</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黔江人居环境综合治理重点工程</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人居环境综合治理重点项目</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城南街道、正阳街道、阿蓬江镇、邻鄂镇、鹅池镇、濯水镇、沙坝镇、白石镇、太极镇、黄溪镇、黎水镇、黑溪镇、五里镇、水市镇、蓬东乡、杉岭乡、水田乡、白土乡、金洞乡、新华乡</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2021-2015</w:t>
            </w:r>
          </w:p>
        </w:tc>
        <w:tc>
          <w:tcPr>
            <w:tcW w:w="178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方正仿宋_GBK" w:cs="Times New Roman"/>
                <w:szCs w:val="21"/>
              </w:rPr>
            </w:pPr>
            <w:r>
              <w:rPr>
                <w:rFonts w:hint="eastAsia" w:ascii="Times New Roman" w:hAnsi="Times New Roman" w:eastAsia="方正仿宋_GBK" w:cs="Times New Roman"/>
                <w:szCs w:val="21"/>
              </w:rPr>
              <w:t>项目涉及阿蓬江镇、鹅池镇、金洞乡、黎水镇、邻鄂镇、杉岭乡、水市乡、水田乡、沙坝镇、太极镇、五里镇、新华乡、白石镇、黑溪镇、白土乡、蓬东乡等16个乡镇和街道。主要建设内容为：生态整治提升等。其中阿蓬江镇房屋周边生态整治2000平方米。蓬东乡麻田房前屋后花台生态4000平方米。白土乡白土村龙洞河河堤整治1公里(河道宽3米，高2.5米)，房前屋后花台生态500平方米。在全区14个乡镇（鹅池镇、金洞乡、黎水镇、邻鄂镇、杉岭乡、水市乡、水田乡、沙坝镇、太极镇、五里镇、新华乡、白石镇、白土乡、黑溪镇）实施人居环境整治。</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10777.4</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区水利局、区城市管理局</w:t>
            </w:r>
          </w:p>
        </w:tc>
        <w:tc>
          <w:tcPr>
            <w:tcW w:w="629" w:type="pct"/>
            <w:tcBorders>
              <w:top w:val="single" w:color="000000" w:sz="4" w:space="0"/>
              <w:left w:val="nil"/>
              <w:bottom w:val="single" w:color="000000" w:sz="4" w:space="0"/>
            </w:tcBorders>
            <w:shd w:val="clear" w:color="auto" w:fill="auto"/>
            <w:vAlign w:val="center"/>
          </w:tcPr>
          <w:p>
            <w:pPr>
              <w:widowControl/>
              <w:jc w:val="left"/>
              <w:textAlignment w:val="center"/>
              <w:rPr>
                <w:rFonts w:ascii="Times New Roman" w:hAnsi="Times New Roman" w:eastAsia="方正仿宋_GBK" w:cs="Times New Roman"/>
                <w:szCs w:val="21"/>
              </w:rPr>
            </w:pPr>
            <w:r>
              <w:rPr>
                <w:rFonts w:ascii="Times New Roman" w:hAnsi="Times New Roman" w:eastAsia="方正仿宋_GBK" w:cs="Times New Roman"/>
                <w:kern w:val="0"/>
                <w:szCs w:val="21"/>
                <w:lang w:bidi="ar"/>
              </w:rPr>
              <w:t>该重点项目及其投资额由区城市管理局核定报送。</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3691" w:type="pct"/>
            <w:gridSpan w:val="7"/>
            <w:tcBorders>
              <w:top w:val="nil"/>
              <w:right w:val="single" w:color="000000" w:sz="4" w:space="0"/>
            </w:tcBorders>
            <w:shd w:val="clear" w:color="auto" w:fill="auto"/>
            <w:noWrap/>
            <w:vAlign w:val="bottom"/>
          </w:tcPr>
          <w:p>
            <w:pPr>
              <w:jc w:val="center"/>
              <w:rPr>
                <w:rFonts w:ascii="Times New Roman" w:hAnsi="Times New Roman" w:eastAsia="方正仿宋_GBK" w:cs="Times New Roman"/>
                <w:b/>
                <w:bCs/>
                <w:szCs w:val="21"/>
              </w:rPr>
            </w:pPr>
            <w:r>
              <w:rPr>
                <w:rFonts w:hint="eastAsia" w:ascii="Times New Roman" w:hAnsi="Times New Roman" w:eastAsia="方正仿宋_GBK" w:cs="Times New Roman"/>
                <w:b/>
                <w:bCs/>
                <w:szCs w:val="21"/>
              </w:rPr>
              <w:t>合计</w:t>
            </w:r>
          </w:p>
        </w:tc>
        <w:tc>
          <w:tcPr>
            <w:tcW w:w="331" w:type="pc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等线" w:cs="Times New Roman"/>
                <w:b/>
                <w:bCs/>
                <w:color w:val="000000"/>
                <w:sz w:val="20"/>
                <w:szCs w:val="20"/>
              </w:rPr>
            </w:pPr>
            <w:r>
              <w:rPr>
                <w:rFonts w:hint="eastAsia" w:ascii="Times New Roman" w:hAnsi="Times New Roman" w:eastAsia="等线" w:cs="Times New Roman"/>
                <w:b/>
                <w:bCs/>
                <w:color w:val="000000"/>
                <w:kern w:val="0"/>
                <w:sz w:val="20"/>
                <w:szCs w:val="20"/>
                <w:lang w:bidi="ar"/>
              </w:rPr>
              <w:t>373611</w:t>
            </w:r>
            <w:r>
              <w:rPr>
                <w:rFonts w:ascii="Times New Roman" w:hAnsi="Times New Roman" w:eastAsia="等线" w:cs="Times New Roman"/>
                <w:b/>
                <w:bCs/>
                <w:color w:val="000000"/>
                <w:kern w:val="0"/>
                <w:sz w:val="20"/>
                <w:szCs w:val="20"/>
                <w:lang w:bidi="ar"/>
              </w:rPr>
              <w:t xml:space="preserve"> </w:t>
            </w:r>
          </w:p>
        </w:tc>
        <w:tc>
          <w:tcPr>
            <w:tcW w:w="347" w:type="pct"/>
            <w:tcBorders>
              <w:top w:val="nil"/>
              <w:left w:val="single" w:color="000000" w:sz="4" w:space="0"/>
              <w:right w:val="single" w:color="000000" w:sz="4" w:space="0"/>
            </w:tcBorders>
            <w:shd w:val="clear" w:color="auto" w:fill="auto"/>
            <w:noWrap/>
            <w:vAlign w:val="bottom"/>
          </w:tcPr>
          <w:p>
            <w:pPr>
              <w:rPr>
                <w:rFonts w:ascii="Times New Roman" w:hAnsi="Times New Roman" w:eastAsia="方正仿宋_GBK" w:cs="Times New Roman"/>
                <w:szCs w:val="21"/>
              </w:rPr>
            </w:pPr>
            <w:r>
              <w:rPr>
                <w:rFonts w:hint="eastAsia" w:ascii="Times New Roman" w:hAnsi="Times New Roman" w:eastAsia="方正仿宋_GBK" w:cs="Times New Roman"/>
                <w:szCs w:val="21"/>
              </w:rPr>
              <w:t>/</w:t>
            </w:r>
          </w:p>
        </w:tc>
        <w:tc>
          <w:tcPr>
            <w:tcW w:w="629" w:type="pct"/>
            <w:tcBorders>
              <w:top w:val="nil"/>
              <w:left w:val="single" w:color="000000" w:sz="4" w:space="0"/>
            </w:tcBorders>
            <w:shd w:val="clear" w:color="auto" w:fill="auto"/>
            <w:vAlign w:val="center"/>
          </w:tcPr>
          <w:p>
            <w:pPr>
              <w:rPr>
                <w:rFonts w:ascii="Times New Roman" w:hAnsi="Times New Roman" w:eastAsia="方正仿宋_GBK" w:cs="Times New Roman"/>
                <w:szCs w:val="21"/>
              </w:rPr>
            </w:pPr>
            <w:r>
              <w:rPr>
                <w:rFonts w:hint="eastAsia" w:ascii="Times New Roman" w:hAnsi="Times New Roman" w:eastAsia="方正仿宋_GBK" w:cs="Times New Roman"/>
                <w:szCs w:val="21"/>
              </w:rPr>
              <w:t>/</w:t>
            </w:r>
          </w:p>
        </w:tc>
      </w:tr>
    </w:tbl>
    <w:p>
      <w:pPr>
        <w:spacing w:line="600" w:lineRule="exact"/>
        <w:ind w:firstLine="640" w:firstLineChars="200"/>
        <w:jc w:val="left"/>
        <w:rPr>
          <w:rFonts w:ascii="Times New Roman" w:hAnsi="Times New Roman" w:eastAsia="方正仿宋_GBK" w:cs="Times New Roman"/>
          <w:sz w:val="32"/>
          <w:szCs w:val="32"/>
        </w:rPr>
        <w:sectPr>
          <w:pgSz w:w="16838" w:h="11906" w:orient="landscape"/>
          <w:pgMar w:top="1587" w:right="1701" w:bottom="1474" w:left="1440" w:header="851" w:footer="992" w:gutter="0"/>
          <w:cols w:space="0" w:num="1"/>
          <w:docGrid w:type="lines" w:linePitch="312" w:charSpace="0"/>
        </w:sectPr>
      </w:pPr>
    </w:p>
    <w:p>
      <w:pPr>
        <w:spacing w:line="560" w:lineRule="exact"/>
        <w:jc w:val="left"/>
        <w:outlineLvl w:val="0"/>
        <w:rPr>
          <w:rFonts w:ascii="方正黑体_GBK" w:hAnsi="方正黑体_GBK" w:eastAsia="方正黑体_GBK" w:cs="方正黑体_GBK"/>
          <w:sz w:val="32"/>
          <w:szCs w:val="32"/>
        </w:rPr>
      </w:pPr>
      <w:bookmarkStart w:id="296" w:name="_Toc15314"/>
      <w:bookmarkStart w:id="297" w:name="_Toc155"/>
      <w:bookmarkStart w:id="298" w:name="_Toc31913"/>
      <w:bookmarkStart w:id="299" w:name="_Toc20772"/>
      <w:r>
        <w:rPr>
          <w:rFonts w:hint="eastAsia" w:ascii="方正黑体_GBK" w:hAnsi="方正黑体_GBK" w:eastAsia="方正黑体_GBK" w:cs="方正黑体_GBK"/>
          <w:sz w:val="32"/>
          <w:szCs w:val="32"/>
        </w:rPr>
        <w:t>附图</w:t>
      </w:r>
      <w:bookmarkEnd w:id="296"/>
      <w:bookmarkEnd w:id="297"/>
      <w:bookmarkEnd w:id="298"/>
      <w:bookmarkEnd w:id="299"/>
    </w:p>
    <w:p>
      <w:pPr>
        <w:spacing w:line="600" w:lineRule="exact"/>
        <w:jc w:val="center"/>
        <w:outlineLvl w:val="1"/>
        <w:rPr>
          <w:rFonts w:ascii="方正黑体_GBK" w:hAnsi="方正黑体_GBK" w:eastAsia="方正黑体_GBK" w:cs="方正黑体_GBK"/>
          <w:sz w:val="28"/>
          <w:szCs w:val="28"/>
        </w:rPr>
      </w:pPr>
      <w:bookmarkStart w:id="300" w:name="_Toc31940"/>
      <w:bookmarkStart w:id="301" w:name="_Toc19281"/>
      <w:bookmarkStart w:id="302" w:name="_Toc22970"/>
      <w:bookmarkStart w:id="303" w:name="_Toc32559"/>
      <w:r>
        <w:rPr>
          <w:rFonts w:hint="eastAsia" w:ascii="方正黑体_GBK" w:hAnsi="方正黑体_GBK" w:eastAsia="方正黑体_GBK" w:cs="方正黑体_GBK"/>
          <w:sz w:val="28"/>
          <w:szCs w:val="28"/>
        </w:rPr>
        <w:t>黔江区“一屏三带三区多绿核”生态安全格局图</w:t>
      </w:r>
      <w:bookmarkEnd w:id="300"/>
      <w:bookmarkEnd w:id="301"/>
      <w:bookmarkEnd w:id="302"/>
      <w:bookmarkEnd w:id="303"/>
    </w:p>
    <w:p>
      <w:pPr>
        <w:jc w:val="center"/>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drawing>
          <wp:inline distT="0" distB="0" distL="114300" distR="114300">
            <wp:extent cx="5370195" cy="7593965"/>
            <wp:effectExtent l="0" t="0" r="1905" b="635"/>
            <wp:docPr id="3" name="图片 3" descr="b255ae6a8791d51f634482bfb99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255ae6a8791d51f634482bfb995641"/>
                    <pic:cNvPicPr>
                      <a:picLocks noChangeAspect="1"/>
                    </pic:cNvPicPr>
                  </pic:nvPicPr>
                  <pic:blipFill>
                    <a:blip r:embed="rId7"/>
                    <a:stretch>
                      <a:fillRect/>
                    </a:stretch>
                  </pic:blipFill>
                  <pic:spPr>
                    <a:xfrm>
                      <a:off x="0" y="0"/>
                      <a:ext cx="5370195" cy="7593965"/>
                    </a:xfrm>
                    <a:prstGeom prst="rect">
                      <a:avLst/>
                    </a:prstGeom>
                  </pic:spPr>
                </pic:pic>
              </a:graphicData>
            </a:graphic>
          </wp:inline>
        </w:drawing>
      </w:r>
    </w:p>
    <w:p>
      <w:pPr>
        <w:adjustRightInd w:val="0"/>
        <w:snapToGrid w:val="0"/>
        <w:jc w:val="center"/>
        <w:rPr>
          <w:rFonts w:ascii="方正黑体_GBK" w:hAnsi="方正黑体_GBK" w:eastAsia="方正黑体_GBK" w:cs="方正黑体_GBK"/>
          <w:sz w:val="28"/>
          <w:szCs w:val="28"/>
        </w:rPr>
        <w:sectPr>
          <w:pgSz w:w="11906" w:h="16838"/>
          <w:pgMar w:top="1701" w:right="1474" w:bottom="1440" w:left="1587" w:header="851" w:footer="992" w:gutter="0"/>
          <w:cols w:space="0" w:num="1"/>
          <w:docGrid w:type="lines" w:linePitch="312" w:charSpace="0"/>
        </w:sectPr>
      </w:pPr>
    </w:p>
    <w:p>
      <w:pPr>
        <w:spacing w:line="600" w:lineRule="exact"/>
        <w:jc w:val="center"/>
        <w:outlineLvl w:val="1"/>
        <w:rPr>
          <w:rFonts w:ascii="方正黑体_GBK" w:hAnsi="方正黑体_GBK" w:eastAsia="方正黑体_GBK" w:cs="方正黑体_GBK"/>
          <w:sz w:val="28"/>
          <w:szCs w:val="28"/>
        </w:rPr>
      </w:pPr>
      <w:bookmarkStart w:id="304" w:name="_Toc31868"/>
      <w:bookmarkStart w:id="305" w:name="_Toc24510"/>
      <w:bookmarkStart w:id="306" w:name="_Toc25203"/>
      <w:r>
        <w:rPr>
          <w:rFonts w:hint="eastAsia" w:ascii="方正黑体_GBK" w:hAnsi="方正黑体_GBK" w:eastAsia="方正黑体_GBK" w:cs="方正黑体_GBK"/>
          <w:sz w:val="28"/>
          <w:szCs w:val="28"/>
        </w:rPr>
        <w:t>黔江区生态修复分区图</w:t>
      </w:r>
      <w:bookmarkEnd w:id="304"/>
      <w:bookmarkEnd w:id="305"/>
      <w:bookmarkEnd w:id="306"/>
    </w:p>
    <w:p>
      <w:pPr>
        <w:tabs>
          <w:tab w:val="left" w:pos="6218"/>
        </w:tabs>
        <w:jc w:val="left"/>
        <w:sectPr>
          <w:pgSz w:w="11906" w:h="16838"/>
          <w:pgMar w:top="1701" w:right="1474" w:bottom="1440" w:left="1587" w:header="851" w:footer="992" w:gutter="0"/>
          <w:cols w:space="0" w:num="1"/>
          <w:docGrid w:type="lines" w:linePitch="312" w:charSpace="0"/>
        </w:sectPr>
      </w:pPr>
      <w:r>
        <w:rPr>
          <w:rFonts w:hint="eastAsia" w:ascii="方正黑体_GBK" w:hAnsi="方正黑体_GBK" w:eastAsia="方正黑体_GBK" w:cs="方正黑体_GBK"/>
          <w:sz w:val="28"/>
          <w:szCs w:val="28"/>
        </w:rPr>
        <w:drawing>
          <wp:inline distT="0" distB="0" distL="114300" distR="114300">
            <wp:extent cx="5520690" cy="7806055"/>
            <wp:effectExtent l="0" t="0" r="3810" b="4445"/>
            <wp:docPr id="2" name="图片 2" descr="2c9d060cd0196a39944fc0cf27c1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c9d060cd0196a39944fc0cf27c1de6"/>
                    <pic:cNvPicPr>
                      <a:picLocks noChangeAspect="1"/>
                    </pic:cNvPicPr>
                  </pic:nvPicPr>
                  <pic:blipFill>
                    <a:blip r:embed="rId8"/>
                    <a:stretch>
                      <a:fillRect/>
                    </a:stretch>
                  </pic:blipFill>
                  <pic:spPr>
                    <a:xfrm>
                      <a:off x="0" y="0"/>
                      <a:ext cx="5520690" cy="7806055"/>
                    </a:xfrm>
                    <a:prstGeom prst="rect">
                      <a:avLst/>
                    </a:prstGeom>
                  </pic:spPr>
                </pic:pic>
              </a:graphicData>
            </a:graphic>
          </wp:inline>
        </w:drawing>
      </w:r>
    </w:p>
    <w:p>
      <w:pPr>
        <w:spacing w:line="560" w:lineRule="exact"/>
        <w:jc w:val="center"/>
        <w:outlineLvl w:val="1"/>
        <w:rPr>
          <w:rFonts w:ascii="方正黑体_GBK" w:hAnsi="方正黑体_GBK" w:eastAsia="方正黑体_GBK" w:cs="方正黑体_GBK"/>
          <w:sz w:val="28"/>
          <w:szCs w:val="28"/>
        </w:rPr>
      </w:pPr>
      <w:bookmarkStart w:id="307" w:name="_Toc28273"/>
      <w:bookmarkStart w:id="308" w:name="_Toc14882"/>
      <w:bookmarkStart w:id="309" w:name="_Toc16273"/>
      <w:bookmarkStart w:id="310" w:name="_Toc3288"/>
      <w:r>
        <w:rPr>
          <w:rFonts w:hint="eastAsia" w:ascii="方正黑体_GBK" w:hAnsi="方正黑体_GBK" w:eastAsia="方正黑体_GBK" w:cs="方正黑体_GBK"/>
          <w:sz w:val="28"/>
          <w:szCs w:val="28"/>
        </w:rPr>
        <w:t>生态修复重点工程分布图</w:t>
      </w:r>
      <w:bookmarkEnd w:id="307"/>
      <w:bookmarkEnd w:id="308"/>
      <w:bookmarkEnd w:id="309"/>
      <w:bookmarkEnd w:id="310"/>
    </w:p>
    <w:p>
      <w:pPr>
        <w:adjustRightInd w:val="0"/>
        <w:snapToGrid w:val="0"/>
        <w:rPr>
          <w:rFonts w:ascii="方正仿宋_GBK" w:hAnsi="方正仿宋_GBK" w:eastAsia="方正仿宋_GBK" w:cs="方正仿宋_GBK"/>
          <w:sz w:val="32"/>
          <w:szCs w:val="32"/>
        </w:rPr>
      </w:pPr>
      <w:r>
        <w:rPr>
          <w:rFonts w:ascii="Times New Roman" w:hAnsi="Times New Roman" w:eastAsia="方正仿宋_GBK" w:cs="Times New Roman"/>
          <w:sz w:val="32"/>
          <w:szCs w:val="32"/>
        </w:rPr>
        <w:drawing>
          <wp:inline distT="0" distB="0" distL="0" distR="0">
            <wp:extent cx="5616575" cy="7944485"/>
            <wp:effectExtent l="0" t="0" r="3175" b="0"/>
            <wp:docPr id="4876785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78569"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6575" cy="7944485"/>
                    </a:xfrm>
                    <a:prstGeom prst="rect">
                      <a:avLst/>
                    </a:prstGeom>
                  </pic:spPr>
                </pic:pic>
              </a:graphicData>
            </a:graphic>
          </wp:inline>
        </w:drawing>
      </w:r>
    </w:p>
    <w:sectPr>
      <w:pgSz w:w="11906" w:h="16838"/>
      <w:pgMar w:top="1701" w:right="1474" w:bottom="1440" w:left="158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embedRegular r:id="rId1" w:fontKey="{109573A3-4A83-47C9-AC4A-ED84E953F15F}"/>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embedRegular r:id="rId2" w:fontKey="{251530E9-A10A-4E1A-B237-B49BC295383F}"/>
  </w:font>
  <w:font w:name="方正小标宋_GBK">
    <w:panose1 w:val="03000509000000000000"/>
    <w:charset w:val="86"/>
    <w:family w:val="script"/>
    <w:pitch w:val="default"/>
    <w:sig w:usb0="00000001" w:usb1="080E0000" w:usb2="00000000" w:usb3="00000000" w:csb0="00040000" w:csb1="00000000"/>
    <w:embedRegular r:id="rId3" w:fontKey="{BB36E047-32A2-46DD-8200-468FC3F499A6}"/>
  </w:font>
  <w:font w:name="方正黑体_GBK">
    <w:panose1 w:val="03000509000000000000"/>
    <w:charset w:val="86"/>
    <w:family w:val="script"/>
    <w:pitch w:val="default"/>
    <w:sig w:usb0="00000001" w:usb1="080E0000" w:usb2="00000000" w:usb3="00000000" w:csb0="00040000" w:csb1="00000000"/>
    <w:embedRegular r:id="rId4" w:fontKey="{5CD6476F-8BCA-49E5-A4BE-EECBFE497912}"/>
  </w:font>
  <w:font w:name="方正楷体_GBK">
    <w:panose1 w:val="03000509000000000000"/>
    <w:charset w:val="86"/>
    <w:family w:val="script"/>
    <w:pitch w:val="default"/>
    <w:sig w:usb0="00000001" w:usb1="080E0000" w:usb2="00000000" w:usb3="00000000" w:csb0="00040000" w:csb1="00000000"/>
    <w:embedRegular r:id="rId5" w:fontKey="{5D719946-7F45-4BCC-A3FF-3ED7F94D3595}"/>
  </w:font>
  <w:font w:name="等线">
    <w:panose1 w:val="02010600030101010101"/>
    <w:charset w:val="86"/>
    <w:family w:val="auto"/>
    <w:pitch w:val="default"/>
    <w:sig w:usb0="A00002BF" w:usb1="38CF7CFA" w:usb2="00000016" w:usb3="00000000" w:csb0="0004000F" w:csb1="00000000"/>
    <w:embedRegular r:id="rId6" w:fontKey="{1EE77F2D-8791-4B0E-BDFD-8D18BE5DFA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02872980"/>
      <w:docPartObj>
        <w:docPartGallery w:val="AutoText"/>
      </w:docPartObj>
    </w:sdtPr>
    <w:sdtEndPr>
      <w:rPr>
        <w:sz w:val="20"/>
        <w:szCs w:val="28"/>
      </w:rPr>
    </w:sdtEndPr>
    <w:sdtContent>
      <w:p>
        <w:pPr>
          <w:pStyle w:val="12"/>
          <w:jc w:val="center"/>
          <w:rPr>
            <w:sz w:val="20"/>
            <w:szCs w:val="28"/>
          </w:rPr>
        </w:pPr>
        <w:r>
          <w:rPr>
            <w:sz w:val="20"/>
            <w:szCs w:val="28"/>
          </w:rPr>
          <w:fldChar w:fldCharType="begin"/>
        </w:r>
        <w:r>
          <w:rPr>
            <w:sz w:val="20"/>
            <w:szCs w:val="28"/>
          </w:rPr>
          <w:instrText xml:space="preserve">PAGE   \* MERGEFORMAT</w:instrText>
        </w:r>
        <w:r>
          <w:rPr>
            <w:sz w:val="20"/>
            <w:szCs w:val="28"/>
          </w:rPr>
          <w:fldChar w:fldCharType="separate"/>
        </w:r>
        <w:r>
          <w:rPr>
            <w:sz w:val="20"/>
            <w:szCs w:val="28"/>
            <w:lang w:val="zh-CN"/>
          </w:rPr>
          <w:t>2</w:t>
        </w:r>
        <w:r>
          <w:rPr>
            <w:sz w:val="20"/>
            <w:szCs w:val="28"/>
          </w:rPr>
          <w:fldChar w:fldCharType="end"/>
        </w:r>
      </w:p>
    </w:sdtContent>
  </w:sdt>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jc w:val="center"/>
                            <w:rPr>
                              <w:rFonts w:asciiTheme="minorEastAsia" w:hAnsiTheme="minorEastAsia" w:cstheme="minorEastAsia"/>
                              <w:sz w:val="28"/>
                              <w:szCs w:val="28"/>
                            </w:rPr>
                          </w:pPr>
                          <w:r>
                            <w:rPr>
                              <w:rFonts w:asciiTheme="minorEastAsia" w:hAnsiTheme="minorEastAsia" w:cstheme="minorEastAsia"/>
                              <w:sz w:val="28"/>
                              <w:szCs w:val="28"/>
                            </w:rPr>
                            <w:fldChar w:fldCharType="begin"/>
                          </w:r>
                          <w:r>
                            <w:rPr>
                              <w:rFonts w:asciiTheme="minorEastAsia" w:hAnsiTheme="minorEastAsia" w:cstheme="minorEastAsia"/>
                              <w:sz w:val="28"/>
                              <w:szCs w:val="28"/>
                            </w:rPr>
                            <w:instrText xml:space="preserve"> PAGE  \* MERGEFORMAT </w:instrText>
                          </w:r>
                          <w:r>
                            <w:rPr>
                              <w:rFonts w:asciiTheme="minorEastAsia" w:hAnsiTheme="minorEastAsia" w:cstheme="minorEastAsia"/>
                              <w:sz w:val="28"/>
                              <w:szCs w:val="28"/>
                            </w:rPr>
                            <w:fldChar w:fldCharType="separate"/>
                          </w:r>
                          <w:r>
                            <w:rPr>
                              <w:rFonts w:asciiTheme="minorEastAsia" w:hAnsiTheme="minorEastAsia" w:cstheme="minorEastAsia"/>
                              <w:sz w:val="28"/>
                              <w:szCs w:val="28"/>
                            </w:rPr>
                            <w:t>II</w:t>
                          </w:r>
                          <w:r>
                            <w:rPr>
                              <w:rFonts w:asciiTheme="minorEastAsia" w:hAnsi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12"/>
                      <w:jc w:val="center"/>
                      <w:rPr>
                        <w:rFonts w:asciiTheme="minorEastAsia" w:hAnsiTheme="minorEastAsia" w:cstheme="minorEastAsia"/>
                        <w:sz w:val="28"/>
                        <w:szCs w:val="28"/>
                      </w:rPr>
                    </w:pPr>
                    <w:r>
                      <w:rPr>
                        <w:rFonts w:asciiTheme="minorEastAsia" w:hAnsiTheme="minorEastAsia" w:cstheme="minorEastAsia"/>
                        <w:sz w:val="28"/>
                        <w:szCs w:val="28"/>
                      </w:rPr>
                      <w:fldChar w:fldCharType="begin"/>
                    </w:r>
                    <w:r>
                      <w:rPr>
                        <w:rFonts w:asciiTheme="minorEastAsia" w:hAnsiTheme="minorEastAsia" w:cstheme="minorEastAsia"/>
                        <w:sz w:val="28"/>
                        <w:szCs w:val="28"/>
                      </w:rPr>
                      <w:instrText xml:space="preserve"> PAGE  \* MERGEFORMAT </w:instrText>
                    </w:r>
                    <w:r>
                      <w:rPr>
                        <w:rFonts w:asciiTheme="minorEastAsia" w:hAnsiTheme="minorEastAsia" w:cstheme="minorEastAsia"/>
                        <w:sz w:val="28"/>
                        <w:szCs w:val="28"/>
                      </w:rPr>
                      <w:fldChar w:fldCharType="separate"/>
                    </w:r>
                    <w:r>
                      <w:rPr>
                        <w:rFonts w:asciiTheme="minorEastAsia" w:hAnsiTheme="minorEastAsia" w:cstheme="minorEastAsia"/>
                        <w:sz w:val="28"/>
                        <w:szCs w:val="28"/>
                      </w:rPr>
                      <w:t>II</w:t>
                    </w:r>
                    <w:r>
                      <w:rPr>
                        <w:rFonts w:asciiTheme="minorEastAsia" w:hAnsiTheme="minorEastAsia" w:cstheme="minorEastAsia"/>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0288" behindDoc="0" locked="0" layoutInCell="1" allowOverlap="1">
              <wp:simplePos x="0" y="0"/>
              <wp:positionH relativeFrom="margin">
                <wp:posOffset>2756535</wp:posOffset>
              </wp:positionH>
              <wp:positionV relativeFrom="paragraph">
                <wp:posOffset>5080</wp:posOffset>
              </wp:positionV>
              <wp:extent cx="237490" cy="1828800"/>
              <wp:effectExtent l="0" t="0" r="10160" b="0"/>
              <wp:wrapNone/>
              <wp:docPr id="5" name="文本框 5"/>
              <wp:cNvGraphicFramePr/>
              <a:graphic xmlns:a="http://schemas.openxmlformats.org/drawingml/2006/main">
                <a:graphicData uri="http://schemas.microsoft.com/office/word/2010/wordprocessingShape">
                  <wps:wsp>
                    <wps:cNvSpPr txBox="1"/>
                    <wps:spPr>
                      <a:xfrm>
                        <a:off x="0" y="0"/>
                        <a:ext cx="237506"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17.05pt;margin-top:0.4pt;height:144pt;width:18.7pt;mso-position-horizontal-relative:margin;z-index:251660288;mso-width-relative:page;mso-height-relative:page;" filled="f" stroked="f" coordsize="21600,21600" o:gfxdata="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3kaaPtcAAAAIAQAADwAAAAAAAAABACAAAAAiAAAAZHJzL2Rvd25yZXYueG1s&#10;UEsBAhQAFAAAAAgAh07iQN3qeSwyAgAAVgQAAA4AAAAAAAAAAQAgAAAAJgEAAGRycy9lMm9Eb2Mu&#10;eG1sUEsFBgAAAAAGAAYAWQEAAMoFAAAAAA==&#10;">
              <v:fill on="f" focussize="0,0"/>
              <v:stroke on="f" weight="0.5pt"/>
              <v:imagedata o:title=""/>
              <o:lock v:ext="edit" aspectratio="f"/>
              <v:textbox inset="0mm,0mm,0mm,0mm" style="mso-fit-shape-to-text:t;">
                <w:txbxContent>
                  <w:p>
                    <w:pPr>
                      <w:pStyle w:val="12"/>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589A1E"/>
    <w:multiLevelType w:val="singleLevel"/>
    <w:tmpl w:val="88589A1E"/>
    <w:lvl w:ilvl="0" w:tentative="0">
      <w:start w:val="11"/>
      <w:numFmt w:val="decimal"/>
      <w:lvlText w:val="%1."/>
      <w:lvlJc w:val="left"/>
      <w:pPr>
        <w:tabs>
          <w:tab w:val="left" w:pos="312"/>
        </w:tabs>
      </w:pPr>
    </w:lvl>
  </w:abstractNum>
  <w:abstractNum w:abstractNumId="1">
    <w:nsid w:val="A6F04228"/>
    <w:multiLevelType w:val="singleLevel"/>
    <w:tmpl w:val="A6F04228"/>
    <w:lvl w:ilvl="0" w:tentative="0">
      <w:start w:val="1"/>
      <w:numFmt w:val="decimal"/>
      <w:suff w:val="space"/>
      <w:lvlText w:val="%1."/>
      <w:lvlJc w:val="left"/>
      <w:pPr>
        <w:ind w:left="-1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RkYTI5MWEyY2VhODBjMDU5MzExNDBiODBmYWE2YTQifQ=="/>
  </w:docVars>
  <w:rsids>
    <w:rsidRoot w:val="00172A27"/>
    <w:rsid w:val="00011E8A"/>
    <w:rsid w:val="000204CA"/>
    <w:rsid w:val="0002415D"/>
    <w:rsid w:val="00027D06"/>
    <w:rsid w:val="00060A88"/>
    <w:rsid w:val="000A3112"/>
    <w:rsid w:val="000B5696"/>
    <w:rsid w:val="000B5730"/>
    <w:rsid w:val="000C6E21"/>
    <w:rsid w:val="000E0E1A"/>
    <w:rsid w:val="000F598C"/>
    <w:rsid w:val="000F7BB7"/>
    <w:rsid w:val="001232AC"/>
    <w:rsid w:val="00143557"/>
    <w:rsid w:val="00155982"/>
    <w:rsid w:val="00172A27"/>
    <w:rsid w:val="00195163"/>
    <w:rsid w:val="001A7B80"/>
    <w:rsid w:val="00212923"/>
    <w:rsid w:val="002261FF"/>
    <w:rsid w:val="002309B6"/>
    <w:rsid w:val="00246A99"/>
    <w:rsid w:val="00257994"/>
    <w:rsid w:val="00281A3B"/>
    <w:rsid w:val="00282A63"/>
    <w:rsid w:val="0029782C"/>
    <w:rsid w:val="002B60F2"/>
    <w:rsid w:val="002C4D13"/>
    <w:rsid w:val="002D0AFA"/>
    <w:rsid w:val="00302061"/>
    <w:rsid w:val="003113DD"/>
    <w:rsid w:val="00327A7C"/>
    <w:rsid w:val="00381D94"/>
    <w:rsid w:val="00383331"/>
    <w:rsid w:val="003A0156"/>
    <w:rsid w:val="003C19E1"/>
    <w:rsid w:val="003C411B"/>
    <w:rsid w:val="003E47A5"/>
    <w:rsid w:val="003F30C4"/>
    <w:rsid w:val="00431407"/>
    <w:rsid w:val="00441D97"/>
    <w:rsid w:val="00442E77"/>
    <w:rsid w:val="00447A03"/>
    <w:rsid w:val="004822EE"/>
    <w:rsid w:val="00486D17"/>
    <w:rsid w:val="0049645F"/>
    <w:rsid w:val="004B7687"/>
    <w:rsid w:val="004C1CE6"/>
    <w:rsid w:val="004F4464"/>
    <w:rsid w:val="005107A3"/>
    <w:rsid w:val="00514084"/>
    <w:rsid w:val="005150D9"/>
    <w:rsid w:val="00520356"/>
    <w:rsid w:val="00537D99"/>
    <w:rsid w:val="005664AD"/>
    <w:rsid w:val="00567F2A"/>
    <w:rsid w:val="00572C77"/>
    <w:rsid w:val="005738F9"/>
    <w:rsid w:val="0059095B"/>
    <w:rsid w:val="005A06BF"/>
    <w:rsid w:val="005D393E"/>
    <w:rsid w:val="00654FB6"/>
    <w:rsid w:val="00683D5D"/>
    <w:rsid w:val="0068686F"/>
    <w:rsid w:val="00696B76"/>
    <w:rsid w:val="006B64A2"/>
    <w:rsid w:val="006D59E3"/>
    <w:rsid w:val="0071561B"/>
    <w:rsid w:val="00721BA6"/>
    <w:rsid w:val="007356AB"/>
    <w:rsid w:val="00740768"/>
    <w:rsid w:val="00751E81"/>
    <w:rsid w:val="00754D60"/>
    <w:rsid w:val="0076356E"/>
    <w:rsid w:val="00764BAF"/>
    <w:rsid w:val="007921CB"/>
    <w:rsid w:val="007A1DFF"/>
    <w:rsid w:val="007C1670"/>
    <w:rsid w:val="007C3871"/>
    <w:rsid w:val="007D140D"/>
    <w:rsid w:val="007F6CB9"/>
    <w:rsid w:val="00806926"/>
    <w:rsid w:val="00806FF6"/>
    <w:rsid w:val="00815582"/>
    <w:rsid w:val="008204BE"/>
    <w:rsid w:val="00823A29"/>
    <w:rsid w:val="0084608F"/>
    <w:rsid w:val="0086684C"/>
    <w:rsid w:val="00871C1C"/>
    <w:rsid w:val="0087433A"/>
    <w:rsid w:val="008769C1"/>
    <w:rsid w:val="00883DAD"/>
    <w:rsid w:val="008A58CB"/>
    <w:rsid w:val="00904005"/>
    <w:rsid w:val="00921425"/>
    <w:rsid w:val="00932E42"/>
    <w:rsid w:val="00977A6D"/>
    <w:rsid w:val="0099143F"/>
    <w:rsid w:val="009A47FE"/>
    <w:rsid w:val="009B036D"/>
    <w:rsid w:val="009B23E9"/>
    <w:rsid w:val="009C483F"/>
    <w:rsid w:val="009F17B6"/>
    <w:rsid w:val="00A2228E"/>
    <w:rsid w:val="00A45CCB"/>
    <w:rsid w:val="00A460BC"/>
    <w:rsid w:val="00AA4C7E"/>
    <w:rsid w:val="00AB07D1"/>
    <w:rsid w:val="00AC59C9"/>
    <w:rsid w:val="00AD62FA"/>
    <w:rsid w:val="00AD63FE"/>
    <w:rsid w:val="00AF0AB3"/>
    <w:rsid w:val="00B16C8E"/>
    <w:rsid w:val="00B275AA"/>
    <w:rsid w:val="00B27793"/>
    <w:rsid w:val="00B5602D"/>
    <w:rsid w:val="00B7172A"/>
    <w:rsid w:val="00B87D80"/>
    <w:rsid w:val="00BA2C0D"/>
    <w:rsid w:val="00BC1580"/>
    <w:rsid w:val="00BE3902"/>
    <w:rsid w:val="00C0533C"/>
    <w:rsid w:val="00C07684"/>
    <w:rsid w:val="00C241BC"/>
    <w:rsid w:val="00C3560C"/>
    <w:rsid w:val="00C40DF0"/>
    <w:rsid w:val="00C85545"/>
    <w:rsid w:val="00C94C58"/>
    <w:rsid w:val="00CB3D54"/>
    <w:rsid w:val="00CC0452"/>
    <w:rsid w:val="00D17448"/>
    <w:rsid w:val="00D21195"/>
    <w:rsid w:val="00D228CE"/>
    <w:rsid w:val="00D3606D"/>
    <w:rsid w:val="00D4709E"/>
    <w:rsid w:val="00D53B35"/>
    <w:rsid w:val="00D969DA"/>
    <w:rsid w:val="00DB1CCC"/>
    <w:rsid w:val="00DB3D24"/>
    <w:rsid w:val="00DC6D96"/>
    <w:rsid w:val="00DE7B35"/>
    <w:rsid w:val="00E02AEF"/>
    <w:rsid w:val="00E2591D"/>
    <w:rsid w:val="00E408F6"/>
    <w:rsid w:val="00E57942"/>
    <w:rsid w:val="00E6110C"/>
    <w:rsid w:val="00E62921"/>
    <w:rsid w:val="00E67060"/>
    <w:rsid w:val="00E80F60"/>
    <w:rsid w:val="00E835BB"/>
    <w:rsid w:val="00E93D13"/>
    <w:rsid w:val="00EB026D"/>
    <w:rsid w:val="00EB3218"/>
    <w:rsid w:val="00EE04B1"/>
    <w:rsid w:val="00EF5B61"/>
    <w:rsid w:val="00EF76A6"/>
    <w:rsid w:val="00F10891"/>
    <w:rsid w:val="00F2421C"/>
    <w:rsid w:val="00F24BDE"/>
    <w:rsid w:val="00F51692"/>
    <w:rsid w:val="00F66AE4"/>
    <w:rsid w:val="00F97F6B"/>
    <w:rsid w:val="00FC6748"/>
    <w:rsid w:val="00FD4502"/>
    <w:rsid w:val="00FE1D1B"/>
    <w:rsid w:val="00FE6244"/>
    <w:rsid w:val="010374E4"/>
    <w:rsid w:val="01123B2E"/>
    <w:rsid w:val="017643E1"/>
    <w:rsid w:val="0196640D"/>
    <w:rsid w:val="01D270A8"/>
    <w:rsid w:val="021E5AE0"/>
    <w:rsid w:val="023C26DE"/>
    <w:rsid w:val="02D037A6"/>
    <w:rsid w:val="02F0564C"/>
    <w:rsid w:val="02F269B2"/>
    <w:rsid w:val="02F470A7"/>
    <w:rsid w:val="0304711C"/>
    <w:rsid w:val="038218DD"/>
    <w:rsid w:val="03AE1C8C"/>
    <w:rsid w:val="03B96F67"/>
    <w:rsid w:val="041554CA"/>
    <w:rsid w:val="043A4C48"/>
    <w:rsid w:val="04D8201A"/>
    <w:rsid w:val="04E25E6E"/>
    <w:rsid w:val="059C7203"/>
    <w:rsid w:val="06075860"/>
    <w:rsid w:val="060A3078"/>
    <w:rsid w:val="064B5E2E"/>
    <w:rsid w:val="06A40D09"/>
    <w:rsid w:val="06C775E6"/>
    <w:rsid w:val="06F77092"/>
    <w:rsid w:val="076271A1"/>
    <w:rsid w:val="078E5B0A"/>
    <w:rsid w:val="07D951F0"/>
    <w:rsid w:val="07F42EF5"/>
    <w:rsid w:val="082463FC"/>
    <w:rsid w:val="08477D07"/>
    <w:rsid w:val="08493653"/>
    <w:rsid w:val="08733019"/>
    <w:rsid w:val="08965D3E"/>
    <w:rsid w:val="08BA5C16"/>
    <w:rsid w:val="08E94627"/>
    <w:rsid w:val="09681F95"/>
    <w:rsid w:val="09E0077E"/>
    <w:rsid w:val="09FB661F"/>
    <w:rsid w:val="0A480B18"/>
    <w:rsid w:val="0A5E09CA"/>
    <w:rsid w:val="0AFF4993"/>
    <w:rsid w:val="0B8427DB"/>
    <w:rsid w:val="0C7E5AE0"/>
    <w:rsid w:val="0CAD0AB3"/>
    <w:rsid w:val="0D0276CE"/>
    <w:rsid w:val="0D0D0593"/>
    <w:rsid w:val="0D161D5E"/>
    <w:rsid w:val="0D4312F7"/>
    <w:rsid w:val="0DCE3FDD"/>
    <w:rsid w:val="0DFD1992"/>
    <w:rsid w:val="0E972FA1"/>
    <w:rsid w:val="0ED83097"/>
    <w:rsid w:val="0EEB0666"/>
    <w:rsid w:val="0F057995"/>
    <w:rsid w:val="0F07389F"/>
    <w:rsid w:val="0F3A59C6"/>
    <w:rsid w:val="0FAB0DC0"/>
    <w:rsid w:val="10057133"/>
    <w:rsid w:val="11C04979"/>
    <w:rsid w:val="11C65193"/>
    <w:rsid w:val="122045D4"/>
    <w:rsid w:val="12353008"/>
    <w:rsid w:val="13207253"/>
    <w:rsid w:val="133350FE"/>
    <w:rsid w:val="1368345D"/>
    <w:rsid w:val="13C73F76"/>
    <w:rsid w:val="14AD2CEB"/>
    <w:rsid w:val="14E15B50"/>
    <w:rsid w:val="15013C75"/>
    <w:rsid w:val="15626658"/>
    <w:rsid w:val="156E36AA"/>
    <w:rsid w:val="15704C44"/>
    <w:rsid w:val="1588442D"/>
    <w:rsid w:val="159947F6"/>
    <w:rsid w:val="15D758C7"/>
    <w:rsid w:val="15E156D7"/>
    <w:rsid w:val="165976EE"/>
    <w:rsid w:val="16B57444"/>
    <w:rsid w:val="17000352"/>
    <w:rsid w:val="17613A36"/>
    <w:rsid w:val="17676BD4"/>
    <w:rsid w:val="17B92ECF"/>
    <w:rsid w:val="17C226DF"/>
    <w:rsid w:val="185A5CA0"/>
    <w:rsid w:val="18B16F95"/>
    <w:rsid w:val="19201D19"/>
    <w:rsid w:val="197D738E"/>
    <w:rsid w:val="19811050"/>
    <w:rsid w:val="199D68B6"/>
    <w:rsid w:val="19DE01AD"/>
    <w:rsid w:val="1A353EDD"/>
    <w:rsid w:val="1A866921"/>
    <w:rsid w:val="1B4126BC"/>
    <w:rsid w:val="1BF54DF5"/>
    <w:rsid w:val="1BFA023E"/>
    <w:rsid w:val="1C113F7A"/>
    <w:rsid w:val="1C6A7DA2"/>
    <w:rsid w:val="1C81670C"/>
    <w:rsid w:val="1C83147E"/>
    <w:rsid w:val="1C835F4A"/>
    <w:rsid w:val="1D361264"/>
    <w:rsid w:val="1E334DAF"/>
    <w:rsid w:val="1E8A6E7D"/>
    <w:rsid w:val="1ED16BA3"/>
    <w:rsid w:val="1EE37CCB"/>
    <w:rsid w:val="1F301F29"/>
    <w:rsid w:val="1F792DAF"/>
    <w:rsid w:val="1FF53D3A"/>
    <w:rsid w:val="202F6B40"/>
    <w:rsid w:val="209E5565"/>
    <w:rsid w:val="2120053F"/>
    <w:rsid w:val="212023E3"/>
    <w:rsid w:val="21371F5A"/>
    <w:rsid w:val="21A65880"/>
    <w:rsid w:val="21C06BFA"/>
    <w:rsid w:val="21C11B07"/>
    <w:rsid w:val="226648B9"/>
    <w:rsid w:val="226B2BEE"/>
    <w:rsid w:val="229E72C9"/>
    <w:rsid w:val="23B32608"/>
    <w:rsid w:val="23D27662"/>
    <w:rsid w:val="240619EC"/>
    <w:rsid w:val="24701FA2"/>
    <w:rsid w:val="247D1BD6"/>
    <w:rsid w:val="24A540E6"/>
    <w:rsid w:val="25755FDB"/>
    <w:rsid w:val="25B52FB1"/>
    <w:rsid w:val="25BC70C5"/>
    <w:rsid w:val="260A5C73"/>
    <w:rsid w:val="26A50D31"/>
    <w:rsid w:val="27402404"/>
    <w:rsid w:val="27421888"/>
    <w:rsid w:val="287156F7"/>
    <w:rsid w:val="28D10E9B"/>
    <w:rsid w:val="29564F26"/>
    <w:rsid w:val="29DB1D2D"/>
    <w:rsid w:val="29F83746"/>
    <w:rsid w:val="2A2F50F9"/>
    <w:rsid w:val="2A4D2A7B"/>
    <w:rsid w:val="2A5C0AFC"/>
    <w:rsid w:val="2B9E5F4F"/>
    <w:rsid w:val="2BA47CF5"/>
    <w:rsid w:val="2BD540F3"/>
    <w:rsid w:val="2C7B4DDF"/>
    <w:rsid w:val="2CBB6728"/>
    <w:rsid w:val="2CD01ECF"/>
    <w:rsid w:val="2CF62BF9"/>
    <w:rsid w:val="2D132AB5"/>
    <w:rsid w:val="2D270C0F"/>
    <w:rsid w:val="2D6F6F29"/>
    <w:rsid w:val="2D8440C0"/>
    <w:rsid w:val="2D9F1ABD"/>
    <w:rsid w:val="2DB56429"/>
    <w:rsid w:val="2DC41F00"/>
    <w:rsid w:val="2DD85145"/>
    <w:rsid w:val="2EBE22B0"/>
    <w:rsid w:val="2F3E257B"/>
    <w:rsid w:val="2F406BB9"/>
    <w:rsid w:val="2F7F42AF"/>
    <w:rsid w:val="2F8B41D9"/>
    <w:rsid w:val="2F9036F6"/>
    <w:rsid w:val="2FA806C9"/>
    <w:rsid w:val="2FB75F5C"/>
    <w:rsid w:val="301A2A29"/>
    <w:rsid w:val="306A3B78"/>
    <w:rsid w:val="30923199"/>
    <w:rsid w:val="31DE4E7A"/>
    <w:rsid w:val="32B15F9C"/>
    <w:rsid w:val="3303232F"/>
    <w:rsid w:val="332678D9"/>
    <w:rsid w:val="337D307B"/>
    <w:rsid w:val="33C732EA"/>
    <w:rsid w:val="33C91121"/>
    <w:rsid w:val="33F81516"/>
    <w:rsid w:val="34906108"/>
    <w:rsid w:val="349C3C2B"/>
    <w:rsid w:val="3544516B"/>
    <w:rsid w:val="363E4FC2"/>
    <w:rsid w:val="364B5606"/>
    <w:rsid w:val="36606FFB"/>
    <w:rsid w:val="367A1637"/>
    <w:rsid w:val="36AE298C"/>
    <w:rsid w:val="36DD4B1C"/>
    <w:rsid w:val="37363CAE"/>
    <w:rsid w:val="375F5311"/>
    <w:rsid w:val="37CE3561"/>
    <w:rsid w:val="37F31C7D"/>
    <w:rsid w:val="382C6352"/>
    <w:rsid w:val="38422C3B"/>
    <w:rsid w:val="38454988"/>
    <w:rsid w:val="397F3080"/>
    <w:rsid w:val="398941D8"/>
    <w:rsid w:val="39F304F8"/>
    <w:rsid w:val="3A2E1FFE"/>
    <w:rsid w:val="3ADA30BA"/>
    <w:rsid w:val="3AF919FC"/>
    <w:rsid w:val="3B0D78C9"/>
    <w:rsid w:val="3B335F33"/>
    <w:rsid w:val="3BA4203E"/>
    <w:rsid w:val="3C162DB0"/>
    <w:rsid w:val="3C220564"/>
    <w:rsid w:val="3C7336A8"/>
    <w:rsid w:val="3CB36D39"/>
    <w:rsid w:val="3E0461F3"/>
    <w:rsid w:val="3E611ACA"/>
    <w:rsid w:val="3F792CE1"/>
    <w:rsid w:val="3FBD5765"/>
    <w:rsid w:val="3FCB4DC3"/>
    <w:rsid w:val="400D757A"/>
    <w:rsid w:val="403B21F0"/>
    <w:rsid w:val="4085542A"/>
    <w:rsid w:val="40CB70AC"/>
    <w:rsid w:val="414F2AFD"/>
    <w:rsid w:val="41605725"/>
    <w:rsid w:val="41745BBA"/>
    <w:rsid w:val="41CA5EA9"/>
    <w:rsid w:val="41F54CFC"/>
    <w:rsid w:val="420D0C8E"/>
    <w:rsid w:val="421330AD"/>
    <w:rsid w:val="429935D9"/>
    <w:rsid w:val="429E00F8"/>
    <w:rsid w:val="433D42BC"/>
    <w:rsid w:val="435A5A05"/>
    <w:rsid w:val="43B66D30"/>
    <w:rsid w:val="44566C39"/>
    <w:rsid w:val="447E6974"/>
    <w:rsid w:val="44D17648"/>
    <w:rsid w:val="45570641"/>
    <w:rsid w:val="45C30313"/>
    <w:rsid w:val="4630735B"/>
    <w:rsid w:val="46317690"/>
    <w:rsid w:val="46785513"/>
    <w:rsid w:val="4683512B"/>
    <w:rsid w:val="47355D4D"/>
    <w:rsid w:val="477C09F8"/>
    <w:rsid w:val="47EF5B32"/>
    <w:rsid w:val="4871295F"/>
    <w:rsid w:val="488F73F5"/>
    <w:rsid w:val="48BD169A"/>
    <w:rsid w:val="49095805"/>
    <w:rsid w:val="49ED3342"/>
    <w:rsid w:val="4A0479E5"/>
    <w:rsid w:val="4AE170C4"/>
    <w:rsid w:val="4B7818BD"/>
    <w:rsid w:val="4B847502"/>
    <w:rsid w:val="4B942EAE"/>
    <w:rsid w:val="4BA160BD"/>
    <w:rsid w:val="4C5E5F1E"/>
    <w:rsid w:val="4C640D92"/>
    <w:rsid w:val="4C827077"/>
    <w:rsid w:val="4CA51B8D"/>
    <w:rsid w:val="4CDC683E"/>
    <w:rsid w:val="4D105A69"/>
    <w:rsid w:val="4D7B2E86"/>
    <w:rsid w:val="4DBA400E"/>
    <w:rsid w:val="4DD93C8D"/>
    <w:rsid w:val="4E56184E"/>
    <w:rsid w:val="4EBE36E2"/>
    <w:rsid w:val="4F8A5C02"/>
    <w:rsid w:val="4FD5355D"/>
    <w:rsid w:val="4FE44E93"/>
    <w:rsid w:val="50114F62"/>
    <w:rsid w:val="50374534"/>
    <w:rsid w:val="50513EC1"/>
    <w:rsid w:val="50C93B89"/>
    <w:rsid w:val="51167C8F"/>
    <w:rsid w:val="51326BB5"/>
    <w:rsid w:val="515E5D3B"/>
    <w:rsid w:val="517F1066"/>
    <w:rsid w:val="518C7400"/>
    <w:rsid w:val="51D77BFD"/>
    <w:rsid w:val="52A336C4"/>
    <w:rsid w:val="530A308B"/>
    <w:rsid w:val="537577E5"/>
    <w:rsid w:val="53DF4910"/>
    <w:rsid w:val="540132FD"/>
    <w:rsid w:val="54602626"/>
    <w:rsid w:val="54726C1A"/>
    <w:rsid w:val="54EF4578"/>
    <w:rsid w:val="55791E1D"/>
    <w:rsid w:val="55DE1BC9"/>
    <w:rsid w:val="560F1CD9"/>
    <w:rsid w:val="56132889"/>
    <w:rsid w:val="5638331E"/>
    <w:rsid w:val="5678589C"/>
    <w:rsid w:val="572F4A9E"/>
    <w:rsid w:val="57663552"/>
    <w:rsid w:val="5811113D"/>
    <w:rsid w:val="582201F0"/>
    <w:rsid w:val="585B619E"/>
    <w:rsid w:val="58744D91"/>
    <w:rsid w:val="587B79A9"/>
    <w:rsid w:val="598C4EB2"/>
    <w:rsid w:val="5A2C4C20"/>
    <w:rsid w:val="5A4B5488"/>
    <w:rsid w:val="5A692E4F"/>
    <w:rsid w:val="5A6D06CF"/>
    <w:rsid w:val="5AF05B68"/>
    <w:rsid w:val="5B23153C"/>
    <w:rsid w:val="5BCB6CC9"/>
    <w:rsid w:val="5BE059C4"/>
    <w:rsid w:val="5CA76B46"/>
    <w:rsid w:val="5E0654A4"/>
    <w:rsid w:val="5E0A6EF8"/>
    <w:rsid w:val="5E2160A6"/>
    <w:rsid w:val="5E5723A2"/>
    <w:rsid w:val="5E5C5768"/>
    <w:rsid w:val="5E660781"/>
    <w:rsid w:val="5F0E00C6"/>
    <w:rsid w:val="5F270B34"/>
    <w:rsid w:val="5F9368E7"/>
    <w:rsid w:val="5FD2369C"/>
    <w:rsid w:val="5FD4066C"/>
    <w:rsid w:val="609859C8"/>
    <w:rsid w:val="60A32504"/>
    <w:rsid w:val="60B43AE2"/>
    <w:rsid w:val="61680FB4"/>
    <w:rsid w:val="61AB3675"/>
    <w:rsid w:val="61C075EB"/>
    <w:rsid w:val="61CC7522"/>
    <w:rsid w:val="61D11C5E"/>
    <w:rsid w:val="61DA0780"/>
    <w:rsid w:val="61E4550C"/>
    <w:rsid w:val="6230661F"/>
    <w:rsid w:val="62364F39"/>
    <w:rsid w:val="62401D6A"/>
    <w:rsid w:val="62424900"/>
    <w:rsid w:val="6249207A"/>
    <w:rsid w:val="6257498F"/>
    <w:rsid w:val="6274294F"/>
    <w:rsid w:val="63753CF6"/>
    <w:rsid w:val="63762F32"/>
    <w:rsid w:val="63A80B97"/>
    <w:rsid w:val="63AC4562"/>
    <w:rsid w:val="63AD3EE5"/>
    <w:rsid w:val="649F23B7"/>
    <w:rsid w:val="64A70B4A"/>
    <w:rsid w:val="64AC49FF"/>
    <w:rsid w:val="651D00C4"/>
    <w:rsid w:val="655449ED"/>
    <w:rsid w:val="65582F21"/>
    <w:rsid w:val="658A35C7"/>
    <w:rsid w:val="658E51DF"/>
    <w:rsid w:val="65AF69A1"/>
    <w:rsid w:val="665525F1"/>
    <w:rsid w:val="666201D8"/>
    <w:rsid w:val="668B1ED8"/>
    <w:rsid w:val="66944781"/>
    <w:rsid w:val="67023693"/>
    <w:rsid w:val="67A05FCC"/>
    <w:rsid w:val="67B84BBD"/>
    <w:rsid w:val="67D4743F"/>
    <w:rsid w:val="67F2731D"/>
    <w:rsid w:val="68CC2478"/>
    <w:rsid w:val="69115271"/>
    <w:rsid w:val="691A34D8"/>
    <w:rsid w:val="692F2850"/>
    <w:rsid w:val="699377F4"/>
    <w:rsid w:val="699D7683"/>
    <w:rsid w:val="69EA09B2"/>
    <w:rsid w:val="6A491F9F"/>
    <w:rsid w:val="6A647425"/>
    <w:rsid w:val="6A7514E4"/>
    <w:rsid w:val="6AA42CC6"/>
    <w:rsid w:val="6AD549A9"/>
    <w:rsid w:val="6B1E2223"/>
    <w:rsid w:val="6B284195"/>
    <w:rsid w:val="6BB66BA6"/>
    <w:rsid w:val="6C15088B"/>
    <w:rsid w:val="6CF443EF"/>
    <w:rsid w:val="6CFB7EDD"/>
    <w:rsid w:val="6D0F3018"/>
    <w:rsid w:val="6D75672F"/>
    <w:rsid w:val="6DB43D4D"/>
    <w:rsid w:val="6DBB590E"/>
    <w:rsid w:val="6DEE40B9"/>
    <w:rsid w:val="6E1A3067"/>
    <w:rsid w:val="6F107829"/>
    <w:rsid w:val="6FDE0439"/>
    <w:rsid w:val="702B142E"/>
    <w:rsid w:val="70301F9A"/>
    <w:rsid w:val="70A34C6D"/>
    <w:rsid w:val="70A8432B"/>
    <w:rsid w:val="70EA5158"/>
    <w:rsid w:val="712B288D"/>
    <w:rsid w:val="71687633"/>
    <w:rsid w:val="716876CE"/>
    <w:rsid w:val="71F60F0A"/>
    <w:rsid w:val="721D7EED"/>
    <w:rsid w:val="726F274C"/>
    <w:rsid w:val="72702D46"/>
    <w:rsid w:val="727A3489"/>
    <w:rsid w:val="72B30C7E"/>
    <w:rsid w:val="73282889"/>
    <w:rsid w:val="738D2390"/>
    <w:rsid w:val="73AF407F"/>
    <w:rsid w:val="74446B9C"/>
    <w:rsid w:val="74947C27"/>
    <w:rsid w:val="74951F12"/>
    <w:rsid w:val="75675B45"/>
    <w:rsid w:val="76376E94"/>
    <w:rsid w:val="76FF1B62"/>
    <w:rsid w:val="771D3195"/>
    <w:rsid w:val="773E01EF"/>
    <w:rsid w:val="77890722"/>
    <w:rsid w:val="78137237"/>
    <w:rsid w:val="78373F75"/>
    <w:rsid w:val="78B17F4E"/>
    <w:rsid w:val="78F53783"/>
    <w:rsid w:val="7979590E"/>
    <w:rsid w:val="79D4236A"/>
    <w:rsid w:val="79EE594B"/>
    <w:rsid w:val="7A8712F2"/>
    <w:rsid w:val="7AA35E86"/>
    <w:rsid w:val="7B136D4C"/>
    <w:rsid w:val="7B144981"/>
    <w:rsid w:val="7B3550F6"/>
    <w:rsid w:val="7B975317"/>
    <w:rsid w:val="7BDB4480"/>
    <w:rsid w:val="7BDE1E06"/>
    <w:rsid w:val="7C077EA5"/>
    <w:rsid w:val="7C095BD7"/>
    <w:rsid w:val="7C484337"/>
    <w:rsid w:val="7C8A1836"/>
    <w:rsid w:val="7CD93C01"/>
    <w:rsid w:val="7D747503"/>
    <w:rsid w:val="7DB626CB"/>
    <w:rsid w:val="7E661341"/>
    <w:rsid w:val="7E84306C"/>
    <w:rsid w:val="7E886DAB"/>
    <w:rsid w:val="7EA44BE0"/>
    <w:rsid w:val="7EBD4DD8"/>
    <w:rsid w:val="7F061A83"/>
    <w:rsid w:val="7F720238"/>
    <w:rsid w:val="7F964D45"/>
    <w:rsid w:val="7FC547D6"/>
    <w:rsid w:val="7FD27D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99"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99"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unhideWhenUsed/>
    <w:qFormat/>
    <w:uiPriority w:val="0"/>
    <w:pPr>
      <w:keepNext/>
      <w:keepLines/>
      <w:spacing w:before="260" w:after="260" w:line="416" w:lineRule="auto"/>
      <w:outlineLvl w:val="2"/>
    </w:pPr>
    <w:rPr>
      <w:b/>
      <w:bCs/>
      <w:sz w:val="32"/>
      <w:szCs w:val="32"/>
    </w:rPr>
  </w:style>
  <w:style w:type="paragraph" w:styleId="7">
    <w:name w:val="heading 4"/>
    <w:basedOn w:val="1"/>
    <w:next w:val="1"/>
    <w:semiHidden/>
    <w:unhideWhenUsed/>
    <w:qFormat/>
    <w:uiPriority w:val="0"/>
    <w:pPr>
      <w:keepNext/>
      <w:keepLines/>
      <w:spacing w:before="280" w:after="290" w:line="372" w:lineRule="auto"/>
      <w:outlineLvl w:val="3"/>
    </w:pPr>
    <w:rPr>
      <w:rFonts w:ascii="Arial" w:hAnsi="Arial" w:eastAsia="黑体"/>
      <w:b/>
      <w:sz w:val="28"/>
    </w:rPr>
  </w:style>
  <w:style w:type="paragraph" w:styleId="8">
    <w:name w:val="heading 5"/>
    <w:basedOn w:val="1"/>
    <w:next w:val="1"/>
    <w:semiHidden/>
    <w:unhideWhenUsed/>
    <w:qFormat/>
    <w:uiPriority w:val="0"/>
    <w:pPr>
      <w:keepNext/>
      <w:keepLines/>
      <w:spacing w:before="280" w:after="290" w:line="372" w:lineRule="auto"/>
      <w:outlineLvl w:val="4"/>
    </w:pPr>
    <w:rPr>
      <w:b/>
      <w:sz w:val="28"/>
    </w:rPr>
  </w:style>
  <w:style w:type="character" w:default="1" w:styleId="21">
    <w:name w:val="Default Paragraph Font"/>
    <w:semiHidden/>
    <w:unhideWhenUsed/>
    <w:uiPriority w:val="1"/>
  </w:style>
  <w:style w:type="table" w:default="1" w:styleId="19">
    <w:name w:val="Normal Table"/>
    <w:semiHidden/>
    <w:unhideWhenUsed/>
    <w:uiPriority w:val="99"/>
    <w:tblPr>
      <w:tblCellMar>
        <w:top w:w="0" w:type="dxa"/>
        <w:left w:w="108" w:type="dxa"/>
        <w:bottom w:w="0" w:type="dxa"/>
        <w:right w:w="108" w:type="dxa"/>
      </w:tblCellMar>
    </w:tblPr>
  </w:style>
  <w:style w:type="paragraph" w:styleId="2">
    <w:name w:val="Body Text First Indent"/>
    <w:basedOn w:val="3"/>
    <w:link w:val="61"/>
    <w:semiHidden/>
    <w:unhideWhenUsed/>
    <w:qFormat/>
    <w:uiPriority w:val="99"/>
    <w:pPr>
      <w:ind w:firstLine="420" w:firstLineChars="100"/>
    </w:pPr>
  </w:style>
  <w:style w:type="paragraph" w:styleId="3">
    <w:name w:val="Body Text"/>
    <w:basedOn w:val="1"/>
    <w:next w:val="4"/>
    <w:link w:val="62"/>
    <w:semiHidden/>
    <w:unhideWhenUsed/>
    <w:qFormat/>
    <w:uiPriority w:val="99"/>
    <w:pPr>
      <w:spacing w:after="120"/>
    </w:pPr>
  </w:style>
  <w:style w:type="paragraph" w:customStyle="1" w:styleId="4">
    <w:name w:val="索引 51"/>
    <w:basedOn w:val="1"/>
    <w:next w:val="1"/>
    <w:qFormat/>
    <w:uiPriority w:val="0"/>
    <w:pPr>
      <w:ind w:left="1680"/>
    </w:pPr>
  </w:style>
  <w:style w:type="paragraph" w:styleId="9">
    <w:name w:val="annotation text"/>
    <w:basedOn w:val="1"/>
    <w:link w:val="45"/>
    <w:qFormat/>
    <w:uiPriority w:val="0"/>
    <w:pPr>
      <w:jc w:val="left"/>
    </w:pPr>
  </w:style>
  <w:style w:type="paragraph" w:styleId="10">
    <w:name w:val="toc 3"/>
    <w:basedOn w:val="1"/>
    <w:next w:val="1"/>
    <w:qFormat/>
    <w:uiPriority w:val="39"/>
    <w:pPr>
      <w:ind w:left="840" w:leftChars="400"/>
    </w:pPr>
  </w:style>
  <w:style w:type="paragraph" w:styleId="11">
    <w:name w:val="Balloon Text"/>
    <w:basedOn w:val="1"/>
    <w:link w:val="60"/>
    <w:qFormat/>
    <w:uiPriority w:val="0"/>
    <w:rPr>
      <w:sz w:val="18"/>
      <w:szCs w:val="18"/>
    </w:rPr>
  </w:style>
  <w:style w:type="paragraph" w:styleId="12">
    <w:name w:val="footer"/>
    <w:basedOn w:val="1"/>
    <w:link w:val="67"/>
    <w:qFormat/>
    <w:uiPriority w:val="99"/>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toc 1"/>
    <w:basedOn w:val="1"/>
    <w:next w:val="1"/>
    <w:qFormat/>
    <w:uiPriority w:val="39"/>
  </w:style>
  <w:style w:type="paragraph" w:styleId="15">
    <w:name w:val="footnote text"/>
    <w:basedOn w:val="1"/>
    <w:qFormat/>
    <w:uiPriority w:val="99"/>
    <w:pPr>
      <w:snapToGrid w:val="0"/>
      <w:jc w:val="left"/>
    </w:pPr>
    <w:rPr>
      <w:rFonts w:ascii="Times New Roman" w:hAnsi="Times New Roman" w:eastAsia="宋体" w:cs="Times New Roman"/>
      <w:sz w:val="18"/>
      <w:szCs w:val="18"/>
    </w:rPr>
  </w:style>
  <w:style w:type="paragraph" w:styleId="16">
    <w:name w:val="toc 2"/>
    <w:basedOn w:val="1"/>
    <w:next w:val="1"/>
    <w:qFormat/>
    <w:uiPriority w:val="39"/>
    <w:pPr>
      <w:ind w:left="420" w:leftChars="200"/>
    </w:pPr>
  </w:style>
  <w:style w:type="paragraph" w:styleId="17">
    <w:name w:val="Normal (Web)"/>
    <w:basedOn w:val="1"/>
    <w:qFormat/>
    <w:uiPriority w:val="0"/>
    <w:pPr>
      <w:spacing w:beforeAutospacing="1" w:afterAutospacing="1"/>
      <w:jc w:val="left"/>
    </w:pPr>
    <w:rPr>
      <w:rFonts w:cs="Times New Roman"/>
      <w:kern w:val="0"/>
      <w:sz w:val="24"/>
    </w:rPr>
  </w:style>
  <w:style w:type="paragraph" w:styleId="18">
    <w:name w:val="annotation subject"/>
    <w:basedOn w:val="9"/>
    <w:next w:val="9"/>
    <w:link w:val="46"/>
    <w:qFormat/>
    <w:uiPriority w:val="0"/>
    <w:rPr>
      <w:b/>
      <w:bCs/>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bCs/>
    </w:rPr>
  </w:style>
  <w:style w:type="character" w:styleId="23">
    <w:name w:val="FollowedHyperlink"/>
    <w:basedOn w:val="21"/>
    <w:qFormat/>
    <w:uiPriority w:val="0"/>
    <w:rPr>
      <w:color w:val="800080"/>
      <w:u w:val="none"/>
    </w:rPr>
  </w:style>
  <w:style w:type="character" w:styleId="24">
    <w:name w:val="Emphasis"/>
    <w:basedOn w:val="21"/>
    <w:qFormat/>
    <w:uiPriority w:val="0"/>
    <w:rPr>
      <w:color w:val="D9001B"/>
    </w:rPr>
  </w:style>
  <w:style w:type="character" w:styleId="25">
    <w:name w:val="Hyperlink"/>
    <w:basedOn w:val="21"/>
    <w:qFormat/>
    <w:uiPriority w:val="99"/>
    <w:rPr>
      <w:color w:val="0000FF"/>
      <w:u w:val="none"/>
    </w:rPr>
  </w:style>
  <w:style w:type="character" w:styleId="26">
    <w:name w:val="annotation reference"/>
    <w:basedOn w:val="21"/>
    <w:qFormat/>
    <w:uiPriority w:val="0"/>
    <w:rPr>
      <w:sz w:val="21"/>
      <w:szCs w:val="21"/>
    </w:rPr>
  </w:style>
  <w:style w:type="character" w:styleId="27">
    <w:name w:val="footnote reference"/>
    <w:basedOn w:val="21"/>
    <w:qFormat/>
    <w:uiPriority w:val="99"/>
    <w:rPr>
      <w:vertAlign w:val="superscript"/>
    </w:rPr>
  </w:style>
  <w:style w:type="paragraph" w:styleId="28">
    <w:name w:val="List Paragraph"/>
    <w:basedOn w:val="1"/>
    <w:qFormat/>
    <w:uiPriority w:val="34"/>
    <w:pPr>
      <w:ind w:firstLine="420" w:firstLineChars="200"/>
    </w:pPr>
  </w:style>
  <w:style w:type="paragraph" w:customStyle="1" w:styleId="29">
    <w:name w:val="z正文"/>
    <w:basedOn w:val="2"/>
    <w:qFormat/>
    <w:uiPriority w:val="0"/>
    <w:pPr>
      <w:widowControl/>
      <w:spacing w:after="0"/>
      <w:ind w:firstLine="200" w:firstLineChars="200"/>
      <w:jc w:val="left"/>
    </w:pPr>
    <w:rPr>
      <w:rFonts w:ascii="仿宋" w:hAnsi="仿宋" w:cs="Times New Roman"/>
      <w:kern w:val="0"/>
      <w:sz w:val="24"/>
      <w:szCs w:val="28"/>
      <w:lang w:eastAsia="en-US"/>
    </w:rPr>
  </w:style>
  <w:style w:type="character" w:customStyle="1" w:styleId="30">
    <w:name w:val="font31"/>
    <w:basedOn w:val="21"/>
    <w:qFormat/>
    <w:uiPriority w:val="0"/>
    <w:rPr>
      <w:rFonts w:hint="default" w:ascii="Times New Roman" w:hAnsi="Times New Roman" w:cs="Times New Roman"/>
      <w:color w:val="000000"/>
      <w:sz w:val="20"/>
      <w:szCs w:val="20"/>
      <w:u w:val="none"/>
    </w:rPr>
  </w:style>
  <w:style w:type="character" w:customStyle="1" w:styleId="31">
    <w:name w:val="font81"/>
    <w:basedOn w:val="21"/>
    <w:qFormat/>
    <w:uiPriority w:val="0"/>
    <w:rPr>
      <w:rFonts w:hint="default" w:ascii="Times New Roman" w:hAnsi="Times New Roman" w:cs="Times New Roman"/>
      <w:color w:val="000000"/>
      <w:sz w:val="20"/>
      <w:szCs w:val="20"/>
      <w:u w:val="none"/>
    </w:rPr>
  </w:style>
  <w:style w:type="character" w:customStyle="1" w:styleId="32">
    <w:name w:val="font91"/>
    <w:basedOn w:val="21"/>
    <w:qFormat/>
    <w:uiPriority w:val="0"/>
    <w:rPr>
      <w:rFonts w:hint="eastAsia" w:ascii="宋体" w:hAnsi="宋体" w:eastAsia="宋体" w:cs="宋体"/>
      <w:color w:val="000000"/>
      <w:sz w:val="20"/>
      <w:szCs w:val="20"/>
      <w:u w:val="none"/>
    </w:rPr>
  </w:style>
  <w:style w:type="character" w:customStyle="1" w:styleId="33">
    <w:name w:val="font61"/>
    <w:basedOn w:val="21"/>
    <w:qFormat/>
    <w:uiPriority w:val="0"/>
    <w:rPr>
      <w:rFonts w:hint="default" w:ascii="Times New Roman" w:hAnsi="Times New Roman" w:cs="Times New Roman"/>
      <w:color w:val="000000"/>
      <w:sz w:val="22"/>
      <w:szCs w:val="22"/>
      <w:u w:val="none"/>
    </w:rPr>
  </w:style>
  <w:style w:type="character" w:customStyle="1" w:styleId="34">
    <w:name w:val="font01"/>
    <w:basedOn w:val="21"/>
    <w:qFormat/>
    <w:uiPriority w:val="0"/>
    <w:rPr>
      <w:rFonts w:hint="eastAsia" w:ascii="宋体" w:hAnsi="宋体" w:eastAsia="宋体" w:cs="宋体"/>
      <w:color w:val="000000"/>
      <w:sz w:val="20"/>
      <w:szCs w:val="20"/>
      <w:u w:val="none"/>
    </w:rPr>
  </w:style>
  <w:style w:type="character" w:customStyle="1" w:styleId="35">
    <w:name w:val="font121"/>
    <w:basedOn w:val="21"/>
    <w:qFormat/>
    <w:uiPriority w:val="0"/>
    <w:rPr>
      <w:rFonts w:hint="default" w:ascii="Times New Roman" w:hAnsi="Times New Roman" w:cs="Times New Roman"/>
      <w:color w:val="000000"/>
      <w:sz w:val="20"/>
      <w:szCs w:val="20"/>
      <w:u w:val="none"/>
    </w:rPr>
  </w:style>
  <w:style w:type="character" w:customStyle="1" w:styleId="36">
    <w:name w:val="font21"/>
    <w:basedOn w:val="21"/>
    <w:qFormat/>
    <w:uiPriority w:val="0"/>
    <w:rPr>
      <w:rFonts w:hint="eastAsia" w:ascii="宋体" w:hAnsi="宋体" w:eastAsia="宋体" w:cs="宋体"/>
      <w:color w:val="000000"/>
      <w:sz w:val="20"/>
      <w:szCs w:val="20"/>
      <w:u w:val="none"/>
    </w:rPr>
  </w:style>
  <w:style w:type="character" w:customStyle="1" w:styleId="37">
    <w:name w:val="font71"/>
    <w:basedOn w:val="21"/>
    <w:qFormat/>
    <w:uiPriority w:val="0"/>
    <w:rPr>
      <w:rFonts w:hint="default" w:ascii="Times New Roman" w:hAnsi="Times New Roman" w:cs="Times New Roman"/>
      <w:color w:val="000000"/>
      <w:sz w:val="20"/>
      <w:szCs w:val="20"/>
      <w:u w:val="none"/>
    </w:rPr>
  </w:style>
  <w:style w:type="character" w:customStyle="1" w:styleId="38">
    <w:name w:val="font131"/>
    <w:basedOn w:val="21"/>
    <w:qFormat/>
    <w:uiPriority w:val="0"/>
    <w:rPr>
      <w:rFonts w:hint="eastAsia" w:ascii="宋体" w:hAnsi="宋体" w:eastAsia="宋体" w:cs="宋体"/>
      <w:color w:val="FF0000"/>
      <w:sz w:val="22"/>
      <w:szCs w:val="22"/>
      <w:u w:val="none"/>
    </w:rPr>
  </w:style>
  <w:style w:type="character" w:customStyle="1" w:styleId="39">
    <w:name w:val="font51"/>
    <w:basedOn w:val="21"/>
    <w:qFormat/>
    <w:uiPriority w:val="0"/>
    <w:rPr>
      <w:rFonts w:hint="eastAsia" w:ascii="宋体" w:hAnsi="宋体" w:eastAsia="宋体" w:cs="宋体"/>
      <w:color w:val="000000"/>
      <w:sz w:val="22"/>
      <w:szCs w:val="22"/>
      <w:u w:val="none"/>
    </w:rPr>
  </w:style>
  <w:style w:type="character" w:customStyle="1" w:styleId="40">
    <w:name w:val="tt-w52"/>
    <w:basedOn w:val="21"/>
    <w:qFormat/>
    <w:uiPriority w:val="0"/>
  </w:style>
  <w:style w:type="character" w:customStyle="1" w:styleId="41">
    <w:name w:val="font41"/>
    <w:basedOn w:val="21"/>
    <w:qFormat/>
    <w:uiPriority w:val="0"/>
    <w:rPr>
      <w:rFonts w:hint="default" w:ascii="Times New Roman" w:hAnsi="Times New Roman" w:cs="Times New Roman"/>
      <w:color w:val="000000"/>
      <w:sz w:val="20"/>
      <w:szCs w:val="20"/>
      <w:u w:val="none"/>
    </w:rPr>
  </w:style>
  <w:style w:type="character" w:customStyle="1" w:styleId="42">
    <w:name w:val="font112"/>
    <w:basedOn w:val="21"/>
    <w:qFormat/>
    <w:uiPriority w:val="0"/>
    <w:rPr>
      <w:rFonts w:hint="eastAsia" w:ascii="宋体" w:hAnsi="宋体" w:eastAsia="宋体" w:cs="宋体"/>
      <w:color w:val="FF0000"/>
      <w:sz w:val="22"/>
      <w:szCs w:val="22"/>
      <w:u w:val="none"/>
    </w:rPr>
  </w:style>
  <w:style w:type="character" w:customStyle="1" w:styleId="43">
    <w:name w:val="font141"/>
    <w:basedOn w:val="21"/>
    <w:qFormat/>
    <w:uiPriority w:val="0"/>
    <w:rPr>
      <w:rFonts w:hint="eastAsia" w:ascii="宋体" w:hAnsi="宋体" w:eastAsia="宋体" w:cs="宋体"/>
      <w:color w:val="FF0000"/>
      <w:sz w:val="22"/>
      <w:szCs w:val="22"/>
      <w:u w:val="none"/>
    </w:rPr>
  </w:style>
  <w:style w:type="paragraph" w:customStyle="1" w:styleId="44">
    <w:name w:val="修订1"/>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45">
    <w:name w:val="批注文字 字符"/>
    <w:basedOn w:val="21"/>
    <w:link w:val="9"/>
    <w:qFormat/>
    <w:uiPriority w:val="0"/>
    <w:rPr>
      <w:rFonts w:asciiTheme="minorHAnsi" w:hAnsiTheme="minorHAnsi" w:eastAsiaTheme="minorEastAsia" w:cstheme="minorBidi"/>
      <w:kern w:val="2"/>
      <w:sz w:val="21"/>
      <w:szCs w:val="24"/>
    </w:rPr>
  </w:style>
  <w:style w:type="character" w:customStyle="1" w:styleId="46">
    <w:name w:val="批注主题 字符"/>
    <w:basedOn w:val="45"/>
    <w:link w:val="18"/>
    <w:qFormat/>
    <w:uiPriority w:val="0"/>
    <w:rPr>
      <w:rFonts w:asciiTheme="minorHAnsi" w:hAnsiTheme="minorHAnsi" w:eastAsiaTheme="minorEastAsia" w:cstheme="minorBidi"/>
      <w:b/>
      <w:bCs/>
      <w:kern w:val="2"/>
      <w:sz w:val="21"/>
      <w:szCs w:val="24"/>
    </w:rPr>
  </w:style>
  <w:style w:type="character" w:customStyle="1" w:styleId="47">
    <w:name w:val="bsharetext"/>
    <w:basedOn w:val="21"/>
    <w:qFormat/>
    <w:uiPriority w:val="0"/>
  </w:style>
  <w:style w:type="character" w:customStyle="1" w:styleId="48">
    <w:name w:val="layui-layer-tabnow"/>
    <w:basedOn w:val="21"/>
    <w:qFormat/>
    <w:uiPriority w:val="0"/>
    <w:rPr>
      <w:bdr w:val="single" w:color="CCCCCC" w:sz="4" w:space="0"/>
      <w:shd w:val="clear" w:color="auto" w:fill="FFFFFF"/>
    </w:rPr>
  </w:style>
  <w:style w:type="character" w:customStyle="1" w:styleId="49">
    <w:name w:val="dropselect_box"/>
    <w:basedOn w:val="21"/>
    <w:qFormat/>
    <w:uiPriority w:val="0"/>
    <w:rPr>
      <w:bdr w:val="single" w:color="E2E2E2" w:sz="4" w:space="0"/>
    </w:rPr>
  </w:style>
  <w:style w:type="character" w:customStyle="1" w:styleId="50">
    <w:name w:val="first-child"/>
    <w:basedOn w:val="21"/>
    <w:qFormat/>
    <w:uiPriority w:val="0"/>
  </w:style>
  <w:style w:type="character" w:customStyle="1" w:styleId="51">
    <w:name w:val="font11"/>
    <w:basedOn w:val="21"/>
    <w:qFormat/>
    <w:uiPriority w:val="0"/>
    <w:rPr>
      <w:rFonts w:hint="eastAsia" w:ascii="宋体" w:hAnsi="宋体" w:eastAsia="宋体" w:cs="宋体"/>
      <w:color w:val="000000"/>
      <w:sz w:val="20"/>
      <w:szCs w:val="20"/>
      <w:u w:val="none"/>
    </w:rPr>
  </w:style>
  <w:style w:type="paragraph" w:customStyle="1" w:styleId="52">
    <w:name w:val="Default"/>
    <w:autoRedefine/>
    <w:unhideWhenUsed/>
    <w:qFormat/>
    <w:uiPriority w:val="99"/>
    <w:pPr>
      <w:widowControl w:val="0"/>
      <w:autoSpaceDE w:val="0"/>
      <w:autoSpaceDN w:val="0"/>
      <w:adjustRightInd w:val="0"/>
    </w:pPr>
    <w:rPr>
      <w:rFonts w:hint="eastAsia" w:ascii="仿宋_GB2312" w:hAnsi="仿宋_GB2312" w:eastAsia="仿宋_GB2312" w:cs="Times New Roman"/>
      <w:color w:val="000000"/>
      <w:sz w:val="24"/>
      <w:szCs w:val="24"/>
      <w:lang w:val="en-US" w:eastAsia="zh-CN" w:bidi="ar-SA"/>
    </w:rPr>
  </w:style>
  <w:style w:type="character" w:customStyle="1" w:styleId="53">
    <w:name w:val="font101"/>
    <w:basedOn w:val="21"/>
    <w:qFormat/>
    <w:uiPriority w:val="0"/>
    <w:rPr>
      <w:rFonts w:hint="eastAsia" w:ascii="宋体" w:hAnsi="宋体" w:eastAsia="宋体" w:cs="宋体"/>
      <w:color w:val="FF0000"/>
      <w:sz w:val="20"/>
      <w:szCs w:val="20"/>
      <w:u w:val="none"/>
    </w:rPr>
  </w:style>
  <w:style w:type="character" w:customStyle="1" w:styleId="54">
    <w:name w:val="font12"/>
    <w:basedOn w:val="21"/>
    <w:autoRedefine/>
    <w:qFormat/>
    <w:uiPriority w:val="0"/>
    <w:rPr>
      <w:rFonts w:hint="eastAsia" w:ascii="方正仿宋_GBK" w:hAnsi="方正仿宋_GBK" w:eastAsia="方正仿宋_GBK" w:cs="方正仿宋_GBK"/>
      <w:color w:val="000000"/>
      <w:sz w:val="22"/>
      <w:szCs w:val="22"/>
      <w:u w:val="none"/>
    </w:rPr>
  </w:style>
  <w:style w:type="paragraph" w:customStyle="1" w:styleId="55">
    <w:name w:val="修订2"/>
    <w:autoRedefine/>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56">
    <w:name w:val="修订3"/>
    <w:autoRedefine/>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57">
    <w:name w:val="font151"/>
    <w:basedOn w:val="21"/>
    <w:autoRedefine/>
    <w:qFormat/>
    <w:uiPriority w:val="0"/>
    <w:rPr>
      <w:rFonts w:hint="eastAsia" w:ascii="方正仿宋_GBK" w:hAnsi="方正仿宋_GBK" w:eastAsia="方正仿宋_GBK" w:cs="方正仿宋_GBK"/>
      <w:color w:val="000000"/>
      <w:sz w:val="22"/>
      <w:szCs w:val="22"/>
      <w:u w:val="none"/>
    </w:rPr>
  </w:style>
  <w:style w:type="paragraph" w:customStyle="1" w:styleId="58">
    <w:name w:val="修订4"/>
    <w:autoRedefine/>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59">
    <w:name w:val="我的正文"/>
    <w:basedOn w:val="1"/>
    <w:autoRedefine/>
    <w:qFormat/>
    <w:uiPriority w:val="0"/>
  </w:style>
  <w:style w:type="character" w:customStyle="1" w:styleId="60">
    <w:name w:val="批注框文本 字符"/>
    <w:basedOn w:val="21"/>
    <w:link w:val="11"/>
    <w:autoRedefine/>
    <w:qFormat/>
    <w:uiPriority w:val="0"/>
    <w:rPr>
      <w:rFonts w:asciiTheme="minorHAnsi" w:hAnsiTheme="minorHAnsi" w:eastAsiaTheme="minorEastAsia" w:cstheme="minorBidi"/>
      <w:kern w:val="2"/>
      <w:sz w:val="18"/>
      <w:szCs w:val="18"/>
    </w:rPr>
  </w:style>
  <w:style w:type="character" w:customStyle="1" w:styleId="61">
    <w:name w:val="正文文本首行缩进 字符"/>
    <w:basedOn w:val="62"/>
    <w:link w:val="2"/>
    <w:autoRedefine/>
    <w:qFormat/>
    <w:uiPriority w:val="0"/>
    <w:rPr>
      <w:rFonts w:hint="default" w:ascii="Calibri" w:hAnsi="Calibri" w:eastAsia="宋体" w:cs="Times New Roman"/>
      <w:kern w:val="2"/>
      <w:sz w:val="21"/>
      <w:szCs w:val="22"/>
    </w:rPr>
  </w:style>
  <w:style w:type="character" w:customStyle="1" w:styleId="62">
    <w:name w:val="正文文本 字符"/>
    <w:basedOn w:val="21"/>
    <w:link w:val="3"/>
    <w:autoRedefine/>
    <w:qFormat/>
    <w:uiPriority w:val="0"/>
    <w:rPr>
      <w:rFonts w:hint="default" w:ascii="Calibri" w:hAnsi="Calibri" w:eastAsia="宋体" w:cs="Times New Roman"/>
      <w:kern w:val="2"/>
      <w:sz w:val="21"/>
      <w:szCs w:val="22"/>
    </w:rPr>
  </w:style>
  <w:style w:type="character" w:customStyle="1" w:styleId="63">
    <w:name w:val="font111"/>
    <w:basedOn w:val="21"/>
    <w:qFormat/>
    <w:uiPriority w:val="0"/>
    <w:rPr>
      <w:rFonts w:hint="eastAsia" w:ascii="方正仿宋_GBK" w:hAnsi="方正仿宋_GBK" w:eastAsia="方正仿宋_GBK" w:cs="方正仿宋_GBK"/>
      <w:color w:val="000000"/>
      <w:sz w:val="20"/>
      <w:szCs w:val="20"/>
      <w:u w:val="none"/>
    </w:rPr>
  </w:style>
  <w:style w:type="character" w:customStyle="1" w:styleId="64">
    <w:name w:val="font122"/>
    <w:basedOn w:val="21"/>
    <w:autoRedefine/>
    <w:qFormat/>
    <w:uiPriority w:val="0"/>
    <w:rPr>
      <w:rFonts w:hint="eastAsia" w:ascii="方正仿宋_GBK" w:hAnsi="方正仿宋_GBK" w:eastAsia="方正仿宋_GBK" w:cs="方正仿宋_GBK"/>
      <w:color w:val="000000"/>
      <w:sz w:val="20"/>
      <w:szCs w:val="20"/>
      <w:u w:val="none"/>
    </w:rPr>
  </w:style>
  <w:style w:type="paragraph" w:customStyle="1" w:styleId="65">
    <w:name w:val="修订5"/>
    <w:autoRedefine/>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66">
    <w:name w:val="Revision"/>
    <w:autoRedefine/>
    <w: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67">
    <w:name w:val="页脚 字符"/>
    <w:basedOn w:val="21"/>
    <w:link w:val="12"/>
    <w:autoRedefine/>
    <w:qFormat/>
    <w:uiPriority w:val="99"/>
    <w:rPr>
      <w:rFonts w:asciiTheme="minorHAnsi" w:hAnsiTheme="minorHAnsi" w:eastAsiaTheme="minorEastAsia" w:cstheme="minorBidi"/>
      <w:kern w:val="2"/>
      <w:sz w:val="1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68</Pages>
  <Words>5878</Words>
  <Characters>33509</Characters>
  <Lines>279</Lines>
  <Paragraphs>78</Paragraphs>
  <TotalTime>6</TotalTime>
  <ScaleCrop>false</ScaleCrop>
  <LinksUpToDate>false</LinksUpToDate>
  <CharactersWithSpaces>39309</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2023-12-15T04:08:00Z</dcterms:created>
  <dc:creator>28356</dc:creator>
  <cp:lastModifiedBy>User</cp:lastModifiedBy>
  <cp:lastPrinted>2023-11-06T11:12:00Z</cp:lastPrinted>
  <dcterms:modified xsi:type="dcterms:W3CDTF">2024-01-03T06:47:41Z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80EB60632F574F78ADDB548266A137FD_13</vt:lpwstr>
  </property>
</Properties>
</file>