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23" w:firstLineChars="698"/>
        <w:jc w:val="both"/>
        <w:rPr>
          <w:rFonts w:hint="eastAsia" w:ascii="方正仿宋_GBK" w:eastAsia="方正仿宋_GBK"/>
          <w:b/>
          <w:bCs/>
          <w:sz w:val="36"/>
          <w:szCs w:val="36"/>
        </w:rPr>
      </w:pPr>
      <w:r>
        <w:rPr>
          <w:rFonts w:hint="eastAsia" w:ascii="方正仿宋_GBK" w:eastAsia="方正仿宋_GBK"/>
          <w:b/>
          <w:bCs/>
          <w:sz w:val="36"/>
          <w:szCs w:val="36"/>
        </w:rPr>
        <w:t>财务清算报告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086350" cy="5295900"/>
            <wp:effectExtent l="0" t="0" r="0" b="0"/>
            <wp:docPr id="1" name="图片 1" descr="{YS39_$3N[4U$DY{GL}$F1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YS39_$3N[4U$DY{GL}$F1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1B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2019-09-04T08:12:45Z</dcterms:created>
  <dc:creator>Administrator</dc:creator>
  <cp:lastModifiedBy>周孙艳</cp:lastModifiedBy>
  <dcterms:modified xsi:type="dcterms:W3CDTF">2019-09-04T08:13:41Z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