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pict>
          <v:shape id="AutoShape 3" o:spid="_x0000_s1026" o:spt="136" type="#_x0000_t136" style="position:absolute;left:0pt;margin-left:77.25pt;margin-top:1.05pt;height:51.7pt;width:436.55pt;mso-position-horizontal-relative:page;mso-position-vertical-relative:margin;z-index:251658240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aspectratio="f"/>
            <v:textpath on="t" fitshape="t" fitpath="t" trim="t" xscale="f" string="重庆市黔江区科学技术局电子公文" style="font-family:方正小标宋_GBK;font-size:36pt;font-weight:bold;v-text-align:center;"/>
          </v:shape>
        </w:pic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黔江科局发〔202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号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电子公文专用章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核收：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7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eastAsia="zh-CN"/>
        </w:rPr>
        <w:t>重庆市黔江区科学技术局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7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eastAsia="zh-CN"/>
        </w:rPr>
        <w:t>关于印发《</w:t>
      </w: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202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年工作要点》的通知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7" w:lineRule="exact"/>
        <w:ind w:firstLine="640" w:firstLineChars="200"/>
        <w:jc w:val="both"/>
        <w:textAlignment w:val="auto"/>
        <w:rPr>
          <w:rFonts w:hint="eastAsia" w:ascii="Times New Roman" w:hAnsi="Times New Roman" w:eastAsia="方正楷体_GBK" w:cs="方正楷体_GBK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7" w:lineRule="exact"/>
        <w:jc w:val="both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各科室、中心：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77" w:lineRule="exact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现将《重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lang w:val="en-US" w:eastAsia="zh-CN"/>
        </w:rPr>
        <w:t>庆市黔江区科学技术局2023年工作要点》印发给你们，请遵照执行。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77" w:lineRule="exact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77" w:lineRule="exact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77" w:lineRule="exact"/>
        <w:jc w:val="right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重庆市黔江区科学技术局     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77" w:lineRule="exact"/>
        <w:jc w:val="right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2023年1月</w:t>
      </w:r>
      <w:r>
        <w:rPr>
          <w:rFonts w:hint="eastAsia" w:ascii="Times New Roman" w:hAnsi="Times New Roman" w:cs="方正仿宋_GBK"/>
          <w:lang w:val="en-US" w:eastAsia="zh-CN"/>
        </w:rPr>
        <w:t>16</w:t>
      </w: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日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7" w:lineRule="exact"/>
        <w:jc w:val="both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880" w:firstLineChars="200"/>
        <w:rPr>
          <w:rFonts w:ascii="方正楷体_GBK" w:hAnsi="方正楷体_GBK" w:eastAsia="方正楷体_GBK" w:cs="方正楷体_GBK"/>
          <w:sz w:val="32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重庆市黔江区科学技术局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202</w:t>
      </w:r>
      <w:r>
        <w:rPr>
          <w:rFonts w:hint="eastAsia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年工作要点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2023年是贯彻落实党的二十大决策部署的第一年，也是落实“十四五”规划的关键之年，区科技局将以习近平新时代中国特色社会主义思想为指导，深入学习党的二十大精神，贯彻落实区委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区政府安排部署，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坚持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1236工作思路，即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牢牢扭住建设渝东南科技创新中心这个目标，抓住高新技术企业培育、全社会研发投入两个市级考核指标重点工作，创新科技大讲堂、重点实验室、工业科技特派员三项工作，努力实施创新基地创建、创新平台培育、产业技术创新、创新能力提升、创新体制完善、科学普及六项行动，加快推进科技创新工作，为“四城建设”提供科技支撑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努力提升全社会研发投入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用好科技创新政策，协助企业申报研发准备金、研发费用加计扣除等优惠政策，及时兑现2022年创新扶持政策，激励企业加大研发投入。二是抓好考核压力传导，加强工作指导，提高非企业法人、高校等机构的研发投入，确保全社会研发投入增长10%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加快培育创新主体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一是积极培育科技型企业。引导支持企业向科技型企业发展，力争培育科技型企业50家以上。二是培育高新技术企业。加快完善高新技术企业后备库，量身定制科技服务措施，力争组织申报20家，成功申报10家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谋划实施“科技大讲堂”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贯彻党的二十大精神，推动全区上下深刻认识科技是第一生产力、人才是第一资源、创新是第一动力的重要意义，深刻认识创新驱动发展战略的意义和作用。联合区委宣传部策划开展“科技大讲堂”活动，制定工作方案，定期邀请相关领域专家来黔授课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加快“重点实验室”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建设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完善《重庆市黔江区重点实验室建设与运行管理办法》，出台实施细则、激励政策，加快培育区级重点实验室，逐步探索以重点实验室、新型研发机构为支撑的自主创新能力提升路径。支持“武陵山道地中药材质量控制与应用重点实验室”等平台申报市级重点实验室，力争实现市级重点实验室零的突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五、推进科技赋能乡村振兴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一是积极与市科技局帮扶集团对接，争取市科技局实施乡村振兴对口帮扶科技项目达到1000万元。二是加强项目管理服务，认真对照专项实施方案加强已实施项目的管理，确保按期完成验收。及早谋划征集2023年科研项目，力争尽快完成立项。三是加强对市科技局帮扶集团驻太极镇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队对接，做好相关服务协调工作。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六、创新推进科技特派员工作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一是积极对接市科技局，争取人才支持，力争选派国市级科技特派员50名以上。二是创新科技特派员工作，探索在制造业领域推广科技特派员制度，围绕玻纤、铝加工、食品加工等领域选派科技专家，组建科技特派员团，重点开展科技咨询、成果转化、技术指导、流程优化等工作，支持企业加快创新发展。三是加强科技特派员管理服务，用好重庆科技特派员黔江工作站，引导科技特派员积极开展技术指导、集中培训、成果应用、集成示范等科技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七、加快创新基地建设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一是助推黔江高新区建设。配合黔江高新区加快建设博士后科研工作站，积极筹划新材料、丝绸、食品加工等产业技术研究院。引导项目、资金、人才等创新要素向高新区集聚，围绕高新区重点指标加快主体培育、平台搭建、环境优化等工作，配合高新区努力提升各项创建任务。二是启动市级农业科技园区建设工作。认真研究分析黔江优势特色主导产业现有基础，选择基础好、有特色的产业为核心，协调相关单位启动市级农业科技园区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八、推动科创平台建设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推动专业研发平台建设，以特色产业为主导，围绕新材料、生物医药、消费品、特色水果、中药材等重点领域，用好市级引导区县科技发展专项资金，加快建设新型研发机构、企业技术中心、专家大院等研发机构，为企业科技创新提供技术支持。推动科技服务平台建设，出台支持孵化载体高质量发展的实施方案，引进、培育科技服务机构和平台型企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九、深化产学研协作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一是用好西部（重庆）科学城黔江孵化中心、易智网渝东南科技创新服务中心，加强与中关村智酷、易智网等的对接，举办科技成果转化活动，集中推介一批科技成果。二是引导支持企业联合市内外高校院所联合申报科研项目，提升我区企业创新能力。三是落实《黔江区高层次人才激励政策（试行）》，改进科研项目管理方式，扩大科研项目经费使用管理权限，引导科技人才来黔创新创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十、持续做好科技创新服务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一是高质量办好创投大赛，用好国家级科技企业孵化器平台，办好黔江区第八届创投大赛，筛选出优秀创新创业项目。二是用好创业种子基金，以公益参股形式支持初创企业。持续推进科技型企业知识价值信用贷款扩面增量，力争种子基金实现投资200万元以上，知识价值信用贷款放款金额8000万元以上。三是举办科普宣传活动，牵头办好“三下乡”、科技活动周、科普日等群众性科普活动，持续提升全民科学素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十一、深化全面从严治党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坚持不懈用习近平新时代中国特色社会主义思想凝心铸魂，深入学习宣传贯彻党的二十大精神，深刻领悟“两个确立”的决定性意义，坚决做到“两个维护”。全面贯彻落实新时代党的建设总要求，统筹推进党的政治、思想、组织、作风和纪律建设，把制度建设贯穿其中，持续加固中央八项规定堤坝，持续纠“四风”树新风，深化作风建设，持续用力抓好基层党组织建设和干部队伍建设，推动党中央决策部署和市委市政府、区委区政府工作安排不折不扣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十二、着力提高机关效能</w:t>
      </w: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完善机关工作规范、财务管理制度、资产管理制度、公车管理制度，优化公文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lang w:eastAsia="zh-CN"/>
        </w:rPr>
        <w:t>处理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流程，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lang w:eastAsia="zh-CN"/>
        </w:rPr>
        <w:t>推进重点工作清单式管理、闭环式运行，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全面保障机关高效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lang w:eastAsia="zh-CN"/>
        </w:rPr>
        <w:t>运转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。全面履行行业主管部门安全责任及机关及所属事业单位安全责任，定期开展安全排查和督促整改。统筹开展好政务公开、双拥、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lang w:eastAsia="zh-CN"/>
        </w:rPr>
        <w:t>创民、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档案、城市创建、节能减排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普法等工作。</w:t>
      </w:r>
    </w:p>
    <w:p>
      <w:pPr>
        <w:tabs>
          <w:tab w:val="left" w:pos="1260"/>
        </w:tabs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280" w:firstLineChars="100"/>
        <w:jc w:val="both"/>
        <w:textAlignment w:val="auto"/>
        <w:rPr>
          <w:rFonts w:hint="eastAsia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重庆市黔江区科学技术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局</w:t>
      </w:r>
      <w:r>
        <w:rPr>
          <w:rFonts w:ascii="Times New Roman" w:hAnsi="Times New Roman" w:eastAsia="方正仿宋_GBK" w:cs="Times New Roman"/>
          <w:sz w:val="28"/>
          <w:szCs w:val="28"/>
        </w:rPr>
        <w:t>办公室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             </w:t>
      </w:r>
      <w:r>
        <w:rPr>
          <w:rFonts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eastAsia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74048"/>
    <w:rsid w:val="0DFC165E"/>
    <w:rsid w:val="24274048"/>
    <w:rsid w:val="3AF17D5B"/>
    <w:rsid w:val="51870196"/>
    <w:rsid w:val="5F2331D4"/>
    <w:rsid w:val="6DE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77" w:lineRule="exact"/>
      <w:ind w:firstLine="1257" w:firstLineChars="200"/>
    </w:pPr>
    <w:rPr>
      <w:rFonts w:ascii="Times New Roman" w:hAnsi="Times New Roman" w:eastAsia="方正仿宋_GBK"/>
      <w:sz w:val="32"/>
      <w:szCs w:val="24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2023-01-04T10:15:00Z</dcterms:created>
  <dc:creator>Administrator</dc:creator>
  <cp:lastModifiedBy>Administrator</cp:lastModifiedBy>
  <dcterms:modified xsi:type="dcterms:W3CDTF">2023-02-09T02:45:20Z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