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49A8C">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重庆市黔江区林业局（本级）</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14:paraId="572F7AF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Fonts w:hint="eastAsia" w:ascii="黑体" w:hAnsi="黑体" w:eastAsia="黑体" w:cs="黑体"/>
          <w:color w:val="000000" w:themeColor="text1"/>
          <w:sz w:val="32"/>
          <w:szCs w:val="32"/>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一、</w:t>
      </w:r>
      <w:r>
        <w:rPr>
          <w:rStyle w:val="9"/>
          <w:rFonts w:hint="eastAsia" w:ascii="黑体" w:hAnsi="黑体" w:eastAsia="黑体" w:cs="黑体"/>
          <w:color w:val="000000" w:themeColor="text1"/>
          <w:sz w:val="32"/>
          <w:szCs w:val="32"/>
          <w:shd w:val="clear" w:color="auto" w:fill="FFFFFF"/>
          <w:lang w:eastAsia="zh-CN"/>
          <w14:textFill>
            <w14:solidFill>
              <w14:schemeClr w14:val="tx1"/>
            </w14:solidFill>
          </w14:textFill>
        </w:rPr>
        <w:t>单位</w:t>
      </w:r>
      <w:r>
        <w:rPr>
          <w:rStyle w:val="9"/>
          <w:rFonts w:hint="eastAsia" w:ascii="黑体" w:hAnsi="黑体" w:eastAsia="黑体" w:cs="黑体"/>
          <w:color w:val="000000" w:themeColor="text1"/>
          <w:sz w:val="32"/>
          <w:szCs w:val="32"/>
          <w:shd w:val="clear" w:color="auto" w:fill="FFFFFF"/>
          <w14:textFill>
            <w14:solidFill>
              <w14:schemeClr w14:val="tx1"/>
            </w14:solidFill>
          </w14:textFill>
        </w:rPr>
        <w:t>基本情况</w:t>
      </w:r>
    </w:p>
    <w:p w14:paraId="51689BE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楷体" w:hAnsi="楷体" w:eastAsia="楷体" w:cs="楷体"/>
          <w:color w:val="000000" w:themeColor="text1"/>
          <w:sz w:val="32"/>
          <w:szCs w:val="32"/>
          <w:shd w:val="clear" w:color="auto" w:fill="FFFFFF"/>
          <w14:textFill>
            <w14:solidFill>
              <w14:schemeClr w14:val="tx1"/>
            </w14:solidFill>
          </w14:textFill>
        </w:rPr>
        <w:t>（一）职能职责</w:t>
      </w:r>
    </w:p>
    <w:p w14:paraId="3851AA79">
      <w:pPr>
        <w:pStyle w:val="13"/>
        <w:keepNext w:val="0"/>
        <w:keepLines w:val="0"/>
        <w:pageBreakBefore w:val="0"/>
        <w:widowControl/>
        <w:suppressLineNumbers w:val="0"/>
        <w:kinsoku/>
        <w:wordWrap/>
        <w:overflowPunct/>
        <w:topLinePunct w:val="0"/>
        <w:autoSpaceDE w:val="0"/>
        <w:autoSpaceDN/>
        <w:bidi w:val="0"/>
        <w:adjustRightInd/>
        <w:snapToGrid w:val="0"/>
        <w:spacing w:beforeAutospacing="0" w:afterAutospacing="0" w:line="578" w:lineRule="exact"/>
        <w:ind w:left="0"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单位现行的职能职责主要是：负责林业和草原及其生态保护修复的监督管理；负责湿地生态保护修复工作，拟订全区湿地保护规划，贯彻执行相关市级标准，监督管理湿地的开发利用；负责监督管理石漠化防治工作；负责陆生野生动植物资源的监督管理；负责全区自然保护地的监督管理工作；负责生物多样性保护相关工作；负责推进林业和草原改革发展相关工作；负责天然林保护工作；负责林业和草原领域的相关行政执法工作；负责落实综合防灾减灾规划相关要求，组织编制森林和草原火灾防治规划并指导实施，指导开展防火巡护、火源管理、防火设施建设等工作。承担全区森林、草原火灾预防预警监测的相应工作；负责林业和草原科技、教育和外事工作，指导全区林业和草原人才队伍建设，组织实施林业、草原、湿地和石漠化防治的国际交流与合作事务，承担湿地、防治荒漠化、濒危野生动植物等国际公约履约工作；完成区委、区政府交办的其他任务。</w:t>
      </w:r>
    </w:p>
    <w:p w14:paraId="5AF7007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eastAsia" w:ascii="楷体" w:hAnsi="楷体" w:eastAsia="楷体" w:cs="楷体"/>
          <w:color w:val="000000" w:themeColor="text1"/>
          <w:sz w:val="32"/>
          <w:szCs w:val="32"/>
          <w14:textFill>
            <w14:solidFill>
              <w14:schemeClr w14:val="tx1"/>
            </w14:solidFill>
          </w14:textFill>
        </w:rPr>
      </w:pPr>
      <w:r>
        <w:rPr>
          <w:rStyle w:val="9"/>
          <w:rFonts w:hint="eastAsia" w:ascii="楷体" w:hAnsi="楷体" w:eastAsia="楷体" w:cs="楷体"/>
          <w:color w:val="000000" w:themeColor="text1"/>
          <w:sz w:val="32"/>
          <w:szCs w:val="32"/>
          <w:shd w:val="clear" w:color="auto" w:fill="FFFFFF"/>
          <w14:textFill>
            <w14:solidFill>
              <w14:schemeClr w14:val="tx1"/>
            </w14:solidFill>
          </w14:textFill>
        </w:rPr>
        <w:t>（二）机构设置</w:t>
      </w:r>
    </w:p>
    <w:p w14:paraId="3CBF79CD">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0" w:firstLineChars="200"/>
        <w:jc w:val="left"/>
        <w:textAlignment w:val="auto"/>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重庆市黔江区林业局设7个内设机构：办公室、森林资源管理科、生态保护修复科（重庆市黔江区绿化委员会办公室）、行政审批科（法治科）、计划财务科（内审科）、林业产业发展科、森林草原火灾预防与安全生产科。</w:t>
      </w:r>
    </w:p>
    <w:p w14:paraId="1D8AE04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000000" w:themeColor="text1"/>
          <w:sz w:val="32"/>
          <w:szCs w:val="32"/>
          <w:shd w:val="clear" w:color="auto" w:fill="FFFFFF"/>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二、</w:t>
      </w:r>
      <w:r>
        <w:rPr>
          <w:rStyle w:val="9"/>
          <w:rFonts w:hint="eastAsia" w:ascii="黑体" w:hAnsi="黑体" w:eastAsia="黑体" w:cs="黑体"/>
          <w:color w:val="000000" w:themeColor="text1"/>
          <w:sz w:val="32"/>
          <w:szCs w:val="32"/>
          <w:shd w:val="clear" w:color="auto" w:fill="FFFFFF"/>
          <w:lang w:eastAsia="zh-CN"/>
          <w14:textFill>
            <w14:solidFill>
              <w14:schemeClr w14:val="tx1"/>
            </w14:solidFill>
          </w14:textFill>
        </w:rPr>
        <w:t>单位</w:t>
      </w:r>
      <w:r>
        <w:rPr>
          <w:rStyle w:val="9"/>
          <w:rFonts w:hint="eastAsia" w:ascii="黑体" w:hAnsi="黑体" w:eastAsia="黑体" w:cs="黑体"/>
          <w:color w:val="000000" w:themeColor="text1"/>
          <w:sz w:val="32"/>
          <w:szCs w:val="32"/>
          <w:shd w:val="clear" w:color="auto" w:fill="FFFFFF"/>
          <w14:textFill>
            <w14:solidFill>
              <w14:schemeClr w14:val="tx1"/>
            </w14:solidFill>
          </w14:textFill>
        </w:rPr>
        <w:t>决算情况说明</w:t>
      </w:r>
    </w:p>
    <w:p w14:paraId="51885A36">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（一）收入支出决算总体情况说明。</w:t>
      </w:r>
    </w:p>
    <w:p w14:paraId="6C0432F7">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度收入总计8503.05万元，支出总计</w:t>
      </w:r>
      <w:r>
        <w:rPr>
          <w:rFonts w:ascii="方正仿宋_GBK" w:hAnsi="方正仿宋_GBK" w:eastAsia="方正仿宋_GBK" w:cs="方正仿宋_GBK"/>
          <w:color w:val="000000" w:themeColor="text1"/>
          <w:sz w:val="32"/>
          <w:szCs w:val="32"/>
          <w14:textFill>
            <w14:solidFill>
              <w14:schemeClr w14:val="tx1"/>
            </w14:solidFill>
          </w14:textFill>
        </w:rPr>
        <w:t>8503.05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万元。收、支与2023年度相比，减少774.94万元，下降8.4%，主要原因是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7491E5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8503.05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万元，与2023年度相比，减少774.94万元，下降8.4%，主要原因是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8503.05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3DE656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ascii="方正仿宋_GBK" w:hAnsi="方正仿宋_GBK" w:eastAsia="方正仿宋_GBK" w:cs="方正仿宋_GBK"/>
          <w:color w:val="000000" w:themeColor="text1"/>
          <w:sz w:val="32"/>
          <w:szCs w:val="32"/>
          <w14:textFill>
            <w14:solidFill>
              <w14:schemeClr w14:val="tx1"/>
            </w14:solidFill>
          </w14:textFill>
        </w:rPr>
        <w:t>8503.05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万元，与2023年度相比，减少774.94万元，下降8.4%，主要原因是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775.20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万元，占9.12%；项目支出</w:t>
      </w:r>
      <w:r>
        <w:rPr>
          <w:rFonts w:ascii="方正仿宋_GBK" w:hAnsi="方正仿宋_GBK" w:eastAsia="方正仿宋_GBK" w:cs="方正仿宋_GBK"/>
          <w:color w:val="000000" w:themeColor="text1"/>
          <w:sz w:val="32"/>
          <w:szCs w:val="32"/>
          <w14:textFill>
            <w14:solidFill>
              <w14:schemeClr w14:val="tx1"/>
            </w14:solidFill>
          </w14:textFill>
        </w:rPr>
        <w:t>7727.85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万元，占90.88%。</w:t>
      </w:r>
    </w:p>
    <w:p w14:paraId="6D305A6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结转和结余。</w:t>
      </w:r>
    </w:p>
    <w:p w14:paraId="3CA4DEC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（二）财政拨款收入支出决算总体情况说明</w:t>
      </w:r>
    </w:p>
    <w:p w14:paraId="32D22F3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8503.05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年相比，财政拨款收、支总计各减少774.94万元，下降8.4%。主要原因是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6381598">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14:paraId="7D9E4CE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8503.05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万元，与2023年度相比，减少774.94万元，下降8.4%。主要原因是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。较年初预算数减少11014.06万元，下降56.4%。主要原因是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结存退耕还林资金，兑付缓慢</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040E54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8503.05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万元，与2023年度相比，减少774.94万元，下降8.4%。主要原因是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。较年初预算数减少11014.06万元，下降56.4%。主要原因是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结存退耕还林资金，兑付缓慢</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0E01AA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一般公共预算财政拨款结转和结余。</w:t>
      </w:r>
    </w:p>
    <w:p w14:paraId="318DF5D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312E4D5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279.25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3.28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%，较年初预算数增加140.03万元，增长100.6%，主要原因是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补缴养老和职业年金。</w:t>
      </w:r>
    </w:p>
    <w:p w14:paraId="104F870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ascii="方正仿宋_GBK" w:hAnsi="方正仿宋_GBK" w:eastAsia="方正仿宋_GBK" w:cs="方正仿宋_GBK"/>
          <w:color w:val="000000" w:themeColor="text1"/>
          <w:sz w:val="32"/>
          <w:szCs w:val="32"/>
          <w14:textFill>
            <w14:solidFill>
              <w14:schemeClr w14:val="tx1"/>
            </w14:solidFill>
          </w14:textFill>
        </w:rPr>
        <w:t>47.18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%，较年初预算数增加0.37万元，增长0.8%。</w:t>
      </w:r>
    </w:p>
    <w:p w14:paraId="656631A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）节能环保支出</w:t>
      </w:r>
      <w:r>
        <w:rPr>
          <w:rFonts w:ascii="方正仿宋_GBK" w:hAnsi="方正仿宋_GBK" w:eastAsia="方正仿宋_GBK" w:cs="方正仿宋_GBK"/>
          <w:color w:val="000000" w:themeColor="text1"/>
          <w:sz w:val="32"/>
          <w:szCs w:val="32"/>
          <w14:textFill>
            <w14:solidFill>
              <w14:schemeClr w14:val="tx1"/>
            </w14:solidFill>
          </w14:textFill>
        </w:rPr>
        <w:t>1391.23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16.36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%，较年初预算数减少4149.82万元，下降74.9%，主要原因是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55467B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）农林水支出</w:t>
      </w:r>
      <w:r>
        <w:rPr>
          <w:rFonts w:ascii="方正仿宋_GBK" w:hAnsi="方正仿宋_GBK" w:eastAsia="方正仿宋_GBK" w:cs="方正仿宋_GBK"/>
          <w:color w:val="000000" w:themeColor="text1"/>
          <w:sz w:val="32"/>
          <w:szCs w:val="32"/>
          <w14:textFill>
            <w14:solidFill>
              <w14:schemeClr w14:val="tx1"/>
            </w14:solidFill>
          </w14:textFill>
        </w:rPr>
        <w:t>6487.30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76.29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%，较年初预算数减少6733.06万元，下降50.9%，主要原因是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64CBD9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）商业服务业等支出</w:t>
      </w:r>
      <w:r>
        <w:rPr>
          <w:rFonts w:ascii="方正仿宋_GBK" w:hAnsi="方正仿宋_GBK" w:eastAsia="方正仿宋_GBK" w:cs="方正仿宋_GBK"/>
          <w:color w:val="000000" w:themeColor="text1"/>
          <w:sz w:val="32"/>
          <w:szCs w:val="32"/>
          <w14:textFill>
            <w14:solidFill>
              <w14:schemeClr w14:val="tx1"/>
            </w14:solidFill>
          </w14:textFill>
        </w:rPr>
        <w:t>252.00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2.96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%，较年初预算数减少272.00万元，下降51.9%，主要原因是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项目资金支出减少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5DC7311">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住房保障支出46.09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0.54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%，较年初预算数增加0.42万元，增长0.9%。</w:t>
      </w:r>
    </w:p>
    <w:p w14:paraId="6CF717B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14:paraId="18CCFCB7">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775.20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中：人员经费677.81万元，与2023年度相比，减少44.01万元，下降6.1%，主要原因是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主要用于保障社保、公积金，工资、退休人员补助等，保障单位正常运转的各项商品服务支出。公用经费97.40万元，与2023年度相比，减少12.71万元，下降11.5%，主要原因是主要是节俭开支，压缩各项商品服务支出。公用经费用途主要用于办公费、印刷费、邮电费、水电费、差旅费、会议费、培训费及其他商品和服务支出等</w:t>
      </w:r>
    </w:p>
    <w:p w14:paraId="4A62445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（五）政府性基金预算收支决算情况说明</w:t>
      </w:r>
    </w:p>
    <w:p w14:paraId="0831780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本单位2024年度无政府性基金预算财政拨款收支。</w:t>
      </w:r>
    </w:p>
    <w:p w14:paraId="751AEF9F">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14:paraId="6915E6A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 本单位2024年度无国有资本经营预算财政拨款支出。</w:t>
      </w:r>
    </w:p>
    <w:p w14:paraId="686C6EA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000000" w:themeColor="text1"/>
          <w:sz w:val="32"/>
          <w:szCs w:val="32"/>
          <w:shd w:val="clear" w:color="auto" w:fill="FFFFFF"/>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三、“三公”经费情况说明</w:t>
      </w:r>
    </w:p>
    <w:p w14:paraId="407B0027">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xml:space="preserve"> （一）“三公”经费支出总体情况说明</w:t>
      </w:r>
    </w:p>
    <w:p w14:paraId="4ADDA1C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14.58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万元，较年初预算数减少0.02万元，下降0.1%，主要原因是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厉行节俭。</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较上年支出数增加0.85万元，增长6.2%，主要原因是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公务用使用年限长，维修费增长。</w:t>
      </w:r>
    </w:p>
    <w:p w14:paraId="3EA83954">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（二）“三公”经费分项支出情况</w:t>
      </w:r>
    </w:p>
    <w:p w14:paraId="027FBA1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r>
        <w:rPr>
          <w:rFonts w:ascii="方正仿宋_GBK" w:hAnsi="方正仿宋_GBK" w:eastAsia="方正仿宋_GBK" w:cs="方正仿宋_GBK"/>
          <w:color w:val="000000" w:themeColor="text1"/>
          <w:sz w:val="32"/>
          <w:szCs w:val="32"/>
          <w14:textFill>
            <w14:solidFill>
              <w14:schemeClr w14:val="tx1"/>
            </w14:solidFill>
          </w14:textFill>
        </w:rPr>
        <w:t>6.82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车辆维修、过路费、油费等开支。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年初预算数</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持平。</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较上年支出数增加1.22万元，增长21.8%，主要原因是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公务用使用年限长，维修费增长。</w:t>
      </w:r>
    </w:p>
    <w:p w14:paraId="2559877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ascii="方正仿宋_GBK" w:hAnsi="方正仿宋_GBK" w:eastAsia="方正仿宋_GBK" w:cs="方正仿宋_GBK"/>
          <w:color w:val="000000" w:themeColor="text1"/>
          <w:sz w:val="32"/>
          <w:szCs w:val="32"/>
          <w14:textFill>
            <w14:solidFill>
              <w14:schemeClr w14:val="tx1"/>
            </w14:solidFill>
          </w14:textFill>
        </w:rPr>
        <w:t>7.76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主要用于上级有关单位检查指导工作</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以及招商引资等</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接待</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。费用支出较年初预算数减少0.02万元，下降0.3%，主要原因是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主要原因是强化公务接待支出管理，严格遵守公务接待开支范围和开支标准，严格控制陪餐人数。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较上年支出数减少0.37万元，下降4.6%，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主要原因是严格执行年初预算，控制“公务接待”经费支出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21000BC3">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（三）“三公”经费实物量情况</w:t>
      </w:r>
    </w:p>
    <w:p w14:paraId="39C04B7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公务车保有量为</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90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840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人均接待费</w:t>
      </w:r>
      <w:r>
        <w:rPr>
          <w:rFonts w:ascii="方正仿宋_GBK" w:hAnsi="方正仿宋_GBK" w:eastAsia="方正仿宋_GBK" w:cs="方正仿宋_GBK"/>
          <w:color w:val="000000" w:themeColor="text1"/>
          <w:sz w:val="32"/>
          <w:szCs w:val="32"/>
          <w14:textFill>
            <w14:solidFill>
              <w14:schemeClr w14:val="tx1"/>
            </w14:solidFill>
          </w14:textFill>
        </w:rPr>
        <w:t>92.35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元，车均维护费</w:t>
      </w:r>
      <w:r>
        <w:rPr>
          <w:rFonts w:ascii="方正仿宋_GBK" w:hAnsi="方正仿宋_GBK" w:eastAsia="方正仿宋_GBK" w:cs="方正仿宋_GBK"/>
          <w:color w:val="000000" w:themeColor="text1"/>
          <w:sz w:val="32"/>
          <w:szCs w:val="32"/>
          <w14:textFill>
            <w14:solidFill>
              <w14:schemeClr w14:val="tx1"/>
            </w14:solidFill>
          </w14:textFill>
        </w:rPr>
        <w:t>3.41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2C621B33">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9"/>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四、其他需要说明的事项</w:t>
      </w:r>
    </w:p>
    <w:p w14:paraId="0A487B6A">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（一）财政拨款会议费和培训费情况说明</w:t>
      </w:r>
    </w:p>
    <w:p w14:paraId="7DE316E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ascii="方正仿宋_GBK" w:hAnsi="方正仿宋_GBK" w:eastAsia="方正仿宋_GBK" w:cs="方正仿宋_GBK"/>
          <w:color w:val="000000" w:themeColor="text1"/>
          <w:sz w:val="32"/>
          <w:szCs w:val="32"/>
          <w14:textFill>
            <w14:solidFill>
              <w14:schemeClr w14:val="tx1"/>
            </w14:solidFill>
          </w14:textFill>
        </w:rPr>
        <w:t>1.61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万元，与2023年度相比，增加1.36万元，增长544.0%。本年度培训费支出</w:t>
      </w:r>
      <w:r>
        <w:rPr>
          <w:rFonts w:ascii="方正仿宋_GBK" w:hAnsi="方正仿宋_GBK" w:eastAsia="方正仿宋_GBK" w:cs="方正仿宋_GBK"/>
          <w:color w:val="000000" w:themeColor="text1"/>
          <w:sz w:val="32"/>
          <w:szCs w:val="32"/>
          <w14:textFill>
            <w14:solidFill>
              <w14:schemeClr w14:val="tx1"/>
            </w14:solidFill>
          </w14:textFill>
        </w:rPr>
        <w:t>4.01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万元，与2023年度相比，减少1.49万元，下降27.1%。</w:t>
      </w:r>
    </w:p>
    <w:p w14:paraId="794B605F">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（二）机关运行经费情况说明</w:t>
      </w:r>
    </w:p>
    <w:p w14:paraId="01863303">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hint="eastAsia" w:ascii="方正仿宋_GBK" w:hAnsi="方正仿宋_GBK" w:eastAsia="方正仿宋_GBK" w:cs="方正仿宋_GBK"/>
          <w:sz w:val="32"/>
          <w:szCs w:val="32"/>
          <w:lang w:val="en-US" w:eastAsia="zh-CN"/>
        </w:rPr>
        <w:t>97.4</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办公费、邮电费</w:t>
      </w:r>
      <w:r>
        <w:rPr>
          <w:rFonts w:hint="eastAsia" w:ascii="方正仿宋_GBK" w:hAnsi="方正仿宋_GBK" w:eastAsia="方正仿宋_GBK" w:cs="方正仿宋_GBK"/>
          <w:sz w:val="32"/>
          <w:szCs w:val="32"/>
          <w:shd w:val="clear" w:color="auto" w:fill="FFFFFF"/>
          <w:lang w:eastAsia="zh-CN"/>
        </w:rPr>
        <w:t>、水电费</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机关运行经费较上年支出数减少12.71万元，下</w:t>
      </w:r>
      <w:bookmarkStart w:id="0" w:name="_GoBack"/>
      <w:bookmarkEnd w:id="0"/>
      <w:r>
        <w:rPr>
          <w:rFonts w:ascii="方正仿宋_GBK" w:hAnsi="方正仿宋_GBK" w:eastAsia="方正仿宋_GBK" w:cs="方正仿宋_GBK"/>
          <w:sz w:val="32"/>
          <w:szCs w:val="32"/>
          <w:shd w:val="clear" w:color="auto" w:fill="FFFFFF"/>
        </w:rPr>
        <w:t>降11.5%，主要原因是认真贯彻落实中央八项规定精神，厉行节约过紧日子，减少办公费</w:t>
      </w:r>
      <w:r>
        <w:rPr>
          <w:rFonts w:hint="eastAsia" w:ascii="方正仿宋_GBK" w:hAnsi="方正仿宋_GBK" w:eastAsia="方正仿宋_GBK" w:cs="方正仿宋_GBK"/>
          <w:sz w:val="32"/>
          <w:szCs w:val="32"/>
          <w:shd w:val="clear" w:color="auto" w:fill="FFFFFF"/>
          <w:lang w:eastAsia="zh-CN"/>
        </w:rPr>
        <w:t>、水电费</w:t>
      </w:r>
      <w:r>
        <w:rPr>
          <w:rFonts w:ascii="方正仿宋_GBK" w:hAnsi="方正仿宋_GBK" w:eastAsia="方正仿宋_GBK" w:cs="方正仿宋_GBK"/>
          <w:sz w:val="32"/>
          <w:szCs w:val="32"/>
          <w:shd w:val="clear" w:color="auto" w:fill="FFFFFF"/>
        </w:rPr>
        <w:t>等支出。</w:t>
      </w:r>
    </w:p>
    <w:p w14:paraId="2D90C634">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（三）国有资产占用情况说明</w:t>
      </w:r>
    </w:p>
    <w:p w14:paraId="29013C3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截至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12月31日，本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共有车辆</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辆，其中应急保障用车</w:t>
      </w:r>
      <w:r>
        <w:rPr>
          <w:rFonts w:ascii="方正仿宋_GBK" w:hAnsi="方正仿宋_GBK" w:eastAsia="方正仿宋_GBK" w:cs="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w:t>
      </w:r>
    </w:p>
    <w:p w14:paraId="79FEF282">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（四）政府采购支出情况说明</w:t>
      </w:r>
    </w:p>
    <w:p w14:paraId="3FD41F4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政府采购支出总额</w:t>
      </w:r>
      <w:r>
        <w:rPr>
          <w:rFonts w:ascii="方正仿宋_GBK" w:hAnsi="方正仿宋_GBK" w:eastAsia="方正仿宋_GBK" w:cs="方正仿宋_GBK"/>
          <w:color w:val="000000" w:themeColor="text1"/>
          <w:sz w:val="32"/>
          <w:szCs w:val="32"/>
          <w14:textFill>
            <w14:solidFill>
              <w14:schemeClr w14:val="tx1"/>
            </w14:solidFill>
          </w14:textFill>
        </w:rPr>
        <w:t>1028.09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方正仿宋_GBK" w:hAnsi="方正仿宋_GBK" w:eastAsia="方正仿宋_GBK" w:cs="方正仿宋_GBK"/>
          <w:color w:val="000000" w:themeColor="text1"/>
          <w:sz w:val="32"/>
          <w:szCs w:val="32"/>
          <w14:textFill>
            <w14:solidFill>
              <w14:schemeClr w14:val="tx1"/>
            </w14:solidFill>
          </w14:textFill>
        </w:rPr>
        <w:t>7.01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方正仿宋_GBK" w:hAnsi="方正仿宋_GBK" w:eastAsia="方正仿宋_GBK" w:cs="方正仿宋_GBK"/>
          <w:color w:val="000000" w:themeColor="text1"/>
          <w:sz w:val="32"/>
          <w:szCs w:val="32"/>
          <w14:textFill>
            <w14:solidFill>
              <w14:schemeClr w14:val="tx1"/>
            </w14:solidFill>
          </w14:textFill>
        </w:rPr>
        <w:t>1021.08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方正仿宋_GBK" w:hAnsi="方正仿宋_GBK" w:eastAsia="方正仿宋_GBK" w:cs="方正仿宋_GBK"/>
          <w:color w:val="000000" w:themeColor="text1"/>
          <w:sz w:val="32"/>
          <w:szCs w:val="32"/>
          <w14:textFill>
            <w14:solidFill>
              <w14:schemeClr w14:val="tx1"/>
            </w14:solidFill>
          </w14:textFill>
        </w:rPr>
        <w:t>1023.37万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方正仿宋_GBK" w:hAnsi="方正仿宋_GBK" w:eastAsia="方正仿宋_GBK" w:cs="方正仿宋_GBK"/>
          <w:color w:val="000000" w:themeColor="text1"/>
          <w:sz w:val="32"/>
          <w:szCs w:val="32"/>
          <w14:textFill>
            <w14:solidFill>
              <w14:schemeClr w14:val="tx1"/>
            </w14:solidFill>
          </w14:textFill>
        </w:rPr>
        <w:t>99.54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方正仿宋_GBK" w:hAnsi="方正仿宋_GBK" w:eastAsia="方正仿宋_GBK" w:cs="方正仿宋_GBK"/>
          <w:color w:val="000000" w:themeColor="text1"/>
          <w:sz w:val="32"/>
          <w:szCs w:val="32"/>
          <w14:textFill>
            <w14:solidFill>
              <w14:schemeClr w14:val="tx1"/>
            </w14:solidFill>
          </w14:textFill>
        </w:rPr>
        <w:t>2.29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方正仿宋_GBK" w:hAnsi="方正仿宋_GBK" w:eastAsia="方正仿宋_GBK" w:cs="方正仿宋_GBK"/>
          <w:color w:val="000000" w:themeColor="text1"/>
          <w:sz w:val="32"/>
          <w:szCs w:val="32"/>
          <w14:textFill>
            <w14:solidFill>
              <w14:schemeClr w14:val="tx1"/>
            </w14:solidFill>
          </w14:textFill>
        </w:rPr>
        <w:t>0.22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%。主要用于采购主要用于采购</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防火物资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、办公设备、家具等</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5D5342F6">
      <w:pPr>
        <w:pStyle w:val="5"/>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000000" w:themeColor="text1"/>
          <w:sz w:val="32"/>
          <w:szCs w:val="32"/>
          <w:shd w:val="clear" w:color="auto" w:fill="FFFFFF"/>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预算绩效管理情况说明</w:t>
      </w:r>
    </w:p>
    <w:p w14:paraId="58CD243D">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根据预算绩效管理要求，本单位对57个项目开展了绩效自评，涉及财政拨款项目支出7736.07万元。其中，以填报自评表形式开展自评57项，涉及资金7736.07万元。</w:t>
      </w:r>
    </w:p>
    <w:p w14:paraId="537D7474">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p>
    <w:p w14:paraId="24822683">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p>
    <w:p w14:paraId="01CE2447">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p>
    <w:p w14:paraId="354A2C05">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p>
    <w:p w14:paraId="00864D5A">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p>
    <w:p w14:paraId="4DA4AC41">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p>
    <w:p w14:paraId="5E7525F6">
      <w:pPr>
        <w:pStyle w:val="11"/>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p>
    <w:tbl>
      <w:tblPr>
        <w:tblStyle w:val="6"/>
        <w:tblW w:w="9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8"/>
        <w:gridCol w:w="592"/>
        <w:gridCol w:w="730"/>
        <w:gridCol w:w="927"/>
        <w:gridCol w:w="787"/>
        <w:gridCol w:w="801"/>
        <w:gridCol w:w="982"/>
        <w:gridCol w:w="788"/>
        <w:gridCol w:w="785"/>
        <w:gridCol w:w="955"/>
        <w:gridCol w:w="1192"/>
      </w:tblGrid>
      <w:tr w14:paraId="2263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974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5DA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8"/>
                <w:szCs w:val="28"/>
                <w:u w:val="none"/>
                <w:lang w:val="en-US" w:eastAsia="zh-CN" w:bidi="ar"/>
              </w:rPr>
              <w:t>2024年度项目绩效自评表</w:t>
            </w:r>
          </w:p>
        </w:tc>
      </w:tr>
      <w:tr w14:paraId="7DBF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A31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3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D39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古树名木抢救性保护</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B2A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348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50011422T000002041401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6567">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522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C554">
            <w:pPr>
              <w:jc w:val="left"/>
              <w:rPr>
                <w:rFonts w:hint="eastAsia" w:ascii="宋体" w:hAnsi="宋体" w:eastAsia="宋体" w:cs="宋体"/>
                <w:b/>
                <w:bCs/>
                <w:i w:val="0"/>
                <w:iCs w:val="0"/>
                <w:color w:val="000000"/>
                <w:sz w:val="16"/>
                <w:szCs w:val="16"/>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A3EE">
            <w:pPr>
              <w:jc w:val="left"/>
              <w:rPr>
                <w:rFonts w:hint="eastAsia" w:ascii="宋体" w:hAnsi="宋体" w:eastAsia="宋体" w:cs="宋体"/>
                <w:i w:val="0"/>
                <w:iCs w:val="0"/>
                <w:color w:val="000000"/>
                <w:sz w:val="16"/>
                <w:szCs w:val="16"/>
                <w:u w:val="none"/>
              </w:rPr>
            </w:pPr>
          </w:p>
        </w:tc>
      </w:tr>
      <w:tr w14:paraId="487D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7E0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3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379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重庆市黔江区林业局</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EE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5C4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007-农业科</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5EA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7A0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吕雲鸿</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23B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F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79223430</w:t>
            </w:r>
          </w:p>
        </w:tc>
      </w:tr>
      <w:tr w14:paraId="0463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D2D9">
            <w:pPr>
              <w:jc w:val="left"/>
              <w:rPr>
                <w:rFonts w:hint="eastAsia" w:ascii="宋体" w:hAnsi="宋体" w:eastAsia="宋体" w:cs="宋体"/>
                <w:i w:val="0"/>
                <w:iCs w:val="0"/>
                <w:color w:val="000000"/>
                <w:sz w:val="16"/>
                <w:szCs w:val="16"/>
                <w:u w:val="none"/>
              </w:rPr>
            </w:pP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E0C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CAEB">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344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189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1B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322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7DEC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nil"/>
            </w:tcBorders>
            <w:shd w:val="clear" w:color="auto" w:fill="auto"/>
            <w:vAlign w:val="center"/>
          </w:tcPr>
          <w:p w14:paraId="73E5F8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592" w:type="dxa"/>
            <w:tcBorders>
              <w:top w:val="single" w:color="000000" w:sz="4" w:space="0"/>
              <w:left w:val="nil"/>
              <w:bottom w:val="single" w:color="000000" w:sz="4" w:space="0"/>
              <w:right w:val="single" w:color="000000" w:sz="4" w:space="0"/>
            </w:tcBorders>
            <w:shd w:val="clear" w:color="auto" w:fill="auto"/>
            <w:noWrap/>
            <w:vAlign w:val="center"/>
          </w:tcPr>
          <w:p w14:paraId="37A4498D">
            <w:pPr>
              <w:jc w:val="left"/>
              <w:rPr>
                <w:rFonts w:hint="eastAsia" w:ascii="宋体" w:hAnsi="宋体" w:eastAsia="宋体" w:cs="宋体"/>
                <w:i w:val="0"/>
                <w:iCs w:val="0"/>
                <w:color w:val="000000"/>
                <w:sz w:val="16"/>
                <w:szCs w:val="16"/>
                <w:u w:val="none"/>
              </w:rPr>
            </w:pPr>
          </w:p>
        </w:tc>
        <w:tc>
          <w:tcPr>
            <w:tcW w:w="730" w:type="dxa"/>
            <w:tcBorders>
              <w:top w:val="single" w:color="000000" w:sz="4" w:space="0"/>
              <w:left w:val="single" w:color="000000" w:sz="4" w:space="0"/>
              <w:bottom w:val="single" w:color="000000" w:sz="4" w:space="0"/>
              <w:right w:val="nil"/>
            </w:tcBorders>
            <w:shd w:val="clear" w:color="auto" w:fill="auto"/>
            <w:noWrap/>
            <w:vAlign w:val="center"/>
          </w:tcPr>
          <w:p w14:paraId="636F0669">
            <w:pPr>
              <w:jc w:val="left"/>
              <w:rPr>
                <w:rFonts w:hint="eastAsia" w:ascii="宋体" w:hAnsi="宋体" w:eastAsia="宋体" w:cs="宋体"/>
                <w:i w:val="0"/>
                <w:iCs w:val="0"/>
                <w:color w:val="000000"/>
                <w:sz w:val="16"/>
                <w:szCs w:val="16"/>
                <w:u w:val="none"/>
              </w:rPr>
            </w:pP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1CF52E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 </w:t>
            </w:r>
          </w:p>
        </w:tc>
        <w:tc>
          <w:tcPr>
            <w:tcW w:w="787" w:type="dxa"/>
            <w:tcBorders>
              <w:top w:val="single" w:color="000000" w:sz="4" w:space="0"/>
              <w:left w:val="single" w:color="000000" w:sz="4" w:space="0"/>
              <w:bottom w:val="single" w:color="000000" w:sz="4" w:space="0"/>
              <w:right w:val="nil"/>
            </w:tcBorders>
            <w:shd w:val="clear" w:color="auto" w:fill="auto"/>
            <w:noWrap/>
            <w:vAlign w:val="center"/>
          </w:tcPr>
          <w:p w14:paraId="31DAB79B">
            <w:pPr>
              <w:jc w:val="left"/>
              <w:rPr>
                <w:rFonts w:hint="eastAsia" w:ascii="宋体" w:hAnsi="宋体" w:eastAsia="宋体" w:cs="宋体"/>
                <w:i w:val="0"/>
                <w:iCs w:val="0"/>
                <w:color w:val="000000"/>
                <w:sz w:val="16"/>
                <w:szCs w:val="16"/>
                <w:u w:val="none"/>
              </w:rPr>
            </w:pPr>
          </w:p>
        </w:tc>
        <w:tc>
          <w:tcPr>
            <w:tcW w:w="801" w:type="dxa"/>
            <w:tcBorders>
              <w:top w:val="single" w:color="000000" w:sz="4" w:space="0"/>
              <w:left w:val="nil"/>
              <w:bottom w:val="single" w:color="000000" w:sz="4" w:space="0"/>
              <w:right w:val="single" w:color="000000" w:sz="4" w:space="0"/>
            </w:tcBorders>
            <w:shd w:val="clear" w:color="auto" w:fill="auto"/>
            <w:vAlign w:val="center"/>
          </w:tcPr>
          <w:p w14:paraId="31B713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8.70 </w:t>
            </w:r>
          </w:p>
        </w:tc>
        <w:tc>
          <w:tcPr>
            <w:tcW w:w="982" w:type="dxa"/>
            <w:tcBorders>
              <w:top w:val="single" w:color="000000" w:sz="4" w:space="0"/>
              <w:left w:val="single" w:color="000000" w:sz="4" w:space="0"/>
              <w:bottom w:val="single" w:color="000000" w:sz="4" w:space="0"/>
              <w:right w:val="nil"/>
            </w:tcBorders>
            <w:shd w:val="clear" w:color="auto" w:fill="auto"/>
            <w:noWrap/>
            <w:vAlign w:val="center"/>
          </w:tcPr>
          <w:p w14:paraId="72C4EA2A">
            <w:pPr>
              <w:jc w:val="left"/>
              <w:rPr>
                <w:rFonts w:hint="eastAsia" w:ascii="宋体" w:hAnsi="宋体" w:eastAsia="宋体" w:cs="宋体"/>
                <w:i w:val="0"/>
                <w:iCs w:val="0"/>
                <w:color w:val="000000"/>
                <w:sz w:val="16"/>
                <w:szCs w:val="16"/>
                <w:u w:val="none"/>
              </w:rPr>
            </w:pPr>
          </w:p>
        </w:tc>
        <w:tc>
          <w:tcPr>
            <w:tcW w:w="788" w:type="dxa"/>
            <w:tcBorders>
              <w:top w:val="single" w:color="000000" w:sz="4" w:space="0"/>
              <w:left w:val="nil"/>
              <w:bottom w:val="single" w:color="000000" w:sz="4" w:space="0"/>
              <w:right w:val="single" w:color="000000" w:sz="4" w:space="0"/>
            </w:tcBorders>
            <w:shd w:val="clear" w:color="auto" w:fill="auto"/>
            <w:vAlign w:val="center"/>
          </w:tcPr>
          <w:p w14:paraId="78754E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8.70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F1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E1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2F2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2948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nil"/>
            </w:tcBorders>
            <w:shd w:val="clear" w:color="auto" w:fill="auto"/>
            <w:vAlign w:val="center"/>
          </w:tcPr>
          <w:p w14:paraId="0EE6E9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592" w:type="dxa"/>
            <w:tcBorders>
              <w:top w:val="single" w:color="000000" w:sz="4" w:space="0"/>
              <w:left w:val="nil"/>
              <w:bottom w:val="single" w:color="000000" w:sz="4" w:space="0"/>
              <w:right w:val="single" w:color="000000" w:sz="4" w:space="0"/>
            </w:tcBorders>
            <w:shd w:val="clear" w:color="auto" w:fill="auto"/>
            <w:noWrap/>
            <w:vAlign w:val="center"/>
          </w:tcPr>
          <w:p w14:paraId="0C7E9532">
            <w:pPr>
              <w:jc w:val="left"/>
              <w:rPr>
                <w:rFonts w:hint="eastAsia" w:ascii="宋体" w:hAnsi="宋体" w:eastAsia="宋体" w:cs="宋体"/>
                <w:i w:val="0"/>
                <w:iCs w:val="0"/>
                <w:color w:val="000000"/>
                <w:sz w:val="16"/>
                <w:szCs w:val="16"/>
                <w:u w:val="none"/>
              </w:rPr>
            </w:pPr>
          </w:p>
        </w:tc>
        <w:tc>
          <w:tcPr>
            <w:tcW w:w="730" w:type="dxa"/>
            <w:tcBorders>
              <w:top w:val="single" w:color="000000" w:sz="4" w:space="0"/>
              <w:left w:val="single" w:color="000000" w:sz="4" w:space="0"/>
              <w:bottom w:val="single" w:color="000000" w:sz="4" w:space="0"/>
              <w:right w:val="nil"/>
            </w:tcBorders>
            <w:shd w:val="clear" w:color="auto" w:fill="auto"/>
            <w:noWrap/>
            <w:vAlign w:val="center"/>
          </w:tcPr>
          <w:p w14:paraId="3BD3538E">
            <w:pPr>
              <w:jc w:val="left"/>
              <w:rPr>
                <w:rFonts w:hint="eastAsia" w:ascii="宋体" w:hAnsi="宋体" w:eastAsia="宋体" w:cs="宋体"/>
                <w:i w:val="0"/>
                <w:iCs w:val="0"/>
                <w:color w:val="000000"/>
                <w:sz w:val="16"/>
                <w:szCs w:val="16"/>
                <w:u w:val="none"/>
              </w:rPr>
            </w:pP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7705D4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 </w:t>
            </w:r>
          </w:p>
        </w:tc>
        <w:tc>
          <w:tcPr>
            <w:tcW w:w="787" w:type="dxa"/>
            <w:tcBorders>
              <w:top w:val="single" w:color="000000" w:sz="4" w:space="0"/>
              <w:left w:val="single" w:color="000000" w:sz="4" w:space="0"/>
              <w:bottom w:val="single" w:color="000000" w:sz="4" w:space="0"/>
              <w:right w:val="nil"/>
            </w:tcBorders>
            <w:shd w:val="clear" w:color="auto" w:fill="auto"/>
            <w:noWrap/>
            <w:vAlign w:val="center"/>
          </w:tcPr>
          <w:p w14:paraId="7458DCE1">
            <w:pPr>
              <w:jc w:val="left"/>
              <w:rPr>
                <w:rFonts w:hint="eastAsia" w:ascii="宋体" w:hAnsi="宋体" w:eastAsia="宋体" w:cs="宋体"/>
                <w:i w:val="0"/>
                <w:iCs w:val="0"/>
                <w:color w:val="000000"/>
                <w:sz w:val="16"/>
                <w:szCs w:val="16"/>
                <w:u w:val="none"/>
              </w:rPr>
            </w:pPr>
          </w:p>
        </w:tc>
        <w:tc>
          <w:tcPr>
            <w:tcW w:w="801" w:type="dxa"/>
            <w:tcBorders>
              <w:top w:val="single" w:color="000000" w:sz="4" w:space="0"/>
              <w:left w:val="nil"/>
              <w:bottom w:val="single" w:color="000000" w:sz="4" w:space="0"/>
              <w:right w:val="single" w:color="000000" w:sz="4" w:space="0"/>
            </w:tcBorders>
            <w:shd w:val="clear" w:color="auto" w:fill="auto"/>
            <w:vAlign w:val="center"/>
          </w:tcPr>
          <w:p w14:paraId="6A1367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8.70 </w:t>
            </w:r>
          </w:p>
        </w:tc>
        <w:tc>
          <w:tcPr>
            <w:tcW w:w="982" w:type="dxa"/>
            <w:tcBorders>
              <w:top w:val="single" w:color="000000" w:sz="4" w:space="0"/>
              <w:left w:val="single" w:color="000000" w:sz="4" w:space="0"/>
              <w:bottom w:val="single" w:color="000000" w:sz="4" w:space="0"/>
              <w:right w:val="nil"/>
            </w:tcBorders>
            <w:shd w:val="clear" w:color="auto" w:fill="auto"/>
            <w:noWrap/>
            <w:vAlign w:val="center"/>
          </w:tcPr>
          <w:p w14:paraId="708552C5">
            <w:pPr>
              <w:jc w:val="left"/>
              <w:rPr>
                <w:rFonts w:hint="eastAsia" w:ascii="宋体" w:hAnsi="宋体" w:eastAsia="宋体" w:cs="宋体"/>
                <w:i w:val="0"/>
                <w:iCs w:val="0"/>
                <w:color w:val="000000"/>
                <w:sz w:val="16"/>
                <w:szCs w:val="16"/>
                <w:u w:val="none"/>
              </w:rPr>
            </w:pPr>
          </w:p>
        </w:tc>
        <w:tc>
          <w:tcPr>
            <w:tcW w:w="788" w:type="dxa"/>
            <w:tcBorders>
              <w:top w:val="single" w:color="000000" w:sz="4" w:space="0"/>
              <w:left w:val="nil"/>
              <w:bottom w:val="single" w:color="000000" w:sz="4" w:space="0"/>
              <w:right w:val="single" w:color="000000" w:sz="4" w:space="0"/>
            </w:tcBorders>
            <w:shd w:val="clear" w:color="auto" w:fill="auto"/>
            <w:vAlign w:val="center"/>
          </w:tcPr>
          <w:p w14:paraId="774BF5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8.70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14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46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9FD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2578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nil"/>
            </w:tcBorders>
            <w:shd w:val="clear" w:color="auto" w:fill="auto"/>
            <w:vAlign w:val="center"/>
          </w:tcPr>
          <w:p w14:paraId="7B944D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592" w:type="dxa"/>
            <w:tcBorders>
              <w:top w:val="single" w:color="000000" w:sz="4" w:space="0"/>
              <w:left w:val="nil"/>
              <w:bottom w:val="single" w:color="000000" w:sz="4" w:space="0"/>
              <w:right w:val="single" w:color="000000" w:sz="4" w:space="0"/>
            </w:tcBorders>
            <w:shd w:val="clear" w:color="auto" w:fill="auto"/>
            <w:noWrap/>
            <w:vAlign w:val="center"/>
          </w:tcPr>
          <w:p w14:paraId="3D3CA69B">
            <w:pPr>
              <w:jc w:val="left"/>
              <w:rPr>
                <w:rFonts w:hint="eastAsia" w:ascii="宋体" w:hAnsi="宋体" w:eastAsia="宋体" w:cs="宋体"/>
                <w:i w:val="0"/>
                <w:iCs w:val="0"/>
                <w:color w:val="000000"/>
                <w:sz w:val="16"/>
                <w:szCs w:val="16"/>
                <w:u w:val="none"/>
              </w:rPr>
            </w:pPr>
          </w:p>
        </w:tc>
        <w:tc>
          <w:tcPr>
            <w:tcW w:w="730" w:type="dxa"/>
            <w:tcBorders>
              <w:top w:val="single" w:color="000000" w:sz="4" w:space="0"/>
              <w:left w:val="single" w:color="000000" w:sz="4" w:space="0"/>
              <w:bottom w:val="single" w:color="000000" w:sz="4" w:space="0"/>
              <w:right w:val="nil"/>
            </w:tcBorders>
            <w:shd w:val="clear" w:color="auto" w:fill="auto"/>
            <w:noWrap/>
            <w:vAlign w:val="center"/>
          </w:tcPr>
          <w:p w14:paraId="352D8DBA">
            <w:pPr>
              <w:jc w:val="left"/>
              <w:rPr>
                <w:rFonts w:hint="eastAsia" w:ascii="宋体" w:hAnsi="宋体" w:eastAsia="宋体" w:cs="宋体"/>
                <w:i w:val="0"/>
                <w:iCs w:val="0"/>
                <w:color w:val="000000"/>
                <w:sz w:val="16"/>
                <w:szCs w:val="16"/>
                <w:u w:val="none"/>
              </w:rPr>
            </w:pP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299FBB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 </w:t>
            </w:r>
          </w:p>
        </w:tc>
        <w:tc>
          <w:tcPr>
            <w:tcW w:w="787" w:type="dxa"/>
            <w:tcBorders>
              <w:top w:val="single" w:color="000000" w:sz="4" w:space="0"/>
              <w:left w:val="single" w:color="000000" w:sz="4" w:space="0"/>
              <w:bottom w:val="single" w:color="000000" w:sz="4" w:space="0"/>
              <w:right w:val="nil"/>
            </w:tcBorders>
            <w:shd w:val="clear" w:color="auto" w:fill="auto"/>
            <w:noWrap/>
            <w:vAlign w:val="center"/>
          </w:tcPr>
          <w:p w14:paraId="0BDEE830">
            <w:pPr>
              <w:jc w:val="left"/>
              <w:rPr>
                <w:rFonts w:hint="eastAsia" w:ascii="宋体" w:hAnsi="宋体" w:eastAsia="宋体" w:cs="宋体"/>
                <w:i w:val="0"/>
                <w:iCs w:val="0"/>
                <w:color w:val="000000"/>
                <w:sz w:val="16"/>
                <w:szCs w:val="16"/>
                <w:u w:val="none"/>
              </w:rPr>
            </w:pPr>
          </w:p>
        </w:tc>
        <w:tc>
          <w:tcPr>
            <w:tcW w:w="801" w:type="dxa"/>
            <w:tcBorders>
              <w:top w:val="single" w:color="000000" w:sz="4" w:space="0"/>
              <w:left w:val="nil"/>
              <w:bottom w:val="single" w:color="000000" w:sz="4" w:space="0"/>
              <w:right w:val="single" w:color="000000" w:sz="4" w:space="0"/>
            </w:tcBorders>
            <w:shd w:val="clear" w:color="auto" w:fill="auto"/>
            <w:vAlign w:val="center"/>
          </w:tcPr>
          <w:p w14:paraId="541661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8.70 </w:t>
            </w:r>
          </w:p>
        </w:tc>
        <w:tc>
          <w:tcPr>
            <w:tcW w:w="982" w:type="dxa"/>
            <w:tcBorders>
              <w:top w:val="single" w:color="000000" w:sz="4" w:space="0"/>
              <w:left w:val="single" w:color="000000" w:sz="4" w:space="0"/>
              <w:bottom w:val="single" w:color="000000" w:sz="4" w:space="0"/>
              <w:right w:val="nil"/>
            </w:tcBorders>
            <w:shd w:val="clear" w:color="auto" w:fill="auto"/>
            <w:noWrap/>
            <w:vAlign w:val="center"/>
          </w:tcPr>
          <w:p w14:paraId="54153B5F">
            <w:pPr>
              <w:jc w:val="left"/>
              <w:rPr>
                <w:rFonts w:hint="eastAsia" w:ascii="宋体" w:hAnsi="宋体" w:eastAsia="宋体" w:cs="宋体"/>
                <w:i w:val="0"/>
                <w:iCs w:val="0"/>
                <w:color w:val="000000"/>
                <w:sz w:val="16"/>
                <w:szCs w:val="16"/>
                <w:u w:val="none"/>
              </w:rPr>
            </w:pPr>
          </w:p>
        </w:tc>
        <w:tc>
          <w:tcPr>
            <w:tcW w:w="788" w:type="dxa"/>
            <w:tcBorders>
              <w:top w:val="single" w:color="000000" w:sz="4" w:space="0"/>
              <w:left w:val="nil"/>
              <w:bottom w:val="single" w:color="000000" w:sz="4" w:space="0"/>
              <w:right w:val="single" w:color="000000" w:sz="4" w:space="0"/>
            </w:tcBorders>
            <w:shd w:val="clear" w:color="auto" w:fill="auto"/>
            <w:vAlign w:val="center"/>
          </w:tcPr>
          <w:p w14:paraId="4B8A39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8.70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11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C6A1">
            <w:pPr>
              <w:jc w:val="left"/>
              <w:rPr>
                <w:rFonts w:hint="eastAsia" w:ascii="宋体" w:hAnsi="宋体" w:eastAsia="宋体" w:cs="宋体"/>
                <w:i w:val="0"/>
                <w:iCs w:val="0"/>
                <w:color w:val="000000"/>
                <w:sz w:val="16"/>
                <w:szCs w:val="16"/>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A625">
            <w:pPr>
              <w:jc w:val="left"/>
              <w:rPr>
                <w:rFonts w:hint="eastAsia" w:ascii="宋体" w:hAnsi="宋体" w:eastAsia="宋体" w:cs="宋体"/>
                <w:i w:val="0"/>
                <w:iCs w:val="0"/>
                <w:color w:val="000000"/>
                <w:sz w:val="16"/>
                <w:szCs w:val="16"/>
                <w:u w:val="none"/>
              </w:rPr>
            </w:pPr>
          </w:p>
        </w:tc>
      </w:tr>
      <w:tr w14:paraId="460F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21B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B8B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953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0C8E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3EC49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对古树名木进行抢救性保护</w:t>
            </w: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CCBB8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对古树名木进行抢救性保护</w:t>
            </w:r>
          </w:p>
        </w:tc>
        <w:tc>
          <w:tcPr>
            <w:tcW w:w="29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E29F0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完成名木古树修复、保护一批</w:t>
            </w:r>
          </w:p>
        </w:tc>
      </w:tr>
      <w:tr w14:paraId="24F0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854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5A8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6B1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401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B8E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6CF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3BE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B56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35C0">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B645">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7910">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2059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A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保护名木古树</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98D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5E8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78D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9FD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67E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4FC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98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8C9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335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BF63">
            <w:pPr>
              <w:jc w:val="left"/>
              <w:rPr>
                <w:rFonts w:hint="eastAsia" w:ascii="宋体" w:hAnsi="宋体" w:eastAsia="宋体" w:cs="宋体"/>
                <w:i w:val="0"/>
                <w:iCs w:val="0"/>
                <w:color w:val="000000"/>
                <w:sz w:val="16"/>
                <w:szCs w:val="16"/>
                <w:u w:val="none"/>
              </w:rPr>
            </w:pPr>
          </w:p>
        </w:tc>
      </w:tr>
      <w:tr w14:paraId="7608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A1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名木古树保护率</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66F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0C4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8E5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1B8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E8C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637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15D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A54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B53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3F18">
            <w:pPr>
              <w:jc w:val="left"/>
              <w:rPr>
                <w:rFonts w:hint="eastAsia" w:ascii="宋体" w:hAnsi="宋体" w:eastAsia="宋体" w:cs="宋体"/>
                <w:i w:val="0"/>
                <w:iCs w:val="0"/>
                <w:color w:val="000000"/>
                <w:sz w:val="16"/>
                <w:szCs w:val="16"/>
                <w:u w:val="none"/>
              </w:rPr>
            </w:pPr>
          </w:p>
        </w:tc>
      </w:tr>
      <w:tr w14:paraId="1C04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E7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保护及时率</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472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73D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B03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81D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EB2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17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39B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186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874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258A">
            <w:pPr>
              <w:jc w:val="left"/>
              <w:rPr>
                <w:rFonts w:hint="eastAsia" w:ascii="宋体" w:hAnsi="宋体" w:eastAsia="宋体" w:cs="宋体"/>
                <w:i w:val="0"/>
                <w:iCs w:val="0"/>
                <w:color w:val="000000"/>
                <w:sz w:val="16"/>
                <w:szCs w:val="16"/>
                <w:u w:val="none"/>
              </w:rPr>
            </w:pPr>
          </w:p>
        </w:tc>
      </w:tr>
      <w:tr w14:paraId="452F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3A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名木古树持续健康生长</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792A">
            <w:pPr>
              <w:jc w:val="left"/>
              <w:rPr>
                <w:rFonts w:hint="eastAsia" w:ascii="宋体" w:hAnsi="宋体" w:eastAsia="宋体" w:cs="宋体"/>
                <w:i w:val="0"/>
                <w:iCs w:val="0"/>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256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92C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81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729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026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BE4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983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42F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5D75">
            <w:pPr>
              <w:jc w:val="left"/>
              <w:rPr>
                <w:rFonts w:hint="eastAsia" w:ascii="宋体" w:hAnsi="宋体" w:eastAsia="宋体" w:cs="宋体"/>
                <w:i w:val="0"/>
                <w:iCs w:val="0"/>
                <w:color w:val="000000"/>
                <w:sz w:val="16"/>
                <w:szCs w:val="16"/>
                <w:u w:val="none"/>
              </w:rPr>
            </w:pPr>
          </w:p>
        </w:tc>
      </w:tr>
      <w:tr w14:paraId="6A8F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EA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B57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EB4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1CE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88E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FC1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C07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830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64D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794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255">
            <w:pPr>
              <w:jc w:val="left"/>
              <w:rPr>
                <w:rFonts w:hint="eastAsia" w:ascii="宋体" w:hAnsi="宋体" w:eastAsia="宋体" w:cs="宋体"/>
                <w:i w:val="0"/>
                <w:iCs w:val="0"/>
                <w:color w:val="000000"/>
                <w:sz w:val="16"/>
                <w:szCs w:val="16"/>
                <w:u w:val="none"/>
              </w:rPr>
            </w:pPr>
          </w:p>
        </w:tc>
      </w:tr>
    </w:tbl>
    <w:p w14:paraId="3C776864">
      <w:pPr>
        <w:pStyle w:val="5"/>
        <w:shd w:val="clear" w:color="auto" w:fill="FFFFFF"/>
        <w:rPr>
          <w:rStyle w:val="9"/>
          <w:rFonts w:hint="eastAsia" w:ascii="方正仿宋_GBK" w:hAnsi="方正仿宋_GBK" w:eastAsia="方正仿宋_GBK" w:cs="方正仿宋_GBK"/>
          <w:sz w:val="32"/>
          <w:szCs w:val="32"/>
          <w:shd w:val="clear" w:color="auto" w:fill="FFFFFF"/>
          <w:lang w:val="en-US" w:eastAsia="zh-CN"/>
        </w:rPr>
      </w:pPr>
    </w:p>
    <w:p w14:paraId="0E863430">
      <w:pPr>
        <w:pStyle w:val="5"/>
        <w:shd w:val="clear" w:color="auto" w:fill="FFFFFF"/>
        <w:rPr>
          <w:rStyle w:val="9"/>
          <w:rFonts w:hint="eastAsia" w:ascii="方正仿宋_GBK" w:hAnsi="方正仿宋_GBK" w:eastAsia="方正仿宋_GBK" w:cs="方正仿宋_GBK"/>
          <w:sz w:val="32"/>
          <w:szCs w:val="32"/>
          <w:shd w:val="clear" w:color="auto" w:fill="FFFFFF"/>
          <w:lang w:val="en-US" w:eastAsia="zh-CN"/>
        </w:rPr>
      </w:pPr>
    </w:p>
    <w:p w14:paraId="4C99B0BB">
      <w:pPr>
        <w:pStyle w:val="5"/>
        <w:shd w:val="clear" w:color="auto" w:fill="FFFFFF"/>
        <w:rPr>
          <w:rStyle w:val="9"/>
          <w:rFonts w:hint="eastAsia" w:ascii="方正仿宋_GBK" w:hAnsi="方正仿宋_GBK" w:eastAsia="方正仿宋_GBK" w:cs="方正仿宋_GBK"/>
          <w:sz w:val="32"/>
          <w:szCs w:val="32"/>
          <w:shd w:val="clear" w:color="auto" w:fill="FFFFFF"/>
          <w:lang w:val="en-US" w:eastAsia="zh-CN"/>
        </w:rPr>
      </w:pPr>
    </w:p>
    <w:p w14:paraId="18C475C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textAlignment w:val="auto"/>
        <w:rPr>
          <w:rStyle w:val="9"/>
          <w:rFonts w:hint="eastAsia" w:ascii="方正仿宋_GBK" w:hAnsi="方正仿宋_GBK" w:eastAsia="方正仿宋_GBK" w:cs="方正仿宋_GBK"/>
          <w:sz w:val="32"/>
          <w:szCs w:val="32"/>
          <w:shd w:val="clear" w:color="auto" w:fill="FFFFFF"/>
          <w:lang w:val="en-US" w:eastAsia="zh-CN"/>
        </w:rPr>
      </w:pP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hint="eastAsia" w:ascii="黑体" w:hAnsi="黑体" w:eastAsia="黑体" w:cs="黑体"/>
          <w:sz w:val="32"/>
          <w:szCs w:val="32"/>
          <w:shd w:val="clear" w:color="auto" w:fill="FFFFFF"/>
          <w:lang w:val="en-US" w:eastAsia="zh-CN"/>
        </w:rPr>
        <w:t>六、专业名词解释</w:t>
      </w:r>
    </w:p>
    <w:p w14:paraId="09A2DA0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以下为常见专业名词解释目录，仅供参考，</w:t>
      </w:r>
    </w:p>
    <w:p w14:paraId="6120449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Fonts w:hint="eastAsia" w:ascii="楷体" w:hAnsi="楷体" w:eastAsia="楷体" w:cs="楷体"/>
          <w:b/>
          <w:bCs/>
          <w:kern w:val="0"/>
          <w:sz w:val="32"/>
          <w:szCs w:val="32"/>
          <w:shd w:val="clear" w:color="auto" w:fill="FFFFFF"/>
          <w:lang w:val="en-US" w:eastAsia="zh-CN" w:bidi="ar"/>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E78837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二</w:t>
      </w:r>
      <w:r>
        <w:rPr>
          <w:rStyle w:val="9"/>
          <w:rFonts w:hint="eastAsia" w:ascii="楷体" w:hAnsi="楷体" w:eastAsia="楷体" w:cs="楷体"/>
          <w:sz w:val="32"/>
          <w:szCs w:val="32"/>
          <w:shd w:val="clear" w:color="auto" w:fill="FFFFFF"/>
        </w:rPr>
        <w:t>）年初结转和结余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04CAD9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三</w:t>
      </w:r>
      <w:r>
        <w:rPr>
          <w:rStyle w:val="9"/>
          <w:rFonts w:hint="eastAsia" w:ascii="楷体" w:hAnsi="楷体" w:eastAsia="楷体" w:cs="楷体"/>
          <w:sz w:val="32"/>
          <w:szCs w:val="32"/>
          <w:shd w:val="clear" w:color="auto" w:fill="FFFFFF"/>
        </w:rPr>
        <w:t>）年末结转和结余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DF47BC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四</w:t>
      </w:r>
      <w:r>
        <w:rPr>
          <w:rStyle w:val="9"/>
          <w:rFonts w:hint="eastAsia" w:ascii="楷体" w:hAnsi="楷体" w:eastAsia="楷体" w:cs="楷体"/>
          <w:sz w:val="32"/>
          <w:szCs w:val="32"/>
          <w:shd w:val="clear" w:color="auto" w:fill="FFFFFF"/>
        </w:rPr>
        <w:t>）基本支出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9C208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五</w:t>
      </w:r>
      <w:r>
        <w:rPr>
          <w:rStyle w:val="9"/>
          <w:rFonts w:hint="eastAsia" w:ascii="楷体" w:hAnsi="楷体" w:eastAsia="楷体" w:cs="楷体"/>
          <w:sz w:val="32"/>
          <w:szCs w:val="32"/>
          <w:shd w:val="clear" w:color="auto" w:fill="FFFFFF"/>
        </w:rPr>
        <w:t>）项目支出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BF6CB9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六</w:t>
      </w:r>
      <w:r>
        <w:rPr>
          <w:rStyle w:val="9"/>
          <w:rFonts w:hint="eastAsia" w:ascii="楷体" w:hAnsi="楷体" w:eastAsia="楷体" w:cs="楷体"/>
          <w:sz w:val="32"/>
          <w:szCs w:val="32"/>
          <w:shd w:val="clear" w:color="auto" w:fill="FFFFFF"/>
        </w:rPr>
        <w:t>）“三公”经费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CAA19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七</w:t>
      </w:r>
      <w:r>
        <w:rPr>
          <w:rStyle w:val="9"/>
          <w:rFonts w:hint="eastAsia" w:ascii="楷体" w:hAnsi="楷体" w:eastAsia="楷体" w:cs="楷体"/>
          <w:sz w:val="32"/>
          <w:szCs w:val="32"/>
          <w:shd w:val="clear" w:color="auto" w:fill="FFFFFF"/>
        </w:rPr>
        <w:t>）机关运行经费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A44A1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八</w:t>
      </w:r>
      <w:r>
        <w:rPr>
          <w:rStyle w:val="9"/>
          <w:rFonts w:hint="eastAsia" w:ascii="楷体" w:hAnsi="楷体" w:eastAsia="楷体" w:cs="楷体"/>
          <w:sz w:val="32"/>
          <w:szCs w:val="32"/>
          <w:shd w:val="clear" w:color="auto" w:fill="FFFFFF"/>
        </w:rPr>
        <w:t>）工资福利支出（支出经济分类科目类级）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CB7CA9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九</w:t>
      </w:r>
      <w:r>
        <w:rPr>
          <w:rStyle w:val="9"/>
          <w:rFonts w:hint="eastAsia" w:ascii="楷体" w:hAnsi="楷体" w:eastAsia="楷体" w:cs="楷体"/>
          <w:sz w:val="32"/>
          <w:szCs w:val="32"/>
          <w:shd w:val="clear" w:color="auto" w:fill="FFFFFF"/>
        </w:rPr>
        <w:t>）商品和服务支出（支出经济分类科目类级）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716028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（十）对个人和家庭的补助（支出经济分类科目类级）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反映用于对个人和家庭的补助支出。</w:t>
      </w:r>
    </w:p>
    <w:p w14:paraId="3E5ABC5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w:t>
      </w:r>
      <w:r>
        <w:rPr>
          <w:rStyle w:val="9"/>
          <w:rFonts w:hint="eastAsia" w:ascii="楷体" w:hAnsi="楷体" w:eastAsia="楷体" w:cs="楷体"/>
          <w:sz w:val="32"/>
          <w:szCs w:val="32"/>
          <w:shd w:val="clear" w:color="auto" w:fill="FFFFFF"/>
          <w:lang w:eastAsia="zh-CN"/>
        </w:rPr>
        <w:t>一</w:t>
      </w:r>
      <w:r>
        <w:rPr>
          <w:rStyle w:val="9"/>
          <w:rFonts w:hint="eastAsia" w:ascii="楷体" w:hAnsi="楷体" w:eastAsia="楷体" w:cs="楷体"/>
          <w:sz w:val="32"/>
          <w:szCs w:val="32"/>
          <w:shd w:val="clear" w:color="auto" w:fill="FFFFFF"/>
        </w:rPr>
        <w:t>）其他资本性支出（支出经济分类科目类级）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0CD9FE">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textAlignment w:val="auto"/>
        <w:rPr>
          <w:rStyle w:val="9"/>
          <w:rFonts w:hint="eastAsia" w:ascii="方正仿宋_GBK" w:hAnsi="方正仿宋_GBK" w:eastAsia="方正仿宋_GBK" w:cs="方正仿宋_GBK"/>
          <w:sz w:val="32"/>
          <w:szCs w:val="32"/>
          <w:shd w:val="clear" w:color="auto" w:fill="FFFFFF"/>
          <w:lang w:val="en-US" w:eastAsia="zh-CN"/>
        </w:rPr>
      </w:pPr>
      <w:r>
        <w:rPr>
          <w:rStyle w:val="9"/>
          <w:rFonts w:hint="eastAsia" w:ascii="黑体" w:hAnsi="黑体" w:eastAsia="黑体" w:cs="黑体"/>
          <w:sz w:val="32"/>
          <w:szCs w:val="32"/>
          <w:shd w:val="clear" w:color="auto" w:fill="FFFFFF"/>
          <w:lang w:val="en-US" w:eastAsia="zh-CN"/>
        </w:rPr>
        <w:t>七、决算公开联系方式及信息反馈渠道</w:t>
      </w:r>
    </w:p>
    <w:p w14:paraId="03720D6C">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firstLine="640" w:firstLineChars="200"/>
        <w:jc w:val="left"/>
        <w:textAlignment w:val="auto"/>
        <w:rPr>
          <w:rStyle w:val="9"/>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决算公开信息反馈和联系方式：</w:t>
      </w:r>
      <w:r>
        <w:rPr>
          <w:rFonts w:hint="eastAsia" w:ascii="仿宋" w:hAnsi="仿宋" w:eastAsia="仿宋" w:cs="仿宋"/>
          <w:kern w:val="0"/>
          <w:sz w:val="32"/>
          <w:szCs w:val="32"/>
        </w:rPr>
        <w:t>023-79223430</w:t>
      </w:r>
    </w:p>
    <w:p w14:paraId="2754F381">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13F80A07">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3BD6726E">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2633C710">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59B88489">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45E04A48">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51986C29">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2F265769">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10BE528B">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5DB2652D">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43F49F8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74F6127B">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6C1723FB">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重庆市黔江区林业局（本级）</w:t>
            </w:r>
          </w:p>
        </w:tc>
        <w:tc>
          <w:tcPr>
            <w:tcW w:w="4358" w:type="dxa"/>
            <w:tcBorders>
              <w:top w:val="nil"/>
              <w:left w:val="nil"/>
              <w:bottom w:val="nil"/>
              <w:right w:val="nil"/>
            </w:tcBorders>
            <w:shd w:val="clear" w:color="auto" w:fill="auto"/>
            <w:noWrap/>
            <w:tcMar>
              <w:top w:w="15" w:type="dxa"/>
              <w:left w:w="15" w:type="dxa"/>
              <w:right w:w="15" w:type="dxa"/>
            </w:tcMar>
            <w:vAlign w:val="bottom"/>
          </w:tcPr>
          <w:p w14:paraId="532C1ECD">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68BEC835">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372FE3F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885C525">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E0B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6BB11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004FFA2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D1E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4262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95CA39">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A34B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5E3AED8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520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4CE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7F9B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5719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F12F18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C77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3A4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222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32E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C2E62A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1CC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2B9E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EC0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4C8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5CAC78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6B2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34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4F1D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44D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D442D9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B3F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CF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87C9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5D8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C1D875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EB9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33F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27D5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CE0B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D2C4E2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131B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8AE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FC7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DE4D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BB204C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C0A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386FA2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325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EE80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279.25</w:t>
            </w:r>
            <w:r>
              <w:rPr>
                <w:rFonts w:hint="eastAsia" w:cs="宋体"/>
                <w:b w:val="0"/>
                <w:bCs w:val="0"/>
                <w:color w:val="000000"/>
                <w:sz w:val="21"/>
                <w:szCs w:val="21"/>
                <w:lang w:val="en-US" w:eastAsia="zh-CN" w:bidi="ar"/>
              </w:rPr>
              <w:t xml:space="preserve"> </w:t>
            </w:r>
          </w:p>
        </w:tc>
      </w:tr>
      <w:tr w14:paraId="1E9218C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48F42">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DFC18">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618A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99D6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47.18</w:t>
            </w:r>
            <w:r>
              <w:rPr>
                <w:rFonts w:hint="eastAsia" w:cs="宋体"/>
                <w:b w:val="0"/>
                <w:bCs w:val="0"/>
                <w:color w:val="000000"/>
                <w:sz w:val="21"/>
                <w:szCs w:val="21"/>
                <w:lang w:val="en-US" w:eastAsia="zh-CN" w:bidi="ar"/>
              </w:rPr>
              <w:t xml:space="preserve"> </w:t>
            </w:r>
          </w:p>
        </w:tc>
      </w:tr>
      <w:tr w14:paraId="1BE6E7F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134AD8">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A20A1">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D981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BED6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1,391.23</w:t>
            </w:r>
            <w:r>
              <w:rPr>
                <w:rFonts w:hint="eastAsia" w:cs="宋体"/>
                <w:b w:val="0"/>
                <w:bCs w:val="0"/>
                <w:color w:val="000000"/>
                <w:sz w:val="21"/>
                <w:szCs w:val="21"/>
                <w:lang w:val="en-US" w:eastAsia="zh-CN" w:bidi="ar"/>
              </w:rPr>
              <w:t xml:space="preserve"> </w:t>
            </w:r>
          </w:p>
        </w:tc>
      </w:tr>
      <w:tr w14:paraId="126A498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CABCD">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DA943">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37F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6D48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1FACC1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A0170">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AFCC8">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D1B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447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6,487.30</w:t>
            </w:r>
            <w:r>
              <w:rPr>
                <w:rFonts w:hint="eastAsia" w:cs="宋体"/>
                <w:b w:val="0"/>
                <w:bCs w:val="0"/>
                <w:color w:val="000000"/>
                <w:sz w:val="21"/>
                <w:szCs w:val="21"/>
                <w:lang w:val="en-US" w:eastAsia="zh-CN" w:bidi="ar"/>
              </w:rPr>
              <w:t xml:space="preserve"> </w:t>
            </w:r>
          </w:p>
        </w:tc>
      </w:tr>
      <w:tr w14:paraId="65BE42E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E0448">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ACF7">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6A2E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1B9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AF2766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B2AB7">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0459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1ED2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4D4D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230328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45CCE">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75C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8BB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5C47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252.00</w:t>
            </w:r>
            <w:r>
              <w:rPr>
                <w:rFonts w:hint="eastAsia" w:cs="宋体"/>
                <w:b w:val="0"/>
                <w:bCs w:val="0"/>
                <w:color w:val="000000"/>
                <w:sz w:val="21"/>
                <w:szCs w:val="21"/>
                <w:lang w:val="en-US" w:eastAsia="zh-CN" w:bidi="ar"/>
              </w:rPr>
              <w:t xml:space="preserve"> </w:t>
            </w:r>
          </w:p>
        </w:tc>
      </w:tr>
      <w:tr w14:paraId="41BA6AB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856AF">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247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932B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581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CF0762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D1017">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DAA0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A8ED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175B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89AFE3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84AC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D882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2F10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DAF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8F355D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C3179">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26FE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AB0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8A199">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46.09</w:t>
            </w:r>
            <w:r>
              <w:rPr>
                <w:rFonts w:hint="eastAsia" w:cs="宋体"/>
                <w:b w:val="0"/>
                <w:bCs w:val="0"/>
                <w:color w:val="000000"/>
                <w:sz w:val="21"/>
                <w:szCs w:val="21"/>
                <w:lang w:val="en-US" w:eastAsia="zh-CN" w:bidi="ar"/>
              </w:rPr>
              <w:t xml:space="preserve"> </w:t>
            </w:r>
          </w:p>
        </w:tc>
      </w:tr>
      <w:tr w14:paraId="2EDD01B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DF0D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0EA5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C9AC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3695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B33DAC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F3761">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45F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68C9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BFB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E3D169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FC0C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04A8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084A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627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5B93F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6DAFA">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AED4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885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97E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E7B282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DB56C">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16B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F7E8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FB2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584916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23810">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642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73B5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B5F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7BBE86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9B0B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551B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375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725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3AB5C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761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AED3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6B5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F42E">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r>
      <w:tr w14:paraId="543F433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4DA1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852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CFD6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8B39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6C34B1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42F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1A9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31D7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ED0F63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DC04474">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BB3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B65A">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2621C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14FBF">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r>
    </w:tbl>
    <w:p w14:paraId="751D2E23">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C193F29">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434BE4E3">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19FC049D">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76374574">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073C0D14">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7C8986DA">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重庆市黔江区林业局（本级）</w:t>
            </w:r>
          </w:p>
        </w:tc>
        <w:tc>
          <w:tcPr>
            <w:tcW w:w="2412" w:type="dxa"/>
            <w:tcBorders>
              <w:top w:val="nil"/>
              <w:left w:val="nil"/>
              <w:bottom w:val="nil"/>
              <w:right w:val="nil"/>
            </w:tcBorders>
            <w:shd w:val="clear" w:color="auto" w:fill="auto"/>
            <w:noWrap/>
            <w:tcMar>
              <w:top w:w="15" w:type="dxa"/>
              <w:left w:w="15" w:type="dxa"/>
              <w:right w:w="15" w:type="dxa"/>
            </w:tcMar>
            <w:vAlign w:val="bottom"/>
          </w:tcPr>
          <w:p w14:paraId="7896C480">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55256DD5">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81201CB">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24D5D38">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FED375F">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7999CF4">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7A86FF7">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3A802BF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3DF32403">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4AD86DB7">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25D5DEDF">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500225DC">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0CFA43D">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286D473">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B245464">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96EEBB5">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122650E">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777D17C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C4B4AB2">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46BB4C9">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281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FEF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91AD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C8F7FB1">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27EE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8CC1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7FAB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703E65FA">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09B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2625D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905755">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35E4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A70914">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243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79D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C4390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496B29">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94D0A">
            <w:pPr>
              <w:jc w:val="center"/>
              <w:rPr>
                <w:rFonts w:hint="eastAsia" w:ascii="宋体" w:hAnsi="宋体" w:eastAsia="宋体" w:cs="宋体"/>
                <w:b/>
                <w:i w:val="0"/>
                <w:color w:val="000000"/>
                <w:sz w:val="22"/>
                <w:szCs w:val="22"/>
                <w:u w:val="none"/>
              </w:rPr>
            </w:pPr>
          </w:p>
        </w:tc>
      </w:tr>
      <w:tr w14:paraId="086B4424">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6539C">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2347881">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2008C1">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758E5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6449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A4171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10D0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263F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2BF09C">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809826">
            <w:pPr>
              <w:jc w:val="center"/>
              <w:rPr>
                <w:rFonts w:hint="eastAsia" w:ascii="宋体" w:hAnsi="宋体" w:eastAsia="宋体" w:cs="宋体"/>
                <w:b/>
                <w:i w:val="0"/>
                <w:color w:val="000000"/>
                <w:sz w:val="22"/>
                <w:szCs w:val="22"/>
                <w:u w:val="none"/>
              </w:rPr>
            </w:pPr>
          </w:p>
        </w:tc>
      </w:tr>
      <w:tr w14:paraId="1CCF0F55">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0C2FA">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90F7332">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1E9612">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398A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7C84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35DFD">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E032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96A1E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E5382F">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3A93E">
            <w:pPr>
              <w:jc w:val="center"/>
              <w:rPr>
                <w:rFonts w:hint="eastAsia" w:ascii="宋体" w:hAnsi="宋体" w:eastAsia="宋体" w:cs="宋体"/>
                <w:b/>
                <w:i w:val="0"/>
                <w:color w:val="000000"/>
                <w:sz w:val="22"/>
                <w:szCs w:val="22"/>
                <w:u w:val="none"/>
              </w:rPr>
            </w:pPr>
          </w:p>
        </w:tc>
      </w:tr>
      <w:tr w14:paraId="1EE6540C">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F9625">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BB3E4DC">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53405F">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CDB3B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2DB7D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A58E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84397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F12F5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647F25">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FADD7">
            <w:pPr>
              <w:jc w:val="center"/>
              <w:rPr>
                <w:rFonts w:hint="eastAsia" w:ascii="宋体" w:hAnsi="宋体" w:eastAsia="宋体" w:cs="宋体"/>
                <w:b/>
                <w:i w:val="0"/>
                <w:color w:val="000000"/>
                <w:sz w:val="22"/>
                <w:szCs w:val="22"/>
                <w:u w:val="none"/>
              </w:rPr>
            </w:pPr>
          </w:p>
        </w:tc>
      </w:tr>
      <w:tr w14:paraId="115C3A03">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6D8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F304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8,503.05</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874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8,503.05</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87D2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0280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A50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2BE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CE0C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52E4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1B0A3D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5BF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807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DA5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279.25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ABC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279.25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30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8A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DA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48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05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1E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EC4420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D7B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C2A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F50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67.48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BEA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67.48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1B7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1BA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1D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A2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F2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2A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7190E3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A0D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188C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引进人才费用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2E7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8B8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22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61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BE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F6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22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204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5739B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F8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E85F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2E1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66.58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C68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66.58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E6A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BF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803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FF5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7A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437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FFE01A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58E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9E92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3A9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170.92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EB7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170.92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F66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3C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56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49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23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CE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1A8520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8F9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C32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102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898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AE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85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77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5E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FA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4E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17FE2E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336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61D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7AC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60.77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561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60.77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57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D8B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35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18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A7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F6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7C8A02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4BB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19F6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8C6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52.45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5CB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52.45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E2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BF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8A9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7D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10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57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641E96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713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E85E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D86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38.34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397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38.34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21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F9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1B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B4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79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13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2B1856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7DC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430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18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34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F9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EF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F7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94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AC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81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C26A8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9E4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1B8B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A61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DB2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02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BA3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FF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3F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F1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144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F3E97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6CE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2080901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5E32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退役士兵安置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380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56E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EDC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2F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28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56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21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18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EAA85B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373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3B3D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75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DC6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80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C4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98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CE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E7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9F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4C727D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9EE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C5C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957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879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7F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AAF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2B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6F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B6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4D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BCB12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93B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EAF7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5D2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34.18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FF1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34.18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69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EB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20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40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C5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A6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A0D4D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C31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E4D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1DC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7BC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9D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0BE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B6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822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74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4F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3FF1FC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A7F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C5DB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D7B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41E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0E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7C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DB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BE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AB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75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C6161F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E46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D4B2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925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1,391.23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2FC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1,391.23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E5B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CC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F4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C5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98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F3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422CE8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1B8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7FD5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B7C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845.34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A6E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845.34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40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81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4E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B6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1B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25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486C3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1A2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E0D0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F15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717.91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D99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717.91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EE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9C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29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CA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9F0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DDD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6CE8B7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C29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413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生物及物种资源保护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B53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953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EDE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5A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FD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30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BF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13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D819D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912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3DE4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自然保护地</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5D0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48.60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DAF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48.60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BC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1C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53E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B2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73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ED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78800E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877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6DBB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森林保护修复</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9E9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545.88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518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545.88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DF7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C1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6A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BE9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96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22A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0DF93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FB0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A21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森林管护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A99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526.80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4FB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526.80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C8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2D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46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14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FF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C9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89A1D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FC0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E47D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社会保险补助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456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12.43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532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12.43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C0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88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80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89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E2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5C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A19F10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94C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70BD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其他森林保护修复支出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C12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DDA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DE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68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45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EA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2A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44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53D300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589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2EF0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0B4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6,487.30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1BA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6,487.30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58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22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F0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CE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7A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D1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7D149C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C77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742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B86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58.00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4B0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58.00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D2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E3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E1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14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63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D7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B90064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39F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4DF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农业生态资源保护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B4A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040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BF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A1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50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36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96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66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920E41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042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F5F6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5C0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5,960.37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D3F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5,960.37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97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36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F1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C0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56C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CD4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F0D69C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A61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01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B07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472.68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B4F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472.68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F4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AF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E8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79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AF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16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2CAD98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EF4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C2EB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F5A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23.69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CCA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23.69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CB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B3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0F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02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DC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F0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31ED6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16D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082E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A2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821.80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55B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821.80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8D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76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99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BB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79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2F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6DD41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60E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B5E8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280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176.67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C24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176.67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05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1A1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636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A3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3F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FD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E0C7E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534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912F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森林生态效益补偿</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FD6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1,252.61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0FA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1,252.61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93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90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56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E4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5F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CD3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F7D6C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5B4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A386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动植物保护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A9B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1F4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2E8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725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E6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0C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67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DC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F1E8E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121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C10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信息管理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AC4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22.65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56C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22.65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FD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D4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542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716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A92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9C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542E74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546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206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620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1,553.66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16E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1,553.66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CA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D8B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44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80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59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6ED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B57704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EC5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557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退耕还林还草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A5B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1,490.75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8D3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1,490.75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C2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64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C6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BF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3AC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C8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12C1D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EF5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198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3E3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137.17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999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137.17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A5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1C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A2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4C3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306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DD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0F3F1D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877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4EE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4DD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7F2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78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F2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7B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B9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F1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2F9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407F2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6CC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00F7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其他水利支出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BAD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1BF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3B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90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EE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DF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79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31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075CED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C3C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1A7B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876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243.87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7E4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243.87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10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D6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38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E7B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01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89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3A903A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7B7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78C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40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243.87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85E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243.87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3C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B7E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A3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8F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9F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B6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18A96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D63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839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普惠金融发展支出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51F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209.21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2AF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209.21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D7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46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4F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6B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CA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83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C1817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261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3F33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农业保险保费补贴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380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209.21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CA5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209.21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BC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9D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CE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44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EE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D4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4FDC1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B6D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70A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AE9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6C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98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DB0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FF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76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D8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A06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2B958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487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0D5B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556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FBA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F8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24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62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85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18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38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4D6FD5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B5D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09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F97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F4B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A2E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EA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40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C7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DE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77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5F81DB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7B8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6B9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涉外发展服务支出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565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216.00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444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216.00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2F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E2D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E4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96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C4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68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E4E9E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A39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2659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其他涉外发展服务支出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AD9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216.00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5B9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216.00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59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85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BA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9A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40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C4D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392A3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7A9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47D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58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2A4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E7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7A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74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5F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3E5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56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F43F15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FE0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C9B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BED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3A6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C0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BC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DF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B8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2E5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C6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23562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0A8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781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7A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46.09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29C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46.09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ED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D7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BB6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10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80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A8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3978B0F0">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0C7DDDEA">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6F620E04">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00CA7F7">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362E0A41">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0561FA81">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3197D338">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重庆市黔江区林业局（本级）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5BEF5D4F">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B40B699">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B451E67">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84D1BAA">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7FB7CD6">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466005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1CBE6F61">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4E8C88F0">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6E90540">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5D78142">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FA230CA">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5DA6D38">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091C8A5">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148A403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30510B7">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B6F7068">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E0B1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8F43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39B2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4D3D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E23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BBBE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3E105F5B">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EE4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F5B05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F9183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CAFC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82B64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81C1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4410D">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F71CD">
            <w:pPr>
              <w:jc w:val="center"/>
              <w:rPr>
                <w:rFonts w:hint="eastAsia" w:ascii="宋体" w:hAnsi="宋体" w:eastAsia="宋体" w:cs="宋体"/>
                <w:b/>
                <w:i w:val="0"/>
                <w:color w:val="000000"/>
                <w:sz w:val="22"/>
                <w:szCs w:val="22"/>
                <w:u w:val="none"/>
              </w:rPr>
            </w:pPr>
          </w:p>
        </w:tc>
      </w:tr>
      <w:tr w14:paraId="68D5CE5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04979">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9DDC58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951DA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F1791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CF74D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31CB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5B0549">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A6D45E">
            <w:pPr>
              <w:jc w:val="center"/>
              <w:rPr>
                <w:rFonts w:hint="eastAsia" w:ascii="宋体" w:hAnsi="宋体" w:eastAsia="宋体" w:cs="宋体"/>
                <w:b/>
                <w:i w:val="0"/>
                <w:color w:val="000000"/>
                <w:sz w:val="22"/>
                <w:szCs w:val="22"/>
                <w:u w:val="none"/>
              </w:rPr>
            </w:pPr>
          </w:p>
        </w:tc>
      </w:tr>
      <w:tr w14:paraId="6129FDB4">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9DDE4">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86051F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376D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D00DE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9189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0914B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D0D3D">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7D03A">
            <w:pPr>
              <w:jc w:val="center"/>
              <w:rPr>
                <w:rFonts w:hint="eastAsia" w:ascii="宋体" w:hAnsi="宋体" w:eastAsia="宋体" w:cs="宋体"/>
                <w:b/>
                <w:i w:val="0"/>
                <w:color w:val="000000"/>
                <w:sz w:val="22"/>
                <w:szCs w:val="22"/>
                <w:u w:val="none"/>
              </w:rPr>
            </w:pPr>
          </w:p>
        </w:tc>
      </w:tr>
      <w:tr w14:paraId="59FDA351">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719AB">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8383AC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7D4CD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5B852C">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E1471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1D0B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27FD5">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FDFA4">
            <w:pPr>
              <w:jc w:val="center"/>
              <w:rPr>
                <w:rFonts w:hint="eastAsia" w:ascii="宋体" w:hAnsi="宋体" w:eastAsia="宋体" w:cs="宋体"/>
                <w:b/>
                <w:i w:val="0"/>
                <w:color w:val="000000"/>
                <w:sz w:val="22"/>
                <w:szCs w:val="22"/>
                <w:u w:val="none"/>
              </w:rPr>
            </w:pPr>
          </w:p>
        </w:tc>
      </w:tr>
      <w:tr w14:paraId="1332889B">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F0FA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C999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8,503.05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F0D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775.20</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4DD7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7,727.85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92B1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BF2B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B20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59CE2FB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F1E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37B8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A1D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279.25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579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209.26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56E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F7E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A28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F1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059D3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E82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B5F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8DD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67.48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61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EC1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67.48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8B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66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79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2E8663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844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3FC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引进人才费用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CA8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F53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FE1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68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6B3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9E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4FEF4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D1D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1C4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DD7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66.58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30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ED4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66.58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4B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1AF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DB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769948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2CD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547C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262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170.92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5FE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170.92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DC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A9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25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8B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F4C557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2DC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17FC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F7D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E2A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1F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68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5B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641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B1E86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D17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ACB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669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6A6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E43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B8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5F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AB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7BE1B7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368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6A8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D04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52.45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A31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52.45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DD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6E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05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33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44BFD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0D4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7AD4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23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5EF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D1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B6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69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1C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E427D8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03F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B0B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7EE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474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38.34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09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F3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91C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8F5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DC0B7E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5BD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A73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C18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8B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C1A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1F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0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12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B23F1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F2B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2080901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15CB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退役士兵安置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0D6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30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11A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05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D5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76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CE77C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93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0968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FA4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31F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4C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FC5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93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C9B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1C8607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1E6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31B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048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5CB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220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AE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523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1E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58519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5DF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DE4E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89C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34.18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807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34.18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2C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780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F3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293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93BB02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B6D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ADF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60D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90E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7A5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2A6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09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A8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2EE9EA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731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64CB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03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2A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9C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98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350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13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0DD14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F8D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C22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882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1,391.23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B6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585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1,391.23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A7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A1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D6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28B5E3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6FA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81D4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EC9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845.34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B9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D34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845.34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2F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58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F1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9CD68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87E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AD12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D50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717.91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B7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523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717.91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98F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55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B1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092779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75D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420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生物及物种资源保护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632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3F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C60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3D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30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7F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7C944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285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D287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自然保护地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969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48.60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B6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1A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48.60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D2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54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35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6B1FB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CE2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B227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森林保护修复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95A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545.88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23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D5B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545.88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6D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2C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8F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7DB49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A9F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122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森林管护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4E8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526.80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FB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829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526.80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9D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AC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20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4B69B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7D9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D713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社会保险补助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2E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143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194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4A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AA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07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8A3CDA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53D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2D5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其他森林保护修复支出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7C1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7F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D9E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D9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CB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7C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508C1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94E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ECA7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99F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6,487.30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B63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472.68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49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6,014.62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DB5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E6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29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E4D9CE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E81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64B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BFE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58.00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0E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0AA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58.00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6D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64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67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9FE47B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EDF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1EFF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农业生态资源保护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611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81F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CDF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8B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98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A23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EAD78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373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46ED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CBD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5,960.37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3FC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472.68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F7B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5,487.70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20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45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21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7A3AC2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168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5022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4FD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472.68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DF6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472.68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EBF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99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7E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A3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BCA60B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84A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CBB6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5F7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23.69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5C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B8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23.69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7CB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2C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0C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A5648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55C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F14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E2C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821.80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6A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BE8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821.80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4FF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94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0B3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5C2215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683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6E1C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03B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176.67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93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DFC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176.67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41D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6D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87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EAF3DC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15B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311F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森林生态效益补偿</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6C8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1,252.61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5B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16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1,252.61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24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7C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E6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CE03F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99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5B29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动植物保护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46E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0A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65A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EAF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0F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EC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E3E888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A67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317C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信息管理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29F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22.65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BEE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9DC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22.65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45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F1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39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AC1BC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531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CF2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2C2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1,553.66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6CE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0DF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1,553.66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FE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BD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06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D8830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662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336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退耕还林还草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FCE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1,490.75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8D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066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1,490.75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06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EC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C0F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C4E2E0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267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1F1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8EB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137.17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10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8CA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137.17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2BE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44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7D3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6E0A6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8B1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CE02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902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10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201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15.85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4D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F55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A4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B53971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072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29C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其他水利支出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7A6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E9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84E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E4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2C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8B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19195C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700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1782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BFA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243.87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12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71A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243.87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238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37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82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37863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C45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28D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919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243.87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7A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005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243.87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D42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88D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4A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D05D7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BA7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21E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普惠金融发展支出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507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209.21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32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643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209.21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634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26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BB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BDBF6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35C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0B7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农业保险保费补贴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AC2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209.21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D7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F62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209.21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13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CA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C7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CC2D77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DB3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ED2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89D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42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51C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252.00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B6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65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DF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47B53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B55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0DCC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B0D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64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04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AA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DA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82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2D921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8F2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F5CB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12C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27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14C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A2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4D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F31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51196B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22F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C33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涉外发展服务支出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44E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C2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C45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216.00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E6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40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D24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CD9B09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DFF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4A81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其他涉外发展服务支出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1E8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10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7C7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216.00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00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1F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B8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24CBF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1D2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4D2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351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DAE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6F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D8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46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7F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A2E63F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93B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965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8D0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D86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46.09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4C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F6C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86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0E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F3A950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921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500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DC5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46.09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0F4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46.09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FD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0D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1B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7D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3266290E">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25AF57A">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6B55AA2B">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721D06FB">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4A0AD81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591490DD">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287E36FA">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重庆市黔江区林业局（本级）</w:t>
            </w:r>
          </w:p>
        </w:tc>
        <w:tc>
          <w:tcPr>
            <w:tcW w:w="3752" w:type="dxa"/>
            <w:tcBorders>
              <w:top w:val="nil"/>
              <w:left w:val="nil"/>
              <w:bottom w:val="nil"/>
              <w:right w:val="nil"/>
            </w:tcBorders>
            <w:shd w:val="clear" w:color="auto" w:fill="auto"/>
            <w:noWrap/>
            <w:tcMar>
              <w:top w:w="15" w:type="dxa"/>
              <w:left w:w="15" w:type="dxa"/>
              <w:right w:w="15" w:type="dxa"/>
            </w:tcMar>
            <w:vAlign w:val="bottom"/>
          </w:tcPr>
          <w:p w14:paraId="1A4EC86B">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088969B">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7188A26">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82E4C90">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36DA69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6DAF4C5B">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70D8A1F8">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36264A88">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8C4B82C">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8972566">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9E2132F">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2C21F95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5876295">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819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1FC7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77F692C3">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135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EF46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1A3F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D86D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0487BD04">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52CB9">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E687DC">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3F7508">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FA5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DF9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B8CB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2E6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7AA66A5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F9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5A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BD0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4F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B5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B59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27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895CF4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603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CBB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3E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E2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10E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D8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2D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52995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E9C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3B8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959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FA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9F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F41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E7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495242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1D28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4C5593">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0E0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BA7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065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E0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568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7A9B56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F8748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02B13">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E1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42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14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21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547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A64F82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4D356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42FDEB">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8AD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14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97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00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39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5E1CCA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4C7E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83A3AE">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1BE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499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DAB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ECA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D4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F2FFA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E896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25EFCC">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E68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864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279.25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A82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279.25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8C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7EB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3FE604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2F51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71CFA">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2AD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B80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47.18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917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47.18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E8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6CE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B0700B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09E5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B3F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AE7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967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1,391.23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763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1,391.23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26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415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87E3F6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D6C07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04D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AEC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EAE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28D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298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FE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D1EC6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35A1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EC4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F52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D41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6,487.30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535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6,487.30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A4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124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FD6589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5047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6A9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36B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1CB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057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FEF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D3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2FBD1A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B196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2AA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ED7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63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C6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8B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8E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08F1D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A2B7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F330">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04C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BBD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252.00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BDF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252.00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66A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DB5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BE95AB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4A00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FC0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B9F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43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F9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E6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CA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AA4FC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6B801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F0A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011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AF7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87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94B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D2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22869E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53B0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50D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6A4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30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B76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9C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E53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537FA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752D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850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11C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2CD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46.09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7A2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46.09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C6A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737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13B1E8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5A05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1E2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285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A54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087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430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75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80A870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6524C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BEB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A6E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7D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F0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FD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F2D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22A6F1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8512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6F0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12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C39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B6D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DB7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502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710178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F31B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599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087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06D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89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82B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54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4DC9F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918537">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2C72">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AF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4FA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11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FA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2BD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C171A4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5C15E73">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2D48">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885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B95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33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0E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20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359B7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8E01FA3">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DE94">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DE8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BF2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047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032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98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6C127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1BD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082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DAE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1E9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9D7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9E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D0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189BA6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0D0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04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C4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C2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6B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91E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8B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1AAAF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B54B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37E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5B52CCB">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112D62">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FF28E7">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F77C3">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59E55">
            <w:pPr>
              <w:rPr>
                <w:rFonts w:hint="default" w:ascii="Arial" w:hAnsi="Arial" w:eastAsia="宋体" w:cs="Arial"/>
                <w:i w:val="0"/>
                <w:color w:val="000000"/>
                <w:sz w:val="20"/>
                <w:szCs w:val="20"/>
                <w:u w:val="none"/>
              </w:rPr>
            </w:pPr>
          </w:p>
        </w:tc>
      </w:tr>
      <w:tr w14:paraId="54BD8AF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EB6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5EC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DC364">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D92B">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D096">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C441">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3147">
            <w:pPr>
              <w:jc w:val="right"/>
              <w:rPr>
                <w:rFonts w:hint="eastAsia" w:ascii="宋体" w:hAnsi="宋体" w:eastAsia="宋体" w:cs="宋体"/>
                <w:i w:val="0"/>
                <w:color w:val="000000"/>
                <w:sz w:val="22"/>
                <w:szCs w:val="22"/>
                <w:u w:val="none"/>
              </w:rPr>
            </w:pPr>
          </w:p>
        </w:tc>
      </w:tr>
      <w:tr w14:paraId="26A16C9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5C6A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B7F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FDA6B">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6909">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8AD1">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E302">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BC6F">
            <w:pPr>
              <w:jc w:val="right"/>
              <w:rPr>
                <w:rFonts w:hint="eastAsia" w:ascii="宋体" w:hAnsi="宋体" w:eastAsia="宋体" w:cs="宋体"/>
                <w:i w:val="0"/>
                <w:color w:val="000000"/>
                <w:sz w:val="22"/>
                <w:szCs w:val="22"/>
                <w:u w:val="none"/>
              </w:rPr>
            </w:pPr>
          </w:p>
        </w:tc>
      </w:tr>
      <w:tr w14:paraId="77E5020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615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0CE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1D3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D368">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F6E6">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8,503.05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A445">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73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0BD80F3C">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A6057B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0480B330">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7E3327C2">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478AB2C8">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094ED3EA">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重庆市黔江区林业局（本级）</w:t>
            </w:r>
          </w:p>
        </w:tc>
        <w:tc>
          <w:tcPr>
            <w:tcW w:w="4817" w:type="dxa"/>
            <w:tcBorders>
              <w:top w:val="nil"/>
              <w:left w:val="nil"/>
              <w:bottom w:val="nil"/>
              <w:right w:val="nil"/>
            </w:tcBorders>
            <w:shd w:val="clear" w:color="auto" w:fill="auto"/>
            <w:noWrap/>
            <w:tcMar>
              <w:top w:w="15" w:type="dxa"/>
              <w:left w:w="15" w:type="dxa"/>
              <w:right w:w="15" w:type="dxa"/>
            </w:tcMar>
            <w:vAlign w:val="bottom"/>
          </w:tcPr>
          <w:p w14:paraId="361711A0">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835BB7C">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5177325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02CA14DC">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42F8E2E4">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1A2B6EC4">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60F10420">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2ED7D41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FFD2F86">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7B6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154BA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15900F04">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F18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700A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D883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0F33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85DC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1C4E49B8">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37EBF7">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B0178B">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79BA5C">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2A91F7">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233BB1">
            <w:pPr>
              <w:jc w:val="center"/>
              <w:rPr>
                <w:rFonts w:hint="eastAsia" w:ascii="宋体" w:hAnsi="宋体" w:eastAsia="宋体" w:cs="宋体"/>
                <w:b/>
                <w:i w:val="0"/>
                <w:color w:val="000000"/>
                <w:sz w:val="22"/>
                <w:szCs w:val="22"/>
                <w:u w:val="none"/>
              </w:rPr>
            </w:pPr>
          </w:p>
        </w:tc>
      </w:tr>
      <w:tr w14:paraId="6B2851BF">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31FF2A">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2F55F1">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87C25E">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013681">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FCA3B1">
            <w:pPr>
              <w:jc w:val="center"/>
              <w:rPr>
                <w:rFonts w:hint="eastAsia" w:ascii="宋体" w:hAnsi="宋体" w:eastAsia="宋体" w:cs="宋体"/>
                <w:b/>
                <w:i w:val="0"/>
                <w:color w:val="000000"/>
                <w:sz w:val="22"/>
                <w:szCs w:val="22"/>
                <w:u w:val="none"/>
              </w:rPr>
            </w:pPr>
          </w:p>
        </w:tc>
      </w:tr>
      <w:tr w14:paraId="07D24A9F">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FE08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53F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8,503.05</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68F4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775.20</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CA1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7,727.85</w:t>
            </w:r>
            <w:r>
              <w:rPr>
                <w:rFonts w:hint="eastAsia" w:cs="宋体"/>
                <w:b/>
                <w:bCs/>
                <w:color w:val="000000"/>
                <w:sz w:val="21"/>
                <w:szCs w:val="21"/>
                <w:lang w:val="en-US" w:eastAsia="zh-CN" w:bidi="ar"/>
              </w:rPr>
              <w:t xml:space="preserve"> </w:t>
            </w:r>
          </w:p>
        </w:tc>
      </w:tr>
      <w:tr w14:paraId="67D9483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89B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C4C8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2DF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279.25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3E0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209.26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3BBA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70.00</w:t>
            </w:r>
            <w:r>
              <w:rPr>
                <w:rFonts w:hint="eastAsia" w:cs="宋体"/>
                <w:b/>
                <w:bCs w:val="0"/>
                <w:color w:val="000000"/>
                <w:sz w:val="21"/>
                <w:szCs w:val="21"/>
                <w:lang w:val="en-US" w:eastAsia="zh-CN" w:bidi="ar"/>
              </w:rPr>
              <w:t xml:space="preserve"> </w:t>
            </w:r>
          </w:p>
        </w:tc>
      </w:tr>
      <w:tr w14:paraId="782889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7D1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495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947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67.48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0501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39E0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67.48</w:t>
            </w:r>
            <w:r>
              <w:rPr>
                <w:rFonts w:hint="eastAsia" w:cs="宋体"/>
                <w:b/>
                <w:bCs w:val="0"/>
                <w:color w:val="000000"/>
                <w:sz w:val="21"/>
                <w:szCs w:val="21"/>
                <w:lang w:val="en-US" w:eastAsia="zh-CN" w:bidi="ar"/>
              </w:rPr>
              <w:t xml:space="preserve"> </w:t>
            </w:r>
          </w:p>
        </w:tc>
      </w:tr>
      <w:tr w14:paraId="6B0717A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9A0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7A81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引进人才费用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A3B9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3527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7D4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0.90</w:t>
            </w:r>
            <w:r>
              <w:rPr>
                <w:rFonts w:hint="eastAsia" w:cs="宋体"/>
                <w:b w:val="0"/>
                <w:bCs w:val="0"/>
                <w:color w:val="000000"/>
                <w:sz w:val="21"/>
                <w:szCs w:val="21"/>
                <w:lang w:val="en-US" w:eastAsia="zh-CN" w:bidi="ar"/>
              </w:rPr>
              <w:t xml:space="preserve"> </w:t>
            </w:r>
          </w:p>
        </w:tc>
      </w:tr>
      <w:tr w14:paraId="5254AB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826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26FE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80B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66.58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43EA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A7BF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66.58</w:t>
            </w:r>
            <w:r>
              <w:rPr>
                <w:rFonts w:hint="eastAsia" w:cs="宋体"/>
                <w:b w:val="0"/>
                <w:bCs w:val="0"/>
                <w:color w:val="000000"/>
                <w:sz w:val="21"/>
                <w:szCs w:val="21"/>
                <w:lang w:val="en-US" w:eastAsia="zh-CN" w:bidi="ar"/>
              </w:rPr>
              <w:t xml:space="preserve"> </w:t>
            </w:r>
          </w:p>
        </w:tc>
      </w:tr>
      <w:tr w14:paraId="67B2A3F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19B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C4C4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620C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170.92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72B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170.92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9352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09C972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CF5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859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639D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57.70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7DE6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57.70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1028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34161F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EAB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D7AD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E44D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60.77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B6A0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60.77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0943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355D76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093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FAD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EA9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52.45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837F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52.45</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5A15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F6EFD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43F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F8D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371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38.34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64A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38.34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62F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6A9B1D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42C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6B4E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8C3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38.34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D3C9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38.34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1CF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3C6C67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1EA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AA6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退役安置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947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1A74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D3C9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2.52</w:t>
            </w:r>
            <w:r>
              <w:rPr>
                <w:rFonts w:hint="eastAsia" w:cs="宋体"/>
                <w:b/>
                <w:bCs w:val="0"/>
                <w:color w:val="000000"/>
                <w:sz w:val="21"/>
                <w:szCs w:val="21"/>
                <w:lang w:val="en-US" w:eastAsia="zh-CN" w:bidi="ar"/>
              </w:rPr>
              <w:t xml:space="preserve"> </w:t>
            </w:r>
          </w:p>
        </w:tc>
      </w:tr>
      <w:tr w14:paraId="1633011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BC4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2080901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81FF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退役士兵安置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983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609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FCE3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2.52</w:t>
            </w:r>
            <w:r>
              <w:rPr>
                <w:rFonts w:hint="eastAsia" w:cs="宋体"/>
                <w:b w:val="0"/>
                <w:bCs w:val="0"/>
                <w:color w:val="000000"/>
                <w:sz w:val="21"/>
                <w:szCs w:val="21"/>
                <w:lang w:val="en-US" w:eastAsia="zh-CN" w:bidi="ar"/>
              </w:rPr>
              <w:t xml:space="preserve"> </w:t>
            </w:r>
          </w:p>
        </w:tc>
      </w:tr>
      <w:tr w14:paraId="47B53ED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922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6860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D359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47.18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861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47.18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0766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82AF39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73D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C3C2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56CC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47.18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9FC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47.18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8522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D85524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060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0F4E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E29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34.18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333A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34.18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EB4F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7D8317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4C9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C763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227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F17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4.00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DAC4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7E1C8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5E0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DD4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89F1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703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791E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7686C9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960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A57F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B08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1,391.23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C263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33F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1,391.23</w:t>
            </w:r>
            <w:r>
              <w:rPr>
                <w:rFonts w:hint="eastAsia" w:cs="宋体"/>
                <w:b/>
                <w:bCs w:val="0"/>
                <w:color w:val="000000"/>
                <w:sz w:val="21"/>
                <w:szCs w:val="21"/>
                <w:lang w:val="en-US" w:eastAsia="zh-CN" w:bidi="ar"/>
              </w:rPr>
              <w:t xml:space="preserve"> </w:t>
            </w:r>
          </w:p>
        </w:tc>
      </w:tr>
      <w:tr w14:paraId="57F9144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56A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42B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85D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845.34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789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DB59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845.34</w:t>
            </w:r>
            <w:r>
              <w:rPr>
                <w:rFonts w:hint="eastAsia" w:cs="宋体"/>
                <w:b/>
                <w:bCs w:val="0"/>
                <w:color w:val="000000"/>
                <w:sz w:val="21"/>
                <w:szCs w:val="21"/>
                <w:lang w:val="en-US" w:eastAsia="zh-CN" w:bidi="ar"/>
              </w:rPr>
              <w:t xml:space="preserve"> </w:t>
            </w:r>
          </w:p>
        </w:tc>
      </w:tr>
      <w:tr w14:paraId="5325D46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DAA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A73E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D573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717.91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9B6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C4B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717.91</w:t>
            </w:r>
            <w:r>
              <w:rPr>
                <w:rFonts w:hint="eastAsia" w:cs="宋体"/>
                <w:b w:val="0"/>
                <w:bCs w:val="0"/>
                <w:color w:val="000000"/>
                <w:sz w:val="21"/>
                <w:szCs w:val="21"/>
                <w:lang w:val="en-US" w:eastAsia="zh-CN" w:bidi="ar"/>
              </w:rPr>
              <w:t xml:space="preserve"> </w:t>
            </w:r>
          </w:p>
        </w:tc>
      </w:tr>
      <w:tr w14:paraId="7053A6D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BF1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76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生物及物种资源保护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9E90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78.83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B7DA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498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78.83</w:t>
            </w:r>
            <w:r>
              <w:rPr>
                <w:rFonts w:hint="eastAsia" w:cs="宋体"/>
                <w:b w:val="0"/>
                <w:bCs w:val="0"/>
                <w:color w:val="000000"/>
                <w:sz w:val="21"/>
                <w:szCs w:val="21"/>
                <w:lang w:val="en-US" w:eastAsia="zh-CN" w:bidi="ar"/>
              </w:rPr>
              <w:t xml:space="preserve"> </w:t>
            </w:r>
          </w:p>
        </w:tc>
      </w:tr>
      <w:tr w14:paraId="796DDB6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EF4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9B4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自然保护地</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B55E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48.60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BD9C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E6EA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48.60</w:t>
            </w:r>
            <w:r>
              <w:rPr>
                <w:rFonts w:hint="eastAsia" w:cs="宋体"/>
                <w:b w:val="0"/>
                <w:bCs w:val="0"/>
                <w:color w:val="000000"/>
                <w:sz w:val="21"/>
                <w:szCs w:val="21"/>
                <w:lang w:val="en-US" w:eastAsia="zh-CN" w:bidi="ar"/>
              </w:rPr>
              <w:t xml:space="preserve"> </w:t>
            </w:r>
          </w:p>
        </w:tc>
      </w:tr>
      <w:tr w14:paraId="07D9EC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5CD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BFA2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森林保护修复</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DEE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545.88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85C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F06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545.88</w:t>
            </w:r>
            <w:r>
              <w:rPr>
                <w:rFonts w:hint="eastAsia" w:cs="宋体"/>
                <w:b/>
                <w:bCs w:val="0"/>
                <w:color w:val="000000"/>
                <w:sz w:val="21"/>
                <w:szCs w:val="21"/>
                <w:lang w:val="en-US" w:eastAsia="zh-CN" w:bidi="ar"/>
              </w:rPr>
              <w:t xml:space="preserve"> </w:t>
            </w:r>
          </w:p>
        </w:tc>
      </w:tr>
      <w:tr w14:paraId="53C272B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A84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16AE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森林管护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287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526.80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F96E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11C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526.80</w:t>
            </w:r>
            <w:r>
              <w:rPr>
                <w:rFonts w:hint="eastAsia" w:cs="宋体"/>
                <w:b w:val="0"/>
                <w:bCs w:val="0"/>
                <w:color w:val="000000"/>
                <w:sz w:val="21"/>
                <w:szCs w:val="21"/>
                <w:lang w:val="en-US" w:eastAsia="zh-CN" w:bidi="ar"/>
              </w:rPr>
              <w:t xml:space="preserve"> </w:t>
            </w:r>
          </w:p>
        </w:tc>
      </w:tr>
      <w:tr w14:paraId="4837753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242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39BB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社会保险补助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A6E7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12.43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897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E75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12.43</w:t>
            </w:r>
            <w:r>
              <w:rPr>
                <w:rFonts w:hint="eastAsia" w:cs="宋体"/>
                <w:b w:val="0"/>
                <w:bCs w:val="0"/>
                <w:color w:val="000000"/>
                <w:sz w:val="21"/>
                <w:szCs w:val="21"/>
                <w:lang w:val="en-US" w:eastAsia="zh-CN" w:bidi="ar"/>
              </w:rPr>
              <w:t xml:space="preserve"> </w:t>
            </w:r>
          </w:p>
        </w:tc>
      </w:tr>
      <w:tr w14:paraId="40AC197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EF4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2110599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9B0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其他森林保护修复支出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A817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6.66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B979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DD7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6.66</w:t>
            </w:r>
            <w:r>
              <w:rPr>
                <w:rFonts w:hint="eastAsia" w:cs="宋体"/>
                <w:b w:val="0"/>
                <w:bCs w:val="0"/>
                <w:color w:val="000000"/>
                <w:sz w:val="21"/>
                <w:szCs w:val="21"/>
                <w:lang w:val="en-US" w:eastAsia="zh-CN" w:bidi="ar"/>
              </w:rPr>
              <w:t xml:space="preserve"> </w:t>
            </w:r>
          </w:p>
        </w:tc>
      </w:tr>
      <w:tr w14:paraId="5046B7B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F0C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1351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AD0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6,487.30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351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472.68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3DC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6,014.62</w:t>
            </w:r>
            <w:r>
              <w:rPr>
                <w:rFonts w:hint="eastAsia" w:cs="宋体"/>
                <w:b/>
                <w:bCs w:val="0"/>
                <w:color w:val="000000"/>
                <w:sz w:val="21"/>
                <w:szCs w:val="21"/>
                <w:lang w:val="en-US" w:eastAsia="zh-CN" w:bidi="ar"/>
              </w:rPr>
              <w:t xml:space="preserve"> </w:t>
            </w:r>
          </w:p>
        </w:tc>
      </w:tr>
      <w:tr w14:paraId="29D2DB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55F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336A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E2A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58.00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9CC0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0DE2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58.00</w:t>
            </w:r>
            <w:r>
              <w:rPr>
                <w:rFonts w:hint="eastAsia" w:cs="宋体"/>
                <w:b/>
                <w:bCs w:val="0"/>
                <w:color w:val="000000"/>
                <w:sz w:val="21"/>
                <w:szCs w:val="21"/>
                <w:lang w:val="en-US" w:eastAsia="zh-CN" w:bidi="ar"/>
              </w:rPr>
              <w:t xml:space="preserve"> </w:t>
            </w:r>
          </w:p>
        </w:tc>
      </w:tr>
      <w:tr w14:paraId="56ECDE6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B07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A46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农业生态资源保护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3549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58.00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9847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4BEF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58.00</w:t>
            </w:r>
            <w:r>
              <w:rPr>
                <w:rFonts w:hint="eastAsia" w:cs="宋体"/>
                <w:b w:val="0"/>
                <w:bCs w:val="0"/>
                <w:color w:val="000000"/>
                <w:sz w:val="21"/>
                <w:szCs w:val="21"/>
                <w:lang w:val="en-US" w:eastAsia="zh-CN" w:bidi="ar"/>
              </w:rPr>
              <w:t xml:space="preserve"> </w:t>
            </w:r>
          </w:p>
        </w:tc>
      </w:tr>
      <w:tr w14:paraId="215512B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58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0059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E79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5,960.37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90AC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472.68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327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5,487.70</w:t>
            </w:r>
            <w:r>
              <w:rPr>
                <w:rFonts w:hint="eastAsia" w:cs="宋体"/>
                <w:b/>
                <w:bCs w:val="0"/>
                <w:color w:val="000000"/>
                <w:sz w:val="21"/>
                <w:szCs w:val="21"/>
                <w:lang w:val="en-US" w:eastAsia="zh-CN" w:bidi="ar"/>
              </w:rPr>
              <w:t xml:space="preserve"> </w:t>
            </w:r>
          </w:p>
        </w:tc>
      </w:tr>
      <w:tr w14:paraId="6754D4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F3B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4F4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3BB3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472.68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FFC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472.68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3DE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C09BC7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8D7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6E4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670B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23.69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1B0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2B84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23.69</w:t>
            </w:r>
            <w:r>
              <w:rPr>
                <w:rFonts w:hint="eastAsia" w:cs="宋体"/>
                <w:b w:val="0"/>
                <w:bCs w:val="0"/>
                <w:color w:val="000000"/>
                <w:sz w:val="21"/>
                <w:szCs w:val="21"/>
                <w:lang w:val="en-US" w:eastAsia="zh-CN" w:bidi="ar"/>
              </w:rPr>
              <w:t xml:space="preserve"> </w:t>
            </w:r>
          </w:p>
        </w:tc>
      </w:tr>
      <w:tr w14:paraId="3510753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F8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E4EF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160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821.80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61EE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72EA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821.80</w:t>
            </w:r>
            <w:r>
              <w:rPr>
                <w:rFonts w:hint="eastAsia" w:cs="宋体"/>
                <w:b w:val="0"/>
                <w:bCs w:val="0"/>
                <w:color w:val="000000"/>
                <w:sz w:val="21"/>
                <w:szCs w:val="21"/>
                <w:lang w:val="en-US" w:eastAsia="zh-CN" w:bidi="ar"/>
              </w:rPr>
              <w:t xml:space="preserve"> </w:t>
            </w:r>
          </w:p>
        </w:tc>
      </w:tr>
      <w:tr w14:paraId="3CD6FF9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BC4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853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EF3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176.67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70E2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0D40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176.67</w:t>
            </w:r>
            <w:r>
              <w:rPr>
                <w:rFonts w:hint="eastAsia" w:cs="宋体"/>
                <w:b w:val="0"/>
                <w:bCs w:val="0"/>
                <w:color w:val="000000"/>
                <w:sz w:val="21"/>
                <w:szCs w:val="21"/>
                <w:lang w:val="en-US" w:eastAsia="zh-CN" w:bidi="ar"/>
              </w:rPr>
              <w:t xml:space="preserve"> </w:t>
            </w:r>
          </w:p>
        </w:tc>
      </w:tr>
      <w:tr w14:paraId="2304A6E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8CD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237D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森林生态效益补偿</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8E5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1,252.61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B681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6F1C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1,252.61</w:t>
            </w:r>
            <w:r>
              <w:rPr>
                <w:rFonts w:hint="eastAsia" w:cs="宋体"/>
                <w:b w:val="0"/>
                <w:bCs w:val="0"/>
                <w:color w:val="000000"/>
                <w:sz w:val="21"/>
                <w:szCs w:val="21"/>
                <w:lang w:val="en-US" w:eastAsia="zh-CN" w:bidi="ar"/>
              </w:rPr>
              <w:t xml:space="preserve"> </w:t>
            </w:r>
          </w:p>
        </w:tc>
      </w:tr>
      <w:tr w14:paraId="1BD933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F83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98BA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动植物保护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980A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8.70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7324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CE74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8.70</w:t>
            </w:r>
            <w:r>
              <w:rPr>
                <w:rFonts w:hint="eastAsia" w:cs="宋体"/>
                <w:b w:val="0"/>
                <w:bCs w:val="0"/>
                <w:color w:val="000000"/>
                <w:sz w:val="21"/>
                <w:szCs w:val="21"/>
                <w:lang w:val="en-US" w:eastAsia="zh-CN" w:bidi="ar"/>
              </w:rPr>
              <w:t xml:space="preserve"> </w:t>
            </w:r>
          </w:p>
        </w:tc>
      </w:tr>
      <w:tr w14:paraId="4EA7B48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01D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2130223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DFD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信息管理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C6D7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22.65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0AB8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75D1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22.65</w:t>
            </w:r>
            <w:r>
              <w:rPr>
                <w:rFonts w:hint="eastAsia" w:cs="宋体"/>
                <w:b w:val="0"/>
                <w:bCs w:val="0"/>
                <w:color w:val="000000"/>
                <w:sz w:val="21"/>
                <w:szCs w:val="21"/>
                <w:lang w:val="en-US" w:eastAsia="zh-CN" w:bidi="ar"/>
              </w:rPr>
              <w:t xml:space="preserve"> </w:t>
            </w:r>
          </w:p>
        </w:tc>
      </w:tr>
      <w:tr w14:paraId="1D2DBBE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0F5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9C2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939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1,553.66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4BB5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EAA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1,553.66</w:t>
            </w:r>
            <w:r>
              <w:rPr>
                <w:rFonts w:hint="eastAsia" w:cs="宋体"/>
                <w:b w:val="0"/>
                <w:bCs w:val="0"/>
                <w:color w:val="000000"/>
                <w:sz w:val="21"/>
                <w:szCs w:val="21"/>
                <w:lang w:val="en-US" w:eastAsia="zh-CN" w:bidi="ar"/>
              </w:rPr>
              <w:t xml:space="preserve"> </w:t>
            </w:r>
          </w:p>
        </w:tc>
      </w:tr>
      <w:tr w14:paraId="4AB3DE8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AD1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AD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退耕还林还草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4BF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1,490.75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A5F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7A5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1,490.75</w:t>
            </w:r>
            <w:r>
              <w:rPr>
                <w:rFonts w:hint="eastAsia" w:cs="宋体"/>
                <w:b w:val="0"/>
                <w:bCs w:val="0"/>
                <w:color w:val="000000"/>
                <w:sz w:val="21"/>
                <w:szCs w:val="21"/>
                <w:lang w:val="en-US" w:eastAsia="zh-CN" w:bidi="ar"/>
              </w:rPr>
              <w:t xml:space="preserve"> </w:t>
            </w:r>
          </w:p>
        </w:tc>
      </w:tr>
      <w:tr w14:paraId="1D56D4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AE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8F9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59E3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137.17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EB0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EB26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137.17</w:t>
            </w:r>
            <w:r>
              <w:rPr>
                <w:rFonts w:hint="eastAsia" w:cs="宋体"/>
                <w:b w:val="0"/>
                <w:bCs w:val="0"/>
                <w:color w:val="000000"/>
                <w:sz w:val="21"/>
                <w:szCs w:val="21"/>
                <w:lang w:val="en-US" w:eastAsia="zh-CN" w:bidi="ar"/>
              </w:rPr>
              <w:t xml:space="preserve"> </w:t>
            </w:r>
          </w:p>
        </w:tc>
      </w:tr>
      <w:tr w14:paraId="4AC124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0D4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898D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0EBA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15.85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5787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5D4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15.85</w:t>
            </w:r>
            <w:r>
              <w:rPr>
                <w:rFonts w:hint="eastAsia" w:cs="宋体"/>
                <w:b/>
                <w:bCs w:val="0"/>
                <w:color w:val="000000"/>
                <w:sz w:val="21"/>
                <w:szCs w:val="21"/>
                <w:lang w:val="en-US" w:eastAsia="zh-CN" w:bidi="ar"/>
              </w:rPr>
              <w:t xml:space="preserve"> </w:t>
            </w:r>
          </w:p>
        </w:tc>
      </w:tr>
      <w:tr w14:paraId="0C9C5AF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24D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9FA6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其他水利支出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0F05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15.85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54E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0B9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15.85</w:t>
            </w:r>
            <w:r>
              <w:rPr>
                <w:rFonts w:hint="eastAsia" w:cs="宋体"/>
                <w:b w:val="0"/>
                <w:bCs w:val="0"/>
                <w:color w:val="000000"/>
                <w:sz w:val="21"/>
                <w:szCs w:val="21"/>
                <w:lang w:val="en-US" w:eastAsia="zh-CN" w:bidi="ar"/>
              </w:rPr>
              <w:t xml:space="preserve"> </w:t>
            </w:r>
          </w:p>
        </w:tc>
      </w:tr>
      <w:tr w14:paraId="130DD8C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E34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E25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D284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243.87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5874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F69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243.87</w:t>
            </w:r>
            <w:r>
              <w:rPr>
                <w:rFonts w:hint="eastAsia" w:cs="宋体"/>
                <w:b/>
                <w:bCs w:val="0"/>
                <w:color w:val="000000"/>
                <w:sz w:val="21"/>
                <w:szCs w:val="21"/>
                <w:lang w:val="en-US" w:eastAsia="zh-CN" w:bidi="ar"/>
              </w:rPr>
              <w:t xml:space="preserve"> </w:t>
            </w:r>
          </w:p>
        </w:tc>
      </w:tr>
      <w:tr w14:paraId="058295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9C5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D36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886D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243.87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AF8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0B8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243.87</w:t>
            </w:r>
            <w:r>
              <w:rPr>
                <w:rFonts w:hint="eastAsia" w:cs="宋体"/>
                <w:b w:val="0"/>
                <w:bCs w:val="0"/>
                <w:color w:val="000000"/>
                <w:sz w:val="21"/>
                <w:szCs w:val="21"/>
                <w:lang w:val="en-US" w:eastAsia="zh-CN" w:bidi="ar"/>
              </w:rPr>
              <w:t xml:space="preserve"> </w:t>
            </w:r>
          </w:p>
        </w:tc>
      </w:tr>
      <w:tr w14:paraId="7CC08F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79C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83F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普惠金融发展支出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4D7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209.21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3345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151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209.21</w:t>
            </w:r>
            <w:r>
              <w:rPr>
                <w:rFonts w:hint="eastAsia" w:cs="宋体"/>
                <w:b/>
                <w:bCs w:val="0"/>
                <w:color w:val="000000"/>
                <w:sz w:val="21"/>
                <w:szCs w:val="21"/>
                <w:lang w:val="en-US" w:eastAsia="zh-CN" w:bidi="ar"/>
              </w:rPr>
              <w:t xml:space="preserve"> </w:t>
            </w:r>
          </w:p>
        </w:tc>
      </w:tr>
      <w:tr w14:paraId="7367391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0C9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D23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农业保险保费补贴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F07F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209.21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045E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10F0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209.21</w:t>
            </w:r>
            <w:r>
              <w:rPr>
                <w:rFonts w:hint="eastAsia" w:cs="宋体"/>
                <w:b w:val="0"/>
                <w:bCs w:val="0"/>
                <w:color w:val="000000"/>
                <w:sz w:val="21"/>
                <w:szCs w:val="21"/>
                <w:lang w:val="en-US" w:eastAsia="zh-CN" w:bidi="ar"/>
              </w:rPr>
              <w:t xml:space="preserve"> </w:t>
            </w:r>
          </w:p>
        </w:tc>
      </w:tr>
      <w:tr w14:paraId="6663366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0D4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0BE6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1DB6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252.00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E290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E49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252.00</w:t>
            </w:r>
            <w:r>
              <w:rPr>
                <w:rFonts w:hint="eastAsia" w:cs="宋体"/>
                <w:b/>
                <w:bCs w:val="0"/>
                <w:color w:val="000000"/>
                <w:sz w:val="21"/>
                <w:szCs w:val="21"/>
                <w:lang w:val="en-US" w:eastAsia="zh-CN" w:bidi="ar"/>
              </w:rPr>
              <w:t xml:space="preserve"> </w:t>
            </w:r>
          </w:p>
        </w:tc>
      </w:tr>
      <w:tr w14:paraId="4796869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C7E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BF36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8799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36.00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8F9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666F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36.00</w:t>
            </w:r>
            <w:r>
              <w:rPr>
                <w:rFonts w:hint="eastAsia" w:cs="宋体"/>
                <w:b/>
                <w:bCs w:val="0"/>
                <w:color w:val="000000"/>
                <w:sz w:val="21"/>
                <w:szCs w:val="21"/>
                <w:lang w:val="en-US" w:eastAsia="zh-CN" w:bidi="ar"/>
              </w:rPr>
              <w:t xml:space="preserve"> </w:t>
            </w:r>
          </w:p>
        </w:tc>
      </w:tr>
      <w:tr w14:paraId="533CBE8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20D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DB3A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851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36.00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553D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6B8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36.00</w:t>
            </w:r>
            <w:r>
              <w:rPr>
                <w:rFonts w:hint="eastAsia" w:cs="宋体"/>
                <w:b w:val="0"/>
                <w:bCs w:val="0"/>
                <w:color w:val="000000"/>
                <w:sz w:val="21"/>
                <w:szCs w:val="21"/>
                <w:lang w:val="en-US" w:eastAsia="zh-CN" w:bidi="ar"/>
              </w:rPr>
              <w:t xml:space="preserve"> </w:t>
            </w:r>
          </w:p>
        </w:tc>
      </w:tr>
      <w:tr w14:paraId="424C38E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822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11A9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涉外发展服务支出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D2F7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216.00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703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637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216.00</w:t>
            </w:r>
            <w:r>
              <w:rPr>
                <w:rFonts w:hint="eastAsia" w:cs="宋体"/>
                <w:b/>
                <w:bCs w:val="0"/>
                <w:color w:val="000000"/>
                <w:sz w:val="21"/>
                <w:szCs w:val="21"/>
                <w:lang w:val="en-US" w:eastAsia="zh-CN" w:bidi="ar"/>
              </w:rPr>
              <w:t xml:space="preserve"> </w:t>
            </w:r>
          </w:p>
        </w:tc>
      </w:tr>
      <w:tr w14:paraId="7C6C35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56E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E0A1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其他涉外发展服务支出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B981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216.00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AEE0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16DC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216.00</w:t>
            </w:r>
            <w:r>
              <w:rPr>
                <w:rFonts w:hint="eastAsia" w:cs="宋体"/>
                <w:b w:val="0"/>
                <w:bCs w:val="0"/>
                <w:color w:val="000000"/>
                <w:sz w:val="21"/>
                <w:szCs w:val="21"/>
                <w:lang w:val="en-US" w:eastAsia="zh-CN" w:bidi="ar"/>
              </w:rPr>
              <w:t xml:space="preserve"> </w:t>
            </w:r>
          </w:p>
        </w:tc>
      </w:tr>
      <w:tr w14:paraId="2313EB4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257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DABD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B17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46.09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C858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46.09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C686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4FE5B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90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5D89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280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46.09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C94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46.09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A5BF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855D05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C1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AF95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C1E7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46.09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9EFA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46.09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C83D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7C967CBD">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3345073">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4A0C51F2">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303BB0AF">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2F64723E">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7DE5B604">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重庆市黔江区林业局（本级）</w:t>
            </w:r>
          </w:p>
        </w:tc>
        <w:tc>
          <w:tcPr>
            <w:tcW w:w="2829" w:type="dxa"/>
            <w:tcBorders>
              <w:top w:val="nil"/>
              <w:left w:val="nil"/>
              <w:bottom w:val="nil"/>
              <w:right w:val="nil"/>
            </w:tcBorders>
            <w:shd w:val="clear" w:color="auto" w:fill="auto"/>
            <w:noWrap/>
            <w:tcMar>
              <w:top w:w="15" w:type="dxa"/>
              <w:left w:w="15" w:type="dxa"/>
              <w:right w:w="15" w:type="dxa"/>
            </w:tcMar>
            <w:vAlign w:val="bottom"/>
          </w:tcPr>
          <w:p w14:paraId="6FD9053E">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FD78609">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6E0466D1">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23EA470E">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74C62280">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68BB2420">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4FFF670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16C15675">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3CDD1C3F">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167EE0C5">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07C0C36C">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3747F253">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5754A6C7">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58D7EA3">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3AF0D903">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658C21A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859595C">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94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AF15B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5296EBA0">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6418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CD0D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97A0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84DC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1381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0F45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2A5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C69B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3E96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000C1EF3">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2C8ED2">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322CC8">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093A3D">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9AC6C2">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A3D5AA">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0371C4">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99B91">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5B43F0">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15C7BF">
            <w:pPr>
              <w:jc w:val="center"/>
              <w:rPr>
                <w:rFonts w:hint="eastAsia" w:ascii="宋体" w:hAnsi="宋体" w:eastAsia="宋体" w:cs="宋体"/>
                <w:b/>
                <w:i w:val="0"/>
                <w:color w:val="000000"/>
                <w:sz w:val="22"/>
                <w:szCs w:val="22"/>
                <w:u w:val="none"/>
              </w:rPr>
            </w:pPr>
          </w:p>
        </w:tc>
      </w:tr>
      <w:tr w14:paraId="6A4D2D9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B3A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A43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08B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580.02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0D4A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E58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AD0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96.02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9DE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4DA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00D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1.37</w:t>
            </w:r>
            <w:r>
              <w:rPr>
                <w:rFonts w:hint="eastAsia" w:cs="宋体"/>
                <w:color w:val="000000"/>
                <w:sz w:val="21"/>
                <w:szCs w:val="21"/>
                <w:lang w:val="en-US" w:eastAsia="zh-CN" w:bidi="ar"/>
              </w:rPr>
              <w:t xml:space="preserve"> </w:t>
            </w:r>
          </w:p>
        </w:tc>
      </w:tr>
      <w:tr w14:paraId="71BE661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A85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1D8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EBD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130.67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9BA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A89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87E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17C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D8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C0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842A6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EDB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4A51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F50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86.87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A50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EC3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21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0F4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0E9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9C2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1.37</w:t>
            </w:r>
            <w:r>
              <w:rPr>
                <w:rFonts w:hint="eastAsia" w:cs="宋体"/>
                <w:color w:val="000000"/>
                <w:sz w:val="21"/>
                <w:szCs w:val="21"/>
                <w:lang w:val="en-US" w:eastAsia="zh-CN" w:bidi="ar"/>
              </w:rPr>
              <w:t xml:space="preserve"> </w:t>
            </w:r>
          </w:p>
        </w:tc>
      </w:tr>
      <w:tr w14:paraId="24AD07B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3C8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4523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B8C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156.71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D2C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5F9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19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BF7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D9B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73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C0F66A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7C2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0B7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84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92E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C30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69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7C3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5DF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52C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8C7965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B9E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5CE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0E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24F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162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2ED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0.10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21D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E15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0C9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0CE5BD">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5B0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A8C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9C5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57.70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DA3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75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766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48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111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C5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D9E191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DA9A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F0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6C7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60.77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3EE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76F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904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13.15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5BB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87D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F32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1F500CE">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62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56A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77A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34.16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F17D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431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546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19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D00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21E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0149E1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09B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D73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2C7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97DF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509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00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3BF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36A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B8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7ED87D3">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EBEF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8D1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687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529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73F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201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DF3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A2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3B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62AEE9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049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295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AF2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46.09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003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5AF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50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6017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72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C3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3352F6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510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AAE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C79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205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A4D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1E7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139C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8FE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4D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70273E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0D7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C20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2F3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E0E6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9E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66B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BDB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876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6CB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4BDF2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410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246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90A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97.79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DC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EB32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AF0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54E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892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FF7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482B0F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601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062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8F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7E9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1F3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72C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3.74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814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402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584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0FC746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3CE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FA2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3C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77D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74E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FAB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7.76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4F1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08D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51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FBFA41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3AEB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4B8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A6D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7CD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AA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72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132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199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8BB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03A689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8B4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17C2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A54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38.34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775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784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9D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853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0E1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F6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B01E2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C88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9EE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4C2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52.45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9C2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BD66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CF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54A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CF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69D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E3FA9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737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71C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79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341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6B1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056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694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154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0F1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36799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EE2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E94A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611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7.00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EF3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533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0F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153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31B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0E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C9DBFF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BD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BDB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8DC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C51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89C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775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12.72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16C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706B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4E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7C2116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9D4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AA5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BFE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E6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18B7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534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C42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A35D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8B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79E71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A6A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B84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EF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98F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C53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4BF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6.82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7A6B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EFC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C6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A54729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2F9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6383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9C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7CE9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B49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EC1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24.11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C3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0D2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B8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0677B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BB7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046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12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87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B61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C9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3D3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6705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319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72282A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25CDD">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CDEDB">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F5E47">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F38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EBA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817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7.68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5B5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3F1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B61C">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85BE3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B9AD6">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6124D">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330FE">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9FC3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904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1562">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F12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ED7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2BF6">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6F8A99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75D60">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540A9">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C2D10">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3AA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5EF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EEAC">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F4794">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754C1">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C4BF">
            <w:pPr>
              <w:jc w:val="right"/>
              <w:rPr>
                <w:rFonts w:hint="eastAsia" w:ascii="宋体" w:hAnsi="宋体" w:eastAsia="宋体" w:cs="宋体"/>
                <w:i w:val="0"/>
                <w:color w:val="000000"/>
                <w:sz w:val="22"/>
                <w:szCs w:val="22"/>
                <w:u w:val="none"/>
              </w:rPr>
            </w:pPr>
          </w:p>
        </w:tc>
      </w:tr>
      <w:tr w14:paraId="00509ED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CCB79">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2C64C">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F4942">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EE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23A6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5A9F">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C38E7">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E09C5">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79B3">
            <w:pPr>
              <w:jc w:val="right"/>
              <w:rPr>
                <w:rFonts w:hint="eastAsia" w:ascii="宋体" w:hAnsi="宋体" w:eastAsia="宋体" w:cs="宋体"/>
                <w:i w:val="0"/>
                <w:color w:val="000000"/>
                <w:sz w:val="22"/>
                <w:szCs w:val="22"/>
                <w:u w:val="none"/>
              </w:rPr>
            </w:pPr>
          </w:p>
        </w:tc>
      </w:tr>
      <w:tr w14:paraId="036DA7A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1F09C">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8410A">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EE1A42">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AD3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1C4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894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C56F5">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03009">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C879">
            <w:pPr>
              <w:jc w:val="right"/>
              <w:rPr>
                <w:rFonts w:hint="eastAsia" w:ascii="宋体" w:hAnsi="宋体" w:eastAsia="宋体" w:cs="宋体"/>
                <w:i w:val="0"/>
                <w:color w:val="000000"/>
                <w:sz w:val="22"/>
                <w:szCs w:val="22"/>
                <w:u w:val="none"/>
              </w:rPr>
            </w:pPr>
          </w:p>
        </w:tc>
      </w:tr>
      <w:tr w14:paraId="2F00D18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72737">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B08B2">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75E93">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4ED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F02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812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9FCA8">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6F41D">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2310">
            <w:pPr>
              <w:jc w:val="right"/>
              <w:rPr>
                <w:rFonts w:hint="eastAsia" w:ascii="宋体" w:hAnsi="宋体" w:eastAsia="宋体" w:cs="宋体"/>
                <w:i w:val="0"/>
                <w:color w:val="000000"/>
                <w:sz w:val="22"/>
                <w:szCs w:val="22"/>
                <w:u w:val="none"/>
              </w:rPr>
            </w:pPr>
          </w:p>
        </w:tc>
      </w:tr>
      <w:tr w14:paraId="2B420554">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964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060B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677.81</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FE68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23AE">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97.40</w:t>
            </w:r>
            <w:r>
              <w:rPr>
                <w:rFonts w:hint="eastAsia" w:cs="宋体"/>
                <w:color w:val="000000"/>
                <w:sz w:val="21"/>
                <w:szCs w:val="21"/>
                <w:lang w:val="en-US" w:eastAsia="zh-CN" w:bidi="ar"/>
              </w:rPr>
              <w:t xml:space="preserve"> </w:t>
            </w:r>
          </w:p>
        </w:tc>
      </w:tr>
    </w:tbl>
    <w:p w14:paraId="2EE6D7A1">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8B1C98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37DB5A0D">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70E8142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285D9C03">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439007D5">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重庆市黔江区林业局（本级）</w:t>
            </w:r>
          </w:p>
        </w:tc>
        <w:tc>
          <w:tcPr>
            <w:tcW w:w="2473" w:type="dxa"/>
            <w:tcBorders>
              <w:top w:val="nil"/>
              <w:left w:val="nil"/>
              <w:bottom w:val="nil"/>
              <w:right w:val="nil"/>
            </w:tcBorders>
            <w:shd w:val="clear" w:color="auto" w:fill="auto"/>
            <w:noWrap/>
            <w:tcMar>
              <w:top w:w="15" w:type="dxa"/>
              <w:left w:w="15" w:type="dxa"/>
              <w:right w:w="15" w:type="dxa"/>
            </w:tcMar>
            <w:vAlign w:val="bottom"/>
          </w:tcPr>
          <w:p w14:paraId="05CAE8DE">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2B0BE2B">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82B19C7">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9DB656B">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439F3A65">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67A8C77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3AC24BA1">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6F42484E">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A00A1A7">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EE3F973">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41E5433">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94A813D">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2E48C67F">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A402F1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77F0FB2">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116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87B83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327F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8DBC8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5598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46462A64">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D5EB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D27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620A7C4">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9AEBF">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CDD1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6A3C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D44C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09301">
            <w:pPr>
              <w:jc w:val="center"/>
              <w:rPr>
                <w:rFonts w:hint="eastAsia" w:ascii="宋体" w:hAnsi="宋体" w:eastAsia="宋体" w:cs="宋体"/>
                <w:b/>
                <w:i w:val="0"/>
                <w:color w:val="000000"/>
                <w:sz w:val="22"/>
                <w:szCs w:val="22"/>
                <w:u w:val="none"/>
              </w:rPr>
            </w:pPr>
          </w:p>
        </w:tc>
      </w:tr>
      <w:tr w14:paraId="3C773DF2">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46A1E">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6C7C6F">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861690F">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AFC051">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2F4BE4">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A37BA4">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C1FA9C">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CA592">
            <w:pPr>
              <w:jc w:val="center"/>
              <w:rPr>
                <w:rFonts w:hint="eastAsia" w:ascii="宋体" w:hAnsi="宋体" w:eastAsia="宋体" w:cs="宋体"/>
                <w:b/>
                <w:i w:val="0"/>
                <w:color w:val="000000"/>
                <w:sz w:val="22"/>
                <w:szCs w:val="22"/>
                <w:u w:val="none"/>
              </w:rPr>
            </w:pPr>
          </w:p>
        </w:tc>
      </w:tr>
      <w:tr w14:paraId="6D9CFBED">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C915E8">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C17DFB">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5DDAB7">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6E047D">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50D5F8">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591F3F">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737CA1">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DFA87">
            <w:pPr>
              <w:jc w:val="center"/>
              <w:rPr>
                <w:rFonts w:hint="eastAsia" w:ascii="宋体" w:hAnsi="宋体" w:eastAsia="宋体" w:cs="宋体"/>
                <w:b/>
                <w:i w:val="0"/>
                <w:color w:val="000000"/>
                <w:sz w:val="22"/>
                <w:szCs w:val="22"/>
                <w:u w:val="none"/>
              </w:rPr>
            </w:pPr>
          </w:p>
        </w:tc>
      </w:tr>
      <w:tr w14:paraId="508CB70E">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64F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71CE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546D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1A68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D262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591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3618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2DB437B3">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2B67">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55334">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95F6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9663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C34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6A2A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EDE3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531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758401B6">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7031ECF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72C161B4">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7CFA4423">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1DE3CBA1">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2CD7F8FA">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重庆市黔江区林业局（本级）</w:t>
            </w:r>
          </w:p>
        </w:tc>
        <w:tc>
          <w:tcPr>
            <w:tcW w:w="4736" w:type="dxa"/>
            <w:tcBorders>
              <w:top w:val="nil"/>
              <w:left w:val="nil"/>
              <w:bottom w:val="nil"/>
              <w:right w:val="nil"/>
            </w:tcBorders>
            <w:shd w:val="clear" w:color="auto" w:fill="auto"/>
            <w:noWrap/>
            <w:tcMar>
              <w:top w:w="15" w:type="dxa"/>
              <w:left w:w="15" w:type="dxa"/>
              <w:right w:w="15" w:type="dxa"/>
            </w:tcMar>
            <w:vAlign w:val="bottom"/>
          </w:tcPr>
          <w:p w14:paraId="26C11EA9">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7DA9D590">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66946AD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4EFC014F">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084FB7E9">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57BF691A">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100FA1BA">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0003F14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ABDBC85">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8E9A24D">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1590728">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29763D63">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B5E2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7695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3E87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1041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5858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52638132">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8843E4">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945C52">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E6416D">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4D87DA">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889AB5">
            <w:pPr>
              <w:jc w:val="center"/>
              <w:rPr>
                <w:rFonts w:hint="eastAsia" w:ascii="宋体" w:hAnsi="宋体" w:eastAsia="宋体" w:cs="宋体"/>
                <w:b/>
                <w:i w:val="0"/>
                <w:color w:val="000000"/>
                <w:sz w:val="22"/>
                <w:szCs w:val="22"/>
                <w:u w:val="none"/>
              </w:rPr>
            </w:pPr>
          </w:p>
        </w:tc>
      </w:tr>
      <w:tr w14:paraId="7243577E">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1A6ABB">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B20215">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9F29A">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D27260">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182BB3">
            <w:pPr>
              <w:jc w:val="center"/>
              <w:rPr>
                <w:rFonts w:hint="eastAsia" w:ascii="宋体" w:hAnsi="宋体" w:eastAsia="宋体" w:cs="宋体"/>
                <w:b/>
                <w:i w:val="0"/>
                <w:color w:val="000000"/>
                <w:sz w:val="22"/>
                <w:szCs w:val="22"/>
                <w:u w:val="none"/>
              </w:rPr>
            </w:pPr>
          </w:p>
        </w:tc>
      </w:tr>
      <w:tr w14:paraId="6F35C3DA">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471EE">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1A076D">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4347E2">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BB3914">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C6C341">
            <w:pPr>
              <w:jc w:val="center"/>
              <w:rPr>
                <w:rFonts w:hint="eastAsia" w:ascii="宋体" w:hAnsi="宋体" w:eastAsia="宋体" w:cs="宋体"/>
                <w:b/>
                <w:i w:val="0"/>
                <w:color w:val="000000"/>
                <w:sz w:val="22"/>
                <w:szCs w:val="22"/>
                <w:u w:val="none"/>
              </w:rPr>
            </w:pPr>
          </w:p>
        </w:tc>
      </w:tr>
      <w:tr w14:paraId="5FF5B2AE">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5FC2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4BC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9242">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043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6ECA7209">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E699">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D36FA">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2F8D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FF99">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E7F6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4B70AA5B">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5AC603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78CF36A1">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19620CD8">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0B66CF13">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6DA9CAC6">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2A98E7D5">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367E3655">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A85E0BB">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23B1051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52DBE152">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6C4DB665">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重庆市黔江区林业局（本级）</w:t>
            </w:r>
          </w:p>
        </w:tc>
        <w:tc>
          <w:tcPr>
            <w:tcW w:w="3822" w:type="dxa"/>
            <w:tcBorders>
              <w:top w:val="nil"/>
              <w:left w:val="nil"/>
              <w:bottom w:val="nil"/>
              <w:right w:val="nil"/>
            </w:tcBorders>
            <w:shd w:val="clear" w:color="auto" w:fill="auto"/>
            <w:noWrap/>
            <w:tcMar>
              <w:top w:w="15" w:type="dxa"/>
              <w:left w:w="15" w:type="dxa"/>
              <w:right w:w="15" w:type="dxa"/>
            </w:tcMar>
            <w:vAlign w:val="bottom"/>
          </w:tcPr>
          <w:p w14:paraId="2D5412D2">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EA9FF6C">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42337544">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562A40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A47C1F7">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286FCE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2D2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FFA93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6B021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4B368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52B821D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0835C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39FE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B6FC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BA17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651CD">
            <w:pPr>
              <w:wordWrap w:val="0"/>
              <w:jc w:val="right"/>
              <w:textAlignment w:val="bottom"/>
              <w:rPr>
                <w:rFonts w:hint="eastAsia" w:ascii="Arial" w:hAnsi="Arial" w:eastAsia="宋体" w:cs="Arial"/>
                <w:i w:val="0"/>
                <w:color w:val="000000"/>
                <w:sz w:val="20"/>
                <w:szCs w:val="20"/>
                <w:u w:val="none"/>
                <w:lang w:val="en-US" w:eastAsia="zh-CN" w:bidi="ar-SA"/>
              </w:rPr>
            </w:pPr>
            <w:r>
              <w:rPr>
                <w:rFonts w:hint="eastAsia" w:ascii="宋体" w:hAnsi="宋体" w:eastAsia="宋体" w:cs="宋体"/>
                <w:color w:val="000000"/>
                <w:sz w:val="21"/>
                <w:szCs w:val="21"/>
                <w:lang w:bidi="ar"/>
              </w:rPr>
              <w:t>97.40</w:t>
            </w:r>
            <w:r>
              <w:rPr>
                <w:rFonts w:hint="eastAsia" w:cs="宋体"/>
                <w:color w:val="000000"/>
                <w:sz w:val="21"/>
                <w:szCs w:val="21"/>
                <w:lang w:val="en-US" w:eastAsia="zh-CN" w:bidi="ar"/>
              </w:rPr>
              <w:t xml:space="preserve"> </w:t>
            </w:r>
          </w:p>
        </w:tc>
      </w:tr>
      <w:tr w14:paraId="4A58B78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60678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8DD873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14.58</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A3D178C">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14.58</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91EB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0EE00">
            <w:pPr>
              <w:wordWrap w:val="0"/>
              <w:jc w:val="right"/>
              <w:textAlignment w:val="bottom"/>
              <w:rPr>
                <w:rFonts w:hint="eastAsia" w:ascii="Arial" w:hAnsi="Arial" w:eastAsia="宋体" w:cs="Arial"/>
                <w:i w:val="0"/>
                <w:color w:val="000000"/>
                <w:sz w:val="20"/>
                <w:szCs w:val="20"/>
                <w:u w:val="none"/>
                <w:lang w:val="en-US" w:eastAsia="zh-CN" w:bidi="ar-SA"/>
              </w:rPr>
            </w:pPr>
            <w:r>
              <w:rPr>
                <w:rFonts w:hint="eastAsia" w:ascii="宋体" w:hAnsi="宋体" w:eastAsia="宋体" w:cs="宋体"/>
                <w:color w:val="000000"/>
                <w:sz w:val="21"/>
                <w:szCs w:val="21"/>
                <w:lang w:bidi="ar"/>
              </w:rPr>
              <w:t>97.40</w:t>
            </w:r>
            <w:r>
              <w:rPr>
                <w:rFonts w:hint="eastAsia" w:cs="宋体"/>
                <w:color w:val="000000"/>
                <w:sz w:val="21"/>
                <w:szCs w:val="21"/>
                <w:lang w:val="en-US" w:eastAsia="zh-CN" w:bidi="ar"/>
              </w:rPr>
              <w:t xml:space="preserve"> </w:t>
            </w:r>
          </w:p>
        </w:tc>
      </w:tr>
      <w:tr w14:paraId="158D8A6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9C424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F8D4C5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8904CA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931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01E3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8FBBDC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BB25C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AFE4BC">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6.82</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41E068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6.82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0E6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六</w:t>
            </w:r>
            <w:r>
              <w:rPr>
                <w:rFonts w:hint="eastAsia" w:ascii="宋体" w:hAnsi="宋体" w:eastAsia="宋体" w:cs="宋体"/>
                <w:i w:val="0"/>
                <w:color w:val="000000"/>
                <w:kern w:val="0"/>
                <w:sz w:val="22"/>
                <w:szCs w:val="22"/>
                <w:u w:val="none"/>
                <w:lang w:val="en-US" w:eastAsia="zh-CN"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6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CABFF2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EDA7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C94D3C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52987B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C5A70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E309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D98E02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D2531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D34AE0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6.82</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DDE16F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6.82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99716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89F05">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w:t>
            </w:r>
            <w:r>
              <w:rPr>
                <w:rFonts w:hint="eastAsia" w:cs="宋体"/>
                <w:color w:val="000000"/>
                <w:sz w:val="21"/>
                <w:szCs w:val="21"/>
                <w:lang w:val="en-US" w:eastAsia="zh-CN" w:bidi="ar"/>
              </w:rPr>
              <w:t xml:space="preserve"> </w:t>
            </w:r>
          </w:p>
        </w:tc>
      </w:tr>
      <w:tr w14:paraId="2DF43A8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F7BC2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51B85E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7.76</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0B1A78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7.76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7BF2A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8E26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CF1B8D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26E4C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690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3FECAC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7.76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7E371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DC7D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4D70FB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8C210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10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1D6CC2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F0800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7E3E0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1C3826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A8E59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F0B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DD61D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3228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17C1A">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24CDB3B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4C451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9B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6F53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67533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E2529A">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016C9ED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CBF82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348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D5312C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51BF0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582D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01C259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2889B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8D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A10EC7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FEBDC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AF419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E7556D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F4C19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15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F346AC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D803F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96F9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6A2D63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5D4FD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E0E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401C080">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9A20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4C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5C7C4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D323D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23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6850E8A">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90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902F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6F6C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798743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CF056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EF6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E52CE8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D8FC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C2961">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1,028.09</w:t>
            </w:r>
            <w:r>
              <w:rPr>
                <w:rFonts w:hint="eastAsia" w:cs="宋体"/>
                <w:color w:val="000000"/>
                <w:sz w:val="21"/>
                <w:szCs w:val="21"/>
                <w:lang w:val="en-US" w:eastAsia="zh-CN" w:bidi="ar"/>
              </w:rPr>
              <w:t xml:space="preserve"> </w:t>
            </w:r>
          </w:p>
        </w:tc>
      </w:tr>
      <w:tr w14:paraId="49355F8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2C6C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E57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7522589">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840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68AA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F095C">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7.01</w:t>
            </w:r>
            <w:r>
              <w:rPr>
                <w:rFonts w:hint="eastAsia" w:cs="宋体"/>
                <w:color w:val="000000"/>
                <w:sz w:val="21"/>
                <w:szCs w:val="21"/>
                <w:lang w:val="en-US" w:eastAsia="zh-CN" w:bidi="ar"/>
              </w:rPr>
              <w:t xml:space="preserve"> </w:t>
            </w:r>
          </w:p>
        </w:tc>
      </w:tr>
      <w:tr w14:paraId="4F9B4D6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4E4D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A8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FFD298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43E4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51D815">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1,021.08</w:t>
            </w:r>
            <w:r>
              <w:rPr>
                <w:rFonts w:hint="eastAsia" w:cs="宋体"/>
                <w:color w:val="000000"/>
                <w:sz w:val="21"/>
                <w:szCs w:val="21"/>
                <w:lang w:val="en-US" w:eastAsia="zh-CN" w:bidi="ar"/>
              </w:rPr>
              <w:t xml:space="preserve"> </w:t>
            </w:r>
          </w:p>
        </w:tc>
      </w:tr>
      <w:tr w14:paraId="43CFC2D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2FAE7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7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9B26E7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B990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45101E">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1,023.37</w:t>
            </w:r>
            <w:r>
              <w:rPr>
                <w:rFonts w:hint="eastAsia" w:cs="宋体"/>
                <w:color w:val="000000"/>
                <w:sz w:val="21"/>
                <w:szCs w:val="21"/>
                <w:lang w:val="en-US" w:eastAsia="zh-CN" w:bidi="ar"/>
              </w:rPr>
              <w:t xml:space="preserve"> </w:t>
            </w:r>
          </w:p>
        </w:tc>
      </w:tr>
      <w:tr w14:paraId="6F4E44A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9283E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E7C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FDEF55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9ECD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A0006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2.29 </w:t>
            </w:r>
          </w:p>
        </w:tc>
      </w:tr>
      <w:tr w14:paraId="464D015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14:paraId="303669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4CBD4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bottom"/>
          </w:tcPr>
          <w:p w14:paraId="73EAC276">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1.61</w:t>
            </w:r>
            <w:r>
              <w:rPr>
                <w:rFonts w:hint="eastAsia"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14:paraId="45FEEA03">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3BC26D">
            <w:pPr>
              <w:jc w:val="right"/>
              <w:rPr>
                <w:rFonts w:hint="default" w:ascii="Arial" w:hAnsi="Arial" w:eastAsia="宋体" w:cs="Arial"/>
                <w:i w:val="0"/>
                <w:color w:val="000000"/>
                <w:sz w:val="20"/>
                <w:szCs w:val="20"/>
                <w:u w:val="none"/>
              </w:rPr>
            </w:pPr>
          </w:p>
        </w:tc>
      </w:tr>
      <w:tr w14:paraId="5E679530">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1AC7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B33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512A3">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4.01</w:t>
            </w:r>
            <w:r>
              <w:rPr>
                <w:rFonts w:hint="eastAsia"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E89D5D">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14:paraId="16E1F0C4">
            <w:pPr>
              <w:jc w:val="right"/>
              <w:rPr>
                <w:rFonts w:hint="default" w:ascii="Arial" w:hAnsi="Arial" w:eastAsia="宋体" w:cs="Arial"/>
                <w:i w:val="0"/>
                <w:color w:val="000000"/>
                <w:sz w:val="20"/>
                <w:szCs w:val="20"/>
                <w:u w:val="none"/>
              </w:rPr>
            </w:pPr>
          </w:p>
        </w:tc>
      </w:tr>
      <w:tr w14:paraId="5CC91E24">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041BB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四、差旅费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FD1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97D8E">
            <w:pPr>
              <w:wordWrap w:val="0"/>
              <w:jc w:val="center"/>
              <w:textAlignment w:val="bottom"/>
              <w:rPr>
                <w:rFonts w:hint="default" w:ascii="宋体" w:hAnsi="宋体" w:eastAsia="宋体" w:cs="宋体"/>
                <w:color w:val="000000"/>
                <w:sz w:val="21"/>
                <w:szCs w:val="21"/>
                <w:lang w:val="en-US" w:eastAsia="zh-CN" w:bidi="ar"/>
              </w:rPr>
            </w:pPr>
            <w:r>
              <w:rPr>
                <w:rFonts w:hint="eastAsia" w:cs="宋体"/>
                <w:color w:val="000000"/>
                <w:sz w:val="21"/>
                <w:szCs w:val="21"/>
                <w:lang w:val="en-US" w:eastAsia="zh-CN" w:bidi="ar"/>
              </w:rPr>
              <w:t xml:space="preserve">                        52.18</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7FC00E2">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14:paraId="047E83C9">
            <w:pPr>
              <w:jc w:val="right"/>
              <w:rPr>
                <w:rFonts w:hint="default" w:ascii="Arial" w:hAnsi="Arial" w:eastAsia="宋体" w:cs="Arial"/>
                <w:i w:val="0"/>
                <w:color w:val="000000"/>
                <w:sz w:val="20"/>
                <w:szCs w:val="20"/>
                <w:u w:val="none"/>
              </w:rPr>
            </w:pPr>
          </w:p>
        </w:tc>
      </w:tr>
    </w:tbl>
    <w:p w14:paraId="19681C00">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1739735">
      <w:pPr>
        <w:rPr>
          <w:rFonts w:hint="eastAsia" w:ascii="宋体" w:hAnsi="宋体" w:eastAsia="宋体" w:cs="宋体"/>
          <w:color w:val="000000"/>
          <w:sz w:val="21"/>
          <w:szCs w:val="21"/>
          <w:lang w:bidi="ar"/>
        </w:rPr>
      </w:pPr>
    </w:p>
    <w:p w14:paraId="729A1EEF">
      <w:pPr>
        <w:rPr>
          <w:rFonts w:hint="eastAsia" w:ascii="宋体" w:hAnsi="宋体" w:eastAsia="宋体" w:cs="宋体"/>
          <w:color w:val="000000"/>
          <w:sz w:val="21"/>
          <w:szCs w:val="21"/>
          <w:lang w:bidi="ar"/>
        </w:rPr>
      </w:pPr>
    </w:p>
    <w:p w14:paraId="6246AD51">
      <w:pPr>
        <w:rPr>
          <w:rFonts w:hint="eastAsia" w:ascii="宋体" w:hAnsi="宋体" w:eastAsia="宋体" w:cs="宋体"/>
          <w:color w:val="000000"/>
          <w:sz w:val="21"/>
          <w:szCs w:val="21"/>
          <w:lang w:bidi="ar"/>
        </w:rPr>
      </w:pPr>
    </w:p>
    <w:p w14:paraId="75F3964B">
      <w:pPr>
        <w:rPr>
          <w:rFonts w:hint="eastAsia" w:ascii="宋体" w:hAnsi="宋体" w:eastAsia="宋体" w:cs="宋体"/>
          <w:color w:val="000000"/>
          <w:sz w:val="21"/>
          <w:szCs w:val="21"/>
          <w:lang w:bidi="ar"/>
        </w:rPr>
      </w:pPr>
    </w:p>
    <w:p w14:paraId="469099E4">
      <w:pPr>
        <w:rPr>
          <w:rFonts w:hint="eastAsia" w:ascii="宋体" w:hAnsi="宋体" w:eastAsia="宋体" w:cs="宋体"/>
          <w:color w:val="000000"/>
          <w:sz w:val="21"/>
          <w:szCs w:val="21"/>
          <w:lang w:bidi="ar"/>
        </w:rPr>
      </w:pPr>
    </w:p>
    <w:p w14:paraId="1986C70D">
      <w:pPr>
        <w:rPr>
          <w:rFonts w:hint="eastAsia" w:ascii="宋体" w:hAnsi="宋体" w:eastAsia="宋体" w:cs="宋体"/>
          <w:color w:val="000000"/>
          <w:sz w:val="21"/>
          <w:szCs w:val="21"/>
          <w:lang w:bidi="ar"/>
        </w:rPr>
      </w:pPr>
    </w:p>
    <w:p w14:paraId="71DD48F8">
      <w:pPr>
        <w:rPr>
          <w:rFonts w:hint="eastAsia" w:ascii="宋体" w:hAnsi="宋体" w:eastAsia="宋体" w:cs="宋体"/>
          <w:color w:val="000000"/>
          <w:sz w:val="21"/>
          <w:szCs w:val="21"/>
          <w:lang w:bidi="ar"/>
        </w:rPr>
      </w:pPr>
    </w:p>
    <w:p w14:paraId="39F47E9D">
      <w:pPr>
        <w:rPr>
          <w:rFonts w:hint="eastAsia" w:ascii="宋体" w:hAnsi="宋体" w:eastAsia="宋体" w:cs="宋体"/>
          <w:color w:val="000000"/>
          <w:sz w:val="21"/>
          <w:szCs w:val="21"/>
          <w:lang w:bidi="ar"/>
        </w:rPr>
      </w:pPr>
    </w:p>
    <w:p w14:paraId="48234023">
      <w:pPr>
        <w:rPr>
          <w:rFonts w:hint="eastAsia" w:ascii="宋体" w:hAnsi="宋体" w:eastAsia="宋体" w:cs="宋体"/>
          <w:color w:val="000000"/>
          <w:sz w:val="21"/>
          <w:szCs w:val="21"/>
          <w:lang w:bidi="ar"/>
        </w:rPr>
      </w:pPr>
    </w:p>
    <w:p w14:paraId="1F285CF2">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0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AF26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979E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979E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D8A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F28F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B3F28F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7994F2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7994F2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2FEA">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MDlkOWE1NjAzYzdkNzI0MTc5NGY0NzJmNzM0NzYifQ=="/>
  </w:docVars>
  <w:rsids>
    <w:rsidRoot w:val="00B03CCD"/>
    <w:rsid w:val="00550ABE"/>
    <w:rsid w:val="007B419D"/>
    <w:rsid w:val="009B67B8"/>
    <w:rsid w:val="00B03CCD"/>
    <w:rsid w:val="00F73F90"/>
    <w:rsid w:val="01474EBF"/>
    <w:rsid w:val="01F3521E"/>
    <w:rsid w:val="03B87EA0"/>
    <w:rsid w:val="03E3214F"/>
    <w:rsid w:val="044C50BA"/>
    <w:rsid w:val="05832D5D"/>
    <w:rsid w:val="05BC6D49"/>
    <w:rsid w:val="06194FF1"/>
    <w:rsid w:val="06A2550B"/>
    <w:rsid w:val="06F80EE2"/>
    <w:rsid w:val="07001CCA"/>
    <w:rsid w:val="075678DB"/>
    <w:rsid w:val="079D7CC7"/>
    <w:rsid w:val="08051BCA"/>
    <w:rsid w:val="086C12F4"/>
    <w:rsid w:val="08705944"/>
    <w:rsid w:val="08BA052C"/>
    <w:rsid w:val="08DB07BA"/>
    <w:rsid w:val="08EB30F3"/>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0FA43FFC"/>
    <w:rsid w:val="107B59E5"/>
    <w:rsid w:val="10EC0126"/>
    <w:rsid w:val="10F70B9A"/>
    <w:rsid w:val="111445C7"/>
    <w:rsid w:val="114278C6"/>
    <w:rsid w:val="1158083A"/>
    <w:rsid w:val="11643A4B"/>
    <w:rsid w:val="11B10CEA"/>
    <w:rsid w:val="11ED0F98"/>
    <w:rsid w:val="11F03528"/>
    <w:rsid w:val="12C921C4"/>
    <w:rsid w:val="12CA1FCB"/>
    <w:rsid w:val="13871C70"/>
    <w:rsid w:val="13A71CB4"/>
    <w:rsid w:val="13AF1D43"/>
    <w:rsid w:val="13CE1647"/>
    <w:rsid w:val="13EB044B"/>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A94248"/>
    <w:rsid w:val="24B92327"/>
    <w:rsid w:val="24C14514"/>
    <w:rsid w:val="2533755C"/>
    <w:rsid w:val="25791755"/>
    <w:rsid w:val="26396DF4"/>
    <w:rsid w:val="27167136"/>
    <w:rsid w:val="27B23302"/>
    <w:rsid w:val="29310A5F"/>
    <w:rsid w:val="29C37A35"/>
    <w:rsid w:val="2A076083"/>
    <w:rsid w:val="2A73162E"/>
    <w:rsid w:val="2ADC744D"/>
    <w:rsid w:val="2B167953"/>
    <w:rsid w:val="2B200583"/>
    <w:rsid w:val="2B8209DE"/>
    <w:rsid w:val="2BAE2033"/>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441A9D"/>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8C4686"/>
    <w:rsid w:val="439A3EB9"/>
    <w:rsid w:val="43BB152F"/>
    <w:rsid w:val="443609BF"/>
    <w:rsid w:val="44C37687"/>
    <w:rsid w:val="453B0C0E"/>
    <w:rsid w:val="45CB699A"/>
    <w:rsid w:val="465B470D"/>
    <w:rsid w:val="469D6AD4"/>
    <w:rsid w:val="471E6C84"/>
    <w:rsid w:val="4748792B"/>
    <w:rsid w:val="475D719D"/>
    <w:rsid w:val="47674801"/>
    <w:rsid w:val="48225EF7"/>
    <w:rsid w:val="488F422B"/>
    <w:rsid w:val="48E36915"/>
    <w:rsid w:val="495C4A24"/>
    <w:rsid w:val="497135DF"/>
    <w:rsid w:val="4A263DF2"/>
    <w:rsid w:val="4A6F6675"/>
    <w:rsid w:val="4AAF0420"/>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266C5C"/>
    <w:rsid w:val="6AAD2300"/>
    <w:rsid w:val="6B474EF5"/>
    <w:rsid w:val="6BE117E1"/>
    <w:rsid w:val="6C560CAE"/>
    <w:rsid w:val="6C576495"/>
    <w:rsid w:val="6C9F2CF6"/>
    <w:rsid w:val="6D030BE9"/>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8AA0A59"/>
    <w:rsid w:val="796D60A4"/>
    <w:rsid w:val="79A031D5"/>
    <w:rsid w:val="7A1525F7"/>
    <w:rsid w:val="7B420052"/>
    <w:rsid w:val="7BD06A28"/>
    <w:rsid w:val="7C3A7C0B"/>
    <w:rsid w:val="7C5248E4"/>
    <w:rsid w:val="7C566698"/>
    <w:rsid w:val="7C5866A3"/>
    <w:rsid w:val="7D7406BB"/>
    <w:rsid w:val="7DE94331"/>
    <w:rsid w:val="7F446A19"/>
    <w:rsid w:val="7F7452B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4785</Words>
  <Characters>5806</Characters>
  <Lines>161</Lines>
  <Paragraphs>45</Paragraphs>
  <TotalTime>1</TotalTime>
  <ScaleCrop>false</ScaleCrop>
  <LinksUpToDate>false</LinksUpToDate>
  <CharactersWithSpaces>6069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吕雲鸿</cp:lastModifiedBy>
  <dcterms:modified xsi:type="dcterms:W3CDTF">2025-09-17T03:27:39Z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9C5A83162A4948A39DF818D62464F064_13</vt:lpwstr>
  </property>
  <property fmtid="{D5CDD505-2E9C-101B-9397-08002B2CF9AE}" pid="4" name="KSOTemplateDocerSaveRecord">
    <vt:lpwstr>eyJoZGlkIjoiOGZlMTZjZmNkYWY5NjMwMmNlNzM4YWU1NWJmNjZlNmIiLCJ1c2VySWQiOiIyMzgzNjMwMzUifQ==</vt:lpwstr>
  </property>
</Properties>
</file>