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78C3B">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重庆市黔江区蚕业管理总站</w:t>
      </w:r>
    </w:p>
    <w:p w14:paraId="72591F3F">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2026年单位预算情况说明</w:t>
      </w:r>
    </w:p>
    <w:p w14:paraId="157F84B2">
      <w:pPr>
        <w:spacing w:line="459" w:lineRule="exact"/>
        <w:jc w:val="center"/>
        <w:rPr>
          <w:rFonts w:ascii="Times New Roman" w:hAnsi="Times New Roman" w:eastAsia="方正仿宋_GBK"/>
          <w:b/>
          <w:bCs/>
          <w:sz w:val="44"/>
          <w:szCs w:val="44"/>
        </w:rPr>
      </w:pPr>
    </w:p>
    <w:p w14:paraId="3DDC742E">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64F0D290">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（一）职能职责。</w:t>
      </w:r>
      <w:r>
        <w:rPr>
          <w:rFonts w:hint="eastAsia" w:ascii="Times New Roman" w:hAnsi="Times New Roman" w:eastAsia="方正仿宋_GBK"/>
          <w:sz w:val="32"/>
          <w:szCs w:val="32"/>
        </w:rPr>
        <w:t>单位现行的职能职责：1、承担制订全区蚕业发展规划和生产计划。2、承担茧丝绸行业管理、生产经营资格的备案和蚕种管理工作。3、承担协调行业科研项目、科技成果审定和推广工作。4、组织开展蚕业技术培训工作。5、完成区委、区政府和区林业局交办的其他任务。</w:t>
      </w:r>
    </w:p>
    <w:p w14:paraId="727AA2EA">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（二）单位构成。</w:t>
      </w:r>
      <w:r>
        <w:rPr>
          <w:rFonts w:hint="eastAsia" w:ascii="Times New Roman" w:hAnsi="Times New Roman" w:eastAsia="方正仿宋_GBK"/>
          <w:sz w:val="32"/>
          <w:szCs w:val="32"/>
        </w:rPr>
        <w:t>重庆市黔江区蚕业管理总站为区林业局管理的正科级公益一类全额拨款事业单位。</w:t>
      </w:r>
    </w:p>
    <w:p w14:paraId="6D74986B">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二、单位收支总体情况</w:t>
      </w:r>
    </w:p>
    <w:p w14:paraId="2B21DA32">
      <w:pPr>
        <w:overflowPunct w:val="0"/>
        <w:spacing w:line="579"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（一）收入预算：2026年年初预算数411.64万元，其中：一般公共预算拨款411.64万元；收入较去年增长48.52万元，主要是</w:t>
      </w:r>
      <w:r>
        <w:rPr>
          <w:rFonts w:hint="eastAsia" w:ascii="Times New Roman" w:hAnsi="Times New Roman" w:eastAsia="方正仿宋_GBK"/>
          <w:sz w:val="32"/>
          <w:szCs w:val="32"/>
          <w:lang w:eastAsia="zh-CN"/>
        </w:rPr>
        <w:t>差额退休人员健康休养费全额</w:t>
      </w:r>
      <w:r>
        <w:rPr>
          <w:rFonts w:hint="eastAsia" w:ascii="Times New Roman" w:hAnsi="Times New Roman" w:eastAsia="方正仿宋_GBK"/>
          <w:sz w:val="32"/>
          <w:szCs w:val="32"/>
        </w:rPr>
        <w:t>纳入年度预算。</w:t>
      </w:r>
    </w:p>
    <w:p w14:paraId="3C6B86CD">
      <w:pPr>
        <w:overflowPunct w:val="0"/>
        <w:spacing w:line="579"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（二）支出预算：2026年年初预算数411.64万元，其中：社会保障和就业支出 143.36万元，卫生健康支出24.22万元，住房保障支出15.57万元，农林水支出228.50万元；支出较去年增长48.52万元，主要是</w:t>
      </w:r>
      <w:r>
        <w:rPr>
          <w:rFonts w:hint="eastAsia" w:ascii="Times New Roman" w:hAnsi="Times New Roman" w:eastAsia="方正仿宋_GBK"/>
          <w:sz w:val="32"/>
          <w:szCs w:val="32"/>
          <w:lang w:eastAsia="zh-CN"/>
        </w:rPr>
        <w:t>差额退休人员健康休养费全额</w:t>
      </w:r>
      <w:r>
        <w:rPr>
          <w:rFonts w:hint="eastAsia" w:ascii="Times New Roman" w:hAnsi="Times New Roman" w:eastAsia="方正仿宋_GBK"/>
          <w:sz w:val="32"/>
          <w:szCs w:val="32"/>
        </w:rPr>
        <w:t>纳入年度预算。</w:t>
      </w:r>
    </w:p>
    <w:p w14:paraId="4225A7B9">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w:t>
      </w:r>
      <w:r>
        <w:rPr>
          <w:rFonts w:hint="eastAsia" w:ascii="方正黑体_GBK" w:hAnsi="方正黑体_GBK" w:eastAsia="方正黑体_GBK" w:cs="方正黑体_GBK"/>
          <w:sz w:val="32"/>
          <w:szCs w:val="32"/>
        </w:rPr>
        <w:t>单位</w:t>
      </w:r>
      <w:r>
        <w:rPr>
          <w:rFonts w:hint="eastAsia" w:ascii="方正黑体_GBK" w:hAnsi="方正黑体_GBK" w:eastAsia="方正黑体_GBK" w:cs="方正黑体_GBK"/>
          <w:kern w:val="0"/>
          <w:sz w:val="32"/>
          <w:szCs w:val="32"/>
        </w:rPr>
        <w:t>预算情况说明</w:t>
      </w:r>
    </w:p>
    <w:p w14:paraId="51262C26">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2026年一般公共预算财政拨款收入411.64万元，一般公共预算财政拨款支出411.64万元。其中：基本支出411.64万元，</w:t>
      </w:r>
      <w:r>
        <w:rPr>
          <w:rFonts w:ascii="Times New Roman" w:hAnsi="Times New Roman" w:eastAsia="方正仿宋_GBK" w:cs="宋体"/>
          <w:kern w:val="0"/>
          <w:sz w:val="32"/>
          <w:szCs w:val="32"/>
        </w:rPr>
        <w:t>比202</w:t>
      </w:r>
      <w:r>
        <w:rPr>
          <w:rFonts w:hint="eastAsia" w:ascii="Times New Roman" w:hAnsi="Times New Roman" w:eastAsia="方正仿宋_GBK" w:cs="宋体"/>
          <w:kern w:val="0"/>
          <w:sz w:val="32"/>
          <w:szCs w:val="32"/>
        </w:rPr>
        <w:t>5</w:t>
      </w:r>
      <w:r>
        <w:rPr>
          <w:rFonts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rPr>
        <w:t>增长48.52</w:t>
      </w:r>
      <w:r>
        <w:rPr>
          <w:rFonts w:ascii="Times New Roman" w:hAnsi="Times New Roman" w:eastAsia="方正仿宋_GBK" w:cs="宋体"/>
          <w:kern w:val="0"/>
          <w:sz w:val="32"/>
          <w:szCs w:val="32"/>
        </w:rPr>
        <w:t>万元</w:t>
      </w:r>
      <w:r>
        <w:rPr>
          <w:rFonts w:hint="eastAsia" w:ascii="Times New Roman" w:hAnsi="Times New Roman" w:eastAsia="方正仿宋_GBK" w:cs="宋体"/>
          <w:kern w:val="0"/>
          <w:sz w:val="32"/>
          <w:szCs w:val="32"/>
        </w:rPr>
        <w:t>，</w:t>
      </w:r>
      <w:r>
        <w:rPr>
          <w:rFonts w:hint="eastAsia" w:ascii="Times New Roman" w:hAnsi="Times New Roman" w:eastAsia="方正仿宋_GBK"/>
          <w:sz w:val="32"/>
          <w:szCs w:val="32"/>
        </w:rPr>
        <w:t>主要是</w:t>
      </w:r>
      <w:r>
        <w:rPr>
          <w:rFonts w:hint="eastAsia" w:ascii="Times New Roman" w:hAnsi="Times New Roman" w:eastAsia="方正仿宋_GBK"/>
          <w:sz w:val="32"/>
          <w:szCs w:val="32"/>
          <w:lang w:eastAsia="zh-CN"/>
        </w:rPr>
        <w:t>差额退休人员健康休养费全额</w:t>
      </w:r>
      <w:r>
        <w:rPr>
          <w:rFonts w:hint="eastAsia" w:ascii="Times New Roman" w:hAnsi="Times New Roman" w:eastAsia="方正仿宋_GBK"/>
          <w:sz w:val="32"/>
          <w:szCs w:val="32"/>
        </w:rPr>
        <w:t>纳入年度预算。</w:t>
      </w:r>
    </w:p>
    <w:p w14:paraId="7AEC108C">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重庆市黔江</w:t>
      </w:r>
      <w:r>
        <w:rPr>
          <w:rFonts w:hint="eastAsia" w:ascii="Times New Roman" w:hAnsi="Times New Roman" w:eastAsia="方正仿宋_GBK"/>
          <w:sz w:val="32"/>
          <w:szCs w:val="32"/>
        </w:rPr>
        <w:t>区蚕业管理总站</w:t>
      </w:r>
      <w:r>
        <w:rPr>
          <w:rFonts w:hint="eastAsia" w:ascii="Times New Roman" w:hAnsi="Times New Roman" w:eastAsia="方正仿宋_GBK" w:cs="宋体"/>
          <w:kern w:val="0"/>
          <w:sz w:val="32"/>
          <w:szCs w:val="32"/>
        </w:rPr>
        <w:t>2026年无使用政府性基金预算拨款安排的支出。</w:t>
      </w:r>
    </w:p>
    <w:p w14:paraId="711C27B5">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四、“三公”经费情况说明</w:t>
      </w:r>
    </w:p>
    <w:p w14:paraId="6D98D08F">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2026年“三公”经费预算2.00万元。其中：公务接待费2.00万元，主要用于公务接待支出。</w:t>
      </w:r>
    </w:p>
    <w:p w14:paraId="6127C816">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五、其他重要事项的情况说明</w:t>
      </w:r>
    </w:p>
    <w:p w14:paraId="6344BBB9">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w:t>
      </w:r>
      <w:r>
        <w:rPr>
          <w:rFonts w:hint="eastAsia" w:ascii="Times New Roman" w:hAnsi="Times New Roman" w:eastAsia="方正仿宋_GBK" w:cs="宋体"/>
          <w:kern w:val="0"/>
          <w:sz w:val="32"/>
          <w:szCs w:val="32"/>
        </w:rPr>
        <w:t>我单位不在机关运行经费统计范围之内。</w:t>
      </w:r>
    </w:p>
    <w:p w14:paraId="16D76940">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w:t>
      </w:r>
      <w:r>
        <w:rPr>
          <w:rFonts w:hint="eastAsia" w:ascii="Times New Roman" w:hAnsi="Times New Roman" w:eastAsia="方正仿宋_GBK" w:cs="宋体"/>
          <w:kern w:val="0"/>
          <w:sz w:val="32"/>
          <w:szCs w:val="32"/>
        </w:rPr>
        <w:t xml:space="preserve">政府采购情况。我单位2026年无采购预算支出。  </w:t>
      </w:r>
    </w:p>
    <w:p w14:paraId="41519506">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w:t>
      </w:r>
      <w:r>
        <w:rPr>
          <w:rFonts w:hint="eastAsia" w:ascii="Times New Roman" w:hAnsi="Times New Roman" w:eastAsia="方正仿宋_GBK" w:cs="宋体"/>
          <w:kern w:val="0"/>
          <w:sz w:val="32"/>
          <w:szCs w:val="32"/>
        </w:rPr>
        <w:t>无国有资产占有使用情况。</w:t>
      </w:r>
      <w:bookmarkStart w:id="0" w:name="_GoBack"/>
      <w:bookmarkEnd w:id="0"/>
    </w:p>
    <w:p w14:paraId="2D55A152">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六、专业性名词解释</w:t>
      </w:r>
    </w:p>
    <w:p w14:paraId="463A11A3">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（一）财政拨款收入</w:t>
      </w:r>
      <w:r>
        <w:rPr>
          <w:rFonts w:hint="eastAsia" w:ascii="Times New Roman" w:hAnsi="Times New Roman" w:eastAsia="方正仿宋_GBK" w:cs="宋体"/>
          <w:kern w:val="0"/>
          <w:sz w:val="32"/>
          <w:szCs w:val="32"/>
        </w:rPr>
        <w:t>：指本年度从本级财政部门取得的财政拨款，包括一般公共预算财政拨款和政府性基金预算财政拨款。</w:t>
      </w:r>
    </w:p>
    <w:p w14:paraId="3B967F66">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（二）事业收入</w:t>
      </w:r>
      <w:r>
        <w:rPr>
          <w:rFonts w:hint="eastAsia" w:ascii="Times New Roman" w:hAnsi="Times New Roman" w:eastAsia="方正仿宋_GBK" w:cs="宋体"/>
          <w:kern w:val="0"/>
          <w:sz w:val="32"/>
          <w:szCs w:val="32"/>
        </w:rPr>
        <w:t>：指事业单位开展专业业务活动及其辅助活动取得的收入，不包括教育收费</w:t>
      </w:r>
    </w:p>
    <w:p w14:paraId="4E8D6521">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（三）上级补助收入</w:t>
      </w:r>
      <w:r>
        <w:rPr>
          <w:rFonts w:hint="eastAsia" w:ascii="Times New Roman" w:hAnsi="Times New Roman" w:eastAsia="方正仿宋_GBK" w:cs="宋体"/>
          <w:kern w:val="0"/>
          <w:sz w:val="32"/>
          <w:szCs w:val="32"/>
        </w:rPr>
        <w:t>：指从主管部门或上级单位取得的财政拨款以外的其他补助收入。</w:t>
      </w:r>
    </w:p>
    <w:p w14:paraId="6B364B8A">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（四）附属单位上缴收入</w:t>
      </w:r>
      <w:r>
        <w:rPr>
          <w:rFonts w:hint="eastAsia" w:ascii="Times New Roman" w:hAnsi="Times New Roman" w:eastAsia="方正仿宋_GBK" w:cs="宋体"/>
          <w:kern w:val="0"/>
          <w:sz w:val="32"/>
          <w:szCs w:val="32"/>
        </w:rPr>
        <w:t>：指本单位所属下级单位上缴给本单位的全部收入（包括下级事业单位上缴的事业收入、其他收入和下级企业单位上缴的利润等）。</w:t>
      </w:r>
    </w:p>
    <w:p w14:paraId="2A900436">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（五）事业单位经营收入</w:t>
      </w:r>
      <w:r>
        <w:rPr>
          <w:rFonts w:hint="eastAsia" w:ascii="Times New Roman" w:hAnsi="Times New Roman" w:eastAsia="方正仿宋_GBK" w:cs="宋体"/>
          <w:kern w:val="0"/>
          <w:sz w:val="32"/>
          <w:szCs w:val="32"/>
        </w:rPr>
        <w:t>：指事业单位在专业业务活动及其辅助活动之外开展非独立核算经营活动取得的收入。</w:t>
      </w:r>
    </w:p>
    <w:p w14:paraId="3FE7C076">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（六）其他收入</w:t>
      </w:r>
      <w:r>
        <w:rPr>
          <w:rFonts w:hint="eastAsia" w:ascii="Times New Roman" w:hAnsi="Times New Roman" w:eastAsia="方正仿宋_GBK" w:cs="宋体"/>
          <w:kern w:val="0"/>
          <w:sz w:val="32"/>
          <w:szCs w:val="32"/>
        </w:rPr>
        <w:t>：指债务收入（不含政府债券、政府向外国政府贷款和国际组织贷款）、投资收益等收入。</w:t>
      </w:r>
    </w:p>
    <w:p w14:paraId="659CB580">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（七）基本支出</w:t>
      </w:r>
      <w:r>
        <w:rPr>
          <w:rFonts w:hint="eastAsia" w:ascii="Times New Roman" w:hAnsi="Times New Roman" w:eastAsia="方正仿宋_GBK" w:cs="宋体"/>
          <w:kern w:val="0"/>
          <w:sz w:val="32"/>
          <w:szCs w:val="32"/>
        </w:rPr>
        <w:t>：指为保障机构正常运转、完成日常工作任务而发生的人员经费和公用经费。</w:t>
      </w:r>
    </w:p>
    <w:p w14:paraId="66E4C836">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（八）“三公”经费</w:t>
      </w:r>
      <w:r>
        <w:rPr>
          <w:rFonts w:hint="eastAsia" w:ascii="Times New Roman" w:hAnsi="Times New Roman" w:eastAsia="方正仿宋_GBK" w:cs="宋体"/>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4C3B6B">
      <w:pPr>
        <w:overflowPunct w:val="0"/>
        <w:spacing w:line="579" w:lineRule="exact"/>
        <w:rPr>
          <w:rFonts w:ascii="Times New Roman" w:hAnsi="Times New Roman" w:eastAsia="方正仿宋_GBK" w:cs="宋体"/>
          <w:kern w:val="0"/>
          <w:sz w:val="32"/>
          <w:szCs w:val="32"/>
        </w:rPr>
      </w:pPr>
    </w:p>
    <w:p w14:paraId="5F6A9746">
      <w:pPr>
        <w:overflowPunct w:val="0"/>
        <w:spacing w:line="579" w:lineRule="exact"/>
        <w:rPr>
          <w:rFonts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rPr>
        <w:t>单位预算公开联系人：</w:t>
      </w:r>
      <w:r>
        <w:rPr>
          <w:rFonts w:hint="eastAsia" w:ascii="Times New Roman" w:hAnsi="Times New Roman" w:eastAsia="方正仿宋_GBK" w:cs="宋体"/>
          <w:b/>
          <w:bCs/>
          <w:kern w:val="0"/>
          <w:sz w:val="32"/>
          <w:szCs w:val="32"/>
          <w:lang w:eastAsia="zh-CN"/>
        </w:rPr>
        <w:t>吕雲鸿</w:t>
      </w:r>
      <w:r>
        <w:rPr>
          <w:rFonts w:hint="eastAsia" w:ascii="Times New Roman" w:hAnsi="Times New Roman" w:eastAsia="方正仿宋_GBK" w:cs="宋体"/>
          <w:b/>
          <w:bCs/>
          <w:kern w:val="0"/>
          <w:sz w:val="32"/>
          <w:szCs w:val="32"/>
        </w:rPr>
        <w:t xml:space="preserve">   联系方式：023-79223430</w:t>
      </w:r>
    </w:p>
    <w:p w14:paraId="32A1CBF3">
      <w:pPr>
        <w:overflowPunct w:val="0"/>
        <w:rPr>
          <w:rFonts w:ascii="宋体" w:hAnsi="宋体" w:eastAsia="宋体" w:cs="宋体"/>
          <w:kern w:val="0"/>
          <w:sz w:val="30"/>
          <w:szCs w:val="30"/>
        </w:rPr>
      </w:pPr>
    </w:p>
    <w:p w14:paraId="4AA65EA0">
      <w:pPr>
        <w:widowControl/>
        <w:rPr>
          <w:rFonts w:ascii="宋体" w:hAnsi="宋体" w:eastAsia="宋体" w:cs="宋体"/>
          <w:b/>
          <w:bCs/>
          <w:kern w:val="0"/>
          <w:sz w:val="30"/>
          <w:szCs w:val="30"/>
        </w:rPr>
      </w:pPr>
      <w:r>
        <w:rPr>
          <w:rFonts w:hint="eastAsia" w:ascii="宋体" w:hAnsi="宋体" w:eastAsia="宋体" w:cs="宋体"/>
          <w:kern w:val="0"/>
          <w:sz w:val="30"/>
          <w:szCs w:val="30"/>
        </w:rPr>
        <w:t xml:space="preserve">   </w:t>
      </w:r>
    </w:p>
    <w:p w14:paraId="4A32F8D6">
      <w:pPr>
        <w:rPr>
          <w:sz w:val="30"/>
          <w:szCs w:val="30"/>
        </w:rPr>
      </w:pPr>
    </w:p>
    <w:sectPr>
      <w:footerReference r:id="rId3" w:type="default"/>
      <w:pgSz w:w="11906" w:h="16838"/>
      <w:pgMar w:top="2098" w:right="1474" w:bottom="1984" w:left="1587"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4CE92">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3946260">
                <w:pPr>
                  <w:pStyle w:val="2"/>
                  <w:ind w:left="210" w:leftChars="100" w:right="210" w:right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ZlMTZjZmNkYWY5NjMwMmNlNzM4YWU1NWJmNjZlNmIifQ=="/>
  </w:docVars>
  <w:rsids>
    <w:rsidRoot w:val="00D67F94"/>
    <w:rsid w:val="000559DC"/>
    <w:rsid w:val="001958C1"/>
    <w:rsid w:val="001C2646"/>
    <w:rsid w:val="00301FE5"/>
    <w:rsid w:val="00336BA6"/>
    <w:rsid w:val="003B7F1B"/>
    <w:rsid w:val="004D7F22"/>
    <w:rsid w:val="005473E4"/>
    <w:rsid w:val="005E1CF4"/>
    <w:rsid w:val="00653F33"/>
    <w:rsid w:val="006811FE"/>
    <w:rsid w:val="00773AD2"/>
    <w:rsid w:val="007B5E36"/>
    <w:rsid w:val="008407CC"/>
    <w:rsid w:val="008C2940"/>
    <w:rsid w:val="009240A3"/>
    <w:rsid w:val="00A25950"/>
    <w:rsid w:val="00B042E2"/>
    <w:rsid w:val="00B212F1"/>
    <w:rsid w:val="00BC1E45"/>
    <w:rsid w:val="00C414E8"/>
    <w:rsid w:val="00D67F94"/>
    <w:rsid w:val="00DC2315"/>
    <w:rsid w:val="00F70329"/>
    <w:rsid w:val="00FE5176"/>
    <w:rsid w:val="0E6E68AD"/>
    <w:rsid w:val="16377978"/>
    <w:rsid w:val="16454CE8"/>
    <w:rsid w:val="1663076D"/>
    <w:rsid w:val="3E310156"/>
    <w:rsid w:val="3F815EB5"/>
    <w:rsid w:val="400C1E94"/>
    <w:rsid w:val="43E5504B"/>
    <w:rsid w:val="456C5D8F"/>
    <w:rsid w:val="48767D31"/>
    <w:rsid w:val="494E4B3C"/>
    <w:rsid w:val="4E9D783D"/>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197</Words>
  <Characters>1124</Characters>
  <Lines>9</Lines>
  <Paragraphs>2</Paragraphs>
  <TotalTime>5</TotalTime>
  <ScaleCrop>false</ScaleCrop>
  <LinksUpToDate>false</LinksUpToDate>
  <CharactersWithSpaces>1319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2026-02-26T04:50:00Z</dcterms:created>
  <dc:creator>吕雲鸿</dc:creator>
  <cp:lastModifiedBy>Administrator</cp:lastModifiedBy>
  <dcterms:modified xsi:type="dcterms:W3CDTF">2026-02-26T06:41:22Z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68BC3305D36D43AD867941A4E0E2E740_12</vt:lpwstr>
  </property>
  <property fmtid="{D5CDD505-2E9C-101B-9397-08002B2CF9AE}" pid="4" name="KSOTemplateDocerSaveRecord">
    <vt:lpwstr>eyJoZGlkIjoiYjQyMDlkOWE1NjAzYzdkNzI0MTc5NGY0NzJmNzM0NzYifQ==</vt:lpwstr>
  </property>
</Properties>
</file>