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宋体" w:eastAsia="宋体" w:cs="宋体"/>
          <w:b/>
          <w:bCs/>
          <w:color w:val="000000"/>
          <w:sz w:val="44"/>
          <w:szCs w:val="44"/>
        </w:rPr>
      </w:pPr>
    </w:p>
    <w:p>
      <w:pPr>
        <w:spacing w:line="640" w:lineRule="exact"/>
        <w:jc w:val="center"/>
        <w:rPr>
          <w:rFonts w:ascii="宋体" w:eastAsia="宋体" w:cs="宋体"/>
          <w:b/>
          <w:bCs/>
          <w:color w:val="000000"/>
          <w:sz w:val="44"/>
          <w:szCs w:val="44"/>
        </w:rPr>
      </w:pPr>
    </w:p>
    <w:p>
      <w:pPr>
        <w:spacing w:line="640" w:lineRule="exact"/>
        <w:jc w:val="center"/>
        <w:rPr>
          <w:rFonts w:ascii="宋体" w:eastAsia="宋体" w:cs="宋体"/>
          <w:b/>
          <w:bCs/>
          <w:color w:val="000000"/>
          <w:sz w:val="44"/>
          <w:szCs w:val="44"/>
        </w:rPr>
      </w:pPr>
      <w:r>
        <w:rPr>
          <w:rFonts w:hint="eastAsia" w:ascii="宋体" w:eastAsia="宋体" w:cs="宋体"/>
          <w:b/>
          <w:bCs/>
          <w:color w:val="000000"/>
          <w:sz w:val="44"/>
          <w:szCs w:val="44"/>
        </w:rPr>
        <w:t>农业农村部 国家发展改革委 财政部 商务部 中国人民银行 国家税务总局 中国证券监督管理委员会 中华全国供销合作总社关于印发《农业产业化国家重点龙头企业认定和运行监测管理办法》的通知</w:t>
      </w:r>
    </w:p>
    <w:p>
      <w:pPr>
        <w:spacing w:line="640" w:lineRule="exact"/>
        <w:ind w:firstLine="645"/>
        <w:jc w:val="center"/>
        <w:rPr>
          <w:rFonts w:ascii="仿宋_GB2312" w:hAnsi="宋体"/>
          <w:sz w:val="44"/>
          <w:szCs w:val="44"/>
        </w:rPr>
      </w:pPr>
    </w:p>
    <w:p>
      <w:pPr>
        <w:spacing w:line="640" w:lineRule="exact"/>
        <w:rPr>
          <w:rFonts w:ascii="黑体" w:hAnsi="宋体" w:eastAsia="黑体"/>
          <w:sz w:val="32"/>
          <w:szCs w:val="32"/>
        </w:rPr>
      </w:pPr>
      <w:r>
        <w:rPr>
          <w:rFonts w:hint="eastAsia" w:ascii="黑体" w:hAnsi="宋体" w:eastAsia="黑体"/>
          <w:sz w:val="32"/>
          <w:szCs w:val="32"/>
        </w:rPr>
        <w:t>各省、自治区、直辖市、新疆生产建设兵团及计划单列市农业产业化主管部门、发展改革委、财政厅（局）、商务主管部门、供销合作社，中国人民银行上海总部、各分行、营业管理部、各省会（首府）城市中心支行，各省、自治区、直辖市、计划单列市国家税务局、地方税务局、证监会各派出机构：</w:t>
      </w:r>
    </w:p>
    <w:p>
      <w:pPr>
        <w:spacing w:line="640" w:lineRule="exact"/>
        <w:ind w:firstLine="645"/>
        <w:rPr>
          <w:rFonts w:ascii="仿宋_GB2312" w:hAnsi="宋体"/>
          <w:sz w:val="32"/>
          <w:szCs w:val="32"/>
        </w:rPr>
      </w:pPr>
      <w:r>
        <w:rPr>
          <w:rFonts w:hint="eastAsia" w:ascii="仿宋_GB2312" w:hAnsi="宋体"/>
          <w:sz w:val="32"/>
          <w:szCs w:val="32"/>
        </w:rPr>
        <w:t>根据实施乡村振兴战略、发展现代农业的新要求和农业产业化发展的新情况，农业农村部、国家发展改革委、财政部、商务部、中国人民银行、国家税务总局、中国证券监督管理委员会、中华全国供销合作总社对2010年印发的《农业产业化国家重点龙头企业认定和运行监测管理办法》进行了修改。现将修改后的《农业产业化国家重点龙头企业认定和运行监测管理办法》印发给你们，请贯彻执行。</w:t>
      </w:r>
    </w:p>
    <w:p>
      <w:pPr>
        <w:spacing w:line="640" w:lineRule="exact"/>
        <w:ind w:firstLine="645"/>
        <w:rPr>
          <w:rFonts w:ascii="仿宋_GB2312" w:hAnsi="宋体"/>
          <w:sz w:val="32"/>
          <w:szCs w:val="32"/>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30"/>
        <w:gridCol w:w="1947"/>
        <w:gridCol w:w="2314"/>
        <w:gridCol w:w="21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pPr>
              <w:spacing w:line="640" w:lineRule="exact"/>
              <w:jc w:val="center"/>
              <w:rPr>
                <w:rFonts w:ascii="仿宋_GB2312" w:hAnsi="宋体"/>
                <w:sz w:val="32"/>
                <w:szCs w:val="32"/>
              </w:rPr>
            </w:pPr>
            <w:r>
              <w:rPr>
                <w:rFonts w:hint="eastAsia" w:ascii="仿宋_GB2312" w:hAnsi="宋体"/>
                <w:sz w:val="32"/>
                <w:szCs w:val="32"/>
              </w:rPr>
              <w:t>农业农村部</w:t>
            </w:r>
          </w:p>
        </w:tc>
        <w:tc>
          <w:tcPr>
            <w:tcW w:w="1947" w:type="dxa"/>
            <w:vAlign w:val="center"/>
          </w:tcPr>
          <w:p>
            <w:pPr>
              <w:spacing w:line="640" w:lineRule="exact"/>
              <w:jc w:val="center"/>
              <w:rPr>
                <w:rFonts w:ascii="仿宋_GB2312" w:hAnsi="宋体"/>
                <w:sz w:val="32"/>
                <w:szCs w:val="32"/>
              </w:rPr>
            </w:pPr>
            <w:r>
              <w:rPr>
                <w:rFonts w:hint="eastAsia" w:ascii="仿宋_GB2312" w:hAnsi="宋体"/>
                <w:sz w:val="32"/>
                <w:szCs w:val="32"/>
              </w:rPr>
              <w:t>国家发展</w:t>
            </w:r>
          </w:p>
          <w:p>
            <w:pPr>
              <w:spacing w:line="640" w:lineRule="exact"/>
              <w:jc w:val="center"/>
              <w:rPr>
                <w:rFonts w:ascii="仿宋_GB2312" w:hAnsi="宋体"/>
                <w:sz w:val="32"/>
                <w:szCs w:val="32"/>
              </w:rPr>
            </w:pPr>
            <w:r>
              <w:rPr>
                <w:rFonts w:hint="eastAsia" w:ascii="仿宋_GB2312" w:hAnsi="宋体"/>
                <w:sz w:val="32"/>
                <w:szCs w:val="32"/>
              </w:rPr>
              <w:t>改革委</w:t>
            </w:r>
          </w:p>
        </w:tc>
        <w:tc>
          <w:tcPr>
            <w:tcW w:w="2314" w:type="dxa"/>
            <w:vAlign w:val="center"/>
          </w:tcPr>
          <w:p>
            <w:pPr>
              <w:spacing w:line="640" w:lineRule="exact"/>
              <w:jc w:val="center"/>
              <w:rPr>
                <w:rFonts w:ascii="仿宋_GB2312" w:hAnsi="宋体"/>
                <w:sz w:val="32"/>
                <w:szCs w:val="32"/>
              </w:rPr>
            </w:pPr>
            <w:r>
              <w:rPr>
                <w:rFonts w:hint="eastAsia" w:ascii="仿宋_GB2312" w:hAnsi="宋体"/>
                <w:sz w:val="32"/>
                <w:szCs w:val="32"/>
              </w:rPr>
              <w:t>财政部</w:t>
            </w:r>
          </w:p>
        </w:tc>
        <w:tc>
          <w:tcPr>
            <w:tcW w:w="2131" w:type="dxa"/>
            <w:vAlign w:val="center"/>
          </w:tcPr>
          <w:p>
            <w:pPr>
              <w:spacing w:line="640" w:lineRule="exact"/>
              <w:jc w:val="center"/>
              <w:rPr>
                <w:rFonts w:ascii="仿宋_GB2312" w:hAnsi="宋体"/>
                <w:sz w:val="32"/>
                <w:szCs w:val="32"/>
              </w:rPr>
            </w:pPr>
            <w:r>
              <w:rPr>
                <w:rFonts w:hint="eastAsia" w:ascii="仿宋_GB2312" w:hAnsi="宋体"/>
                <w:sz w:val="32"/>
                <w:szCs w:val="32"/>
              </w:rPr>
              <w:t>商务部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pPr>
              <w:spacing w:line="640" w:lineRule="exact"/>
              <w:jc w:val="center"/>
              <w:rPr>
                <w:rFonts w:ascii="仿宋_GB2312" w:hAnsi="宋体"/>
                <w:sz w:val="32"/>
                <w:szCs w:val="32"/>
              </w:rPr>
            </w:pPr>
            <w:r>
              <w:rPr>
                <w:rFonts w:hint="eastAsia" w:ascii="仿宋_GB2312" w:hAnsi="宋体"/>
                <w:sz w:val="32"/>
                <w:szCs w:val="32"/>
              </w:rPr>
              <w:t>中国人民</w:t>
            </w:r>
          </w:p>
          <w:p>
            <w:pPr>
              <w:spacing w:line="640" w:lineRule="exact"/>
              <w:jc w:val="center"/>
              <w:rPr>
                <w:rFonts w:ascii="仿宋_GB2312" w:hAnsi="宋体"/>
                <w:sz w:val="32"/>
                <w:szCs w:val="32"/>
              </w:rPr>
            </w:pPr>
            <w:r>
              <w:rPr>
                <w:rFonts w:hint="eastAsia" w:ascii="仿宋_GB2312" w:hAnsi="宋体"/>
                <w:sz w:val="32"/>
                <w:szCs w:val="32"/>
              </w:rPr>
              <w:t>银行</w:t>
            </w:r>
          </w:p>
        </w:tc>
        <w:tc>
          <w:tcPr>
            <w:tcW w:w="1947" w:type="dxa"/>
            <w:vAlign w:val="center"/>
          </w:tcPr>
          <w:p>
            <w:pPr>
              <w:spacing w:line="640" w:lineRule="exact"/>
              <w:jc w:val="center"/>
              <w:rPr>
                <w:rFonts w:ascii="仿宋_GB2312" w:hAnsi="宋体"/>
                <w:sz w:val="32"/>
                <w:szCs w:val="32"/>
              </w:rPr>
            </w:pPr>
            <w:r>
              <w:rPr>
                <w:rFonts w:hint="eastAsia" w:ascii="仿宋_GB2312" w:hAnsi="宋体"/>
                <w:sz w:val="32"/>
                <w:szCs w:val="32"/>
              </w:rPr>
              <w:t>国家税务</w:t>
            </w:r>
          </w:p>
          <w:p>
            <w:pPr>
              <w:spacing w:line="640" w:lineRule="exact"/>
              <w:jc w:val="center"/>
              <w:rPr>
                <w:rFonts w:ascii="仿宋_GB2312" w:hAnsi="宋体"/>
                <w:sz w:val="32"/>
                <w:szCs w:val="32"/>
              </w:rPr>
            </w:pPr>
            <w:r>
              <w:rPr>
                <w:rFonts w:hint="eastAsia" w:ascii="仿宋_GB2312" w:hAnsi="宋体"/>
                <w:sz w:val="32"/>
                <w:szCs w:val="32"/>
              </w:rPr>
              <w:t>总局</w:t>
            </w:r>
          </w:p>
        </w:tc>
        <w:tc>
          <w:tcPr>
            <w:tcW w:w="2314" w:type="dxa"/>
            <w:vAlign w:val="center"/>
          </w:tcPr>
          <w:p>
            <w:pPr>
              <w:spacing w:line="640" w:lineRule="exact"/>
              <w:jc w:val="center"/>
              <w:rPr>
                <w:rFonts w:ascii="仿宋_GB2312" w:hAnsi="宋体"/>
                <w:sz w:val="32"/>
                <w:szCs w:val="32"/>
              </w:rPr>
            </w:pPr>
            <w:r>
              <w:rPr>
                <w:rFonts w:hint="eastAsia" w:ascii="仿宋_GB2312" w:hAnsi="宋体"/>
                <w:sz w:val="32"/>
                <w:szCs w:val="32"/>
              </w:rPr>
              <w:t>中国证券监督管理委员会</w:t>
            </w:r>
          </w:p>
        </w:tc>
        <w:tc>
          <w:tcPr>
            <w:tcW w:w="2131" w:type="dxa"/>
            <w:vAlign w:val="center"/>
          </w:tcPr>
          <w:p>
            <w:pPr>
              <w:spacing w:line="640" w:lineRule="exact"/>
              <w:jc w:val="center"/>
              <w:rPr>
                <w:rFonts w:ascii="仿宋_GB2312" w:hAnsi="宋体"/>
                <w:sz w:val="32"/>
                <w:szCs w:val="32"/>
              </w:rPr>
            </w:pPr>
            <w:r>
              <w:rPr>
                <w:rFonts w:hint="eastAsia" w:ascii="仿宋_GB2312" w:hAnsi="宋体"/>
                <w:sz w:val="32"/>
                <w:szCs w:val="32"/>
              </w:rPr>
              <w:t>中华全国供销合作总社</w:t>
            </w:r>
          </w:p>
        </w:tc>
      </w:tr>
    </w:tbl>
    <w:p>
      <w:pPr>
        <w:spacing w:line="640" w:lineRule="exact"/>
        <w:ind w:firstLine="645"/>
        <w:rPr>
          <w:rFonts w:ascii="仿宋_GB2312" w:hAnsi="宋体"/>
          <w:sz w:val="32"/>
          <w:szCs w:val="32"/>
        </w:rPr>
      </w:pPr>
    </w:p>
    <w:p>
      <w:pPr>
        <w:spacing w:line="640" w:lineRule="exact"/>
        <w:ind w:firstLine="645"/>
        <w:jc w:val="right"/>
        <w:rPr>
          <w:rFonts w:ascii="仿宋_GB2312" w:hAnsi="宋体"/>
          <w:sz w:val="32"/>
          <w:szCs w:val="32"/>
        </w:rPr>
      </w:pPr>
      <w:r>
        <w:rPr>
          <w:rFonts w:ascii="仿宋_GB2312" w:hAnsi="宋体"/>
          <w:sz w:val="32"/>
          <w:szCs w:val="32"/>
        </w:rPr>
        <w:t>2018年</w:t>
      </w:r>
      <w:r>
        <w:rPr>
          <w:rFonts w:hint="eastAsia" w:ascii="仿宋_GB2312" w:hAnsi="宋体"/>
          <w:sz w:val="32"/>
          <w:szCs w:val="32"/>
        </w:rPr>
        <w:t>5</w:t>
      </w:r>
      <w:r>
        <w:rPr>
          <w:rFonts w:ascii="仿宋_GB2312" w:hAnsi="宋体"/>
          <w:sz w:val="32"/>
          <w:szCs w:val="32"/>
        </w:rPr>
        <w:t>月</w:t>
      </w:r>
      <w:r>
        <w:rPr>
          <w:rFonts w:hint="eastAsia" w:ascii="仿宋_GB2312" w:hAnsi="宋体"/>
          <w:sz w:val="32"/>
          <w:szCs w:val="32"/>
        </w:rPr>
        <w:t>10</w:t>
      </w:r>
      <w:r>
        <w:rPr>
          <w:rFonts w:ascii="仿宋_GB2312" w:hAnsi="宋体"/>
          <w:sz w:val="32"/>
          <w:szCs w:val="32"/>
        </w:rPr>
        <w:t>日</w:t>
      </w:r>
    </w:p>
    <w:p>
      <w:pPr>
        <w:spacing w:line="640" w:lineRule="exact"/>
        <w:ind w:firstLine="645"/>
        <w:jc w:val="right"/>
        <w:rPr>
          <w:rFonts w:ascii="仿宋_GB2312" w:hAnsi="宋体"/>
          <w:sz w:val="32"/>
          <w:szCs w:val="32"/>
        </w:rPr>
      </w:pPr>
    </w:p>
    <w:p>
      <w:pPr>
        <w:spacing w:line="640" w:lineRule="exact"/>
        <w:ind w:firstLine="645"/>
        <w:jc w:val="right"/>
        <w:rPr>
          <w:rFonts w:ascii="仿宋_GB2312" w:hAnsi="宋体"/>
          <w:sz w:val="32"/>
          <w:szCs w:val="32"/>
        </w:rPr>
      </w:pPr>
    </w:p>
    <w:p>
      <w:pPr>
        <w:spacing w:line="640" w:lineRule="exact"/>
        <w:jc w:val="center"/>
        <w:rPr>
          <w:rFonts w:ascii="宋体" w:hAnsi="宋体"/>
          <w:b/>
          <w:sz w:val="44"/>
          <w:szCs w:val="44"/>
        </w:rPr>
      </w:pPr>
    </w:p>
    <w:p>
      <w:pPr>
        <w:spacing w:line="640" w:lineRule="exact"/>
        <w:jc w:val="center"/>
        <w:rPr>
          <w:rFonts w:ascii="宋体" w:hAnsi="宋体"/>
          <w:b/>
          <w:sz w:val="44"/>
          <w:szCs w:val="44"/>
        </w:rPr>
      </w:pPr>
    </w:p>
    <w:p>
      <w:pPr>
        <w:spacing w:line="640" w:lineRule="exact"/>
        <w:jc w:val="center"/>
        <w:rPr>
          <w:rFonts w:ascii="宋体" w:hAnsi="宋体"/>
          <w:b/>
          <w:sz w:val="44"/>
          <w:szCs w:val="44"/>
        </w:rPr>
      </w:pPr>
    </w:p>
    <w:p>
      <w:pPr>
        <w:rPr>
          <w:rFonts w:hint="eastAsia" w:ascii="宋体" w:eastAsia="宋体" w:cs="宋体"/>
          <w:b/>
          <w:bCs/>
          <w:color w:val="000000"/>
          <w:sz w:val="44"/>
          <w:szCs w:val="44"/>
        </w:rPr>
      </w:pPr>
      <w:r>
        <w:rPr>
          <w:rFonts w:hint="eastAsia" w:ascii="宋体" w:eastAsia="宋体" w:cs="宋体"/>
          <w:b/>
          <w:bCs/>
          <w:color w:val="000000"/>
          <w:sz w:val="44"/>
          <w:szCs w:val="44"/>
        </w:rPr>
        <w:br w:type="page"/>
      </w:r>
    </w:p>
    <w:p>
      <w:pPr>
        <w:spacing w:line="640" w:lineRule="exact"/>
        <w:jc w:val="center"/>
        <w:rPr>
          <w:rFonts w:ascii="宋体" w:eastAsia="宋体" w:cs="宋体"/>
          <w:b/>
          <w:bCs/>
          <w:color w:val="000000"/>
          <w:sz w:val="44"/>
          <w:szCs w:val="44"/>
        </w:rPr>
      </w:pPr>
      <w:bookmarkStart w:id="0" w:name="_GoBack"/>
      <w:bookmarkEnd w:id="0"/>
      <w:r>
        <w:rPr>
          <w:rFonts w:hint="eastAsia" w:ascii="宋体" w:eastAsia="宋体" w:cs="宋体"/>
          <w:b/>
          <w:bCs/>
          <w:color w:val="000000"/>
          <w:sz w:val="44"/>
          <w:szCs w:val="44"/>
        </w:rPr>
        <w:t>农业产业化国家重点龙头企业</w:t>
      </w:r>
    </w:p>
    <w:p>
      <w:pPr>
        <w:spacing w:line="640" w:lineRule="exact"/>
        <w:jc w:val="center"/>
        <w:rPr>
          <w:rFonts w:ascii="宋体" w:eastAsia="宋体" w:cs="宋体"/>
          <w:b/>
          <w:bCs/>
          <w:color w:val="000000"/>
          <w:sz w:val="44"/>
          <w:szCs w:val="44"/>
        </w:rPr>
      </w:pPr>
      <w:r>
        <w:rPr>
          <w:rFonts w:hint="eastAsia" w:ascii="宋体" w:eastAsia="宋体" w:cs="宋体"/>
          <w:b/>
          <w:bCs/>
          <w:color w:val="000000"/>
          <w:sz w:val="44"/>
          <w:szCs w:val="44"/>
        </w:rPr>
        <w:t>认定和运行监测管理办法</w:t>
      </w:r>
    </w:p>
    <w:p>
      <w:pPr>
        <w:pStyle w:val="11"/>
        <w:adjustRightInd/>
        <w:spacing w:line="640" w:lineRule="exact"/>
        <w:textAlignment w:val="auto"/>
        <w:rPr>
          <w:rFonts w:ascii="仿宋_GB2312" w:hAnsi="宋体" w:eastAsia="仿宋_GB2312"/>
          <w:sz w:val="32"/>
          <w:szCs w:val="32"/>
        </w:rPr>
      </w:pPr>
    </w:p>
    <w:p>
      <w:pPr>
        <w:spacing w:line="640" w:lineRule="exact"/>
        <w:jc w:val="center"/>
        <w:rPr>
          <w:rFonts w:ascii="黑体" w:hAnsi="宋体" w:eastAsia="黑体"/>
          <w:sz w:val="32"/>
          <w:szCs w:val="32"/>
        </w:rPr>
      </w:pPr>
      <w:r>
        <w:rPr>
          <w:rFonts w:hint="eastAsia" w:ascii="黑体" w:hAnsi="宋体" w:eastAsia="黑体"/>
          <w:sz w:val="32"/>
          <w:szCs w:val="32"/>
        </w:rPr>
        <w:t>第一章  总   则</w:t>
      </w:r>
    </w:p>
    <w:p>
      <w:pPr>
        <w:spacing w:line="640" w:lineRule="exact"/>
        <w:ind w:firstLine="397"/>
        <w:rPr>
          <w:rFonts w:ascii="仿宋_GB2312" w:hAnsi="宋体"/>
          <w:sz w:val="32"/>
          <w:szCs w:val="32"/>
        </w:rPr>
      </w:pPr>
    </w:p>
    <w:p>
      <w:pPr>
        <w:spacing w:line="640" w:lineRule="exact"/>
        <w:ind w:firstLine="716" w:firstLineChars="224"/>
        <w:rPr>
          <w:rFonts w:ascii="仿宋_GB2312" w:hAnsi="宋体"/>
          <w:sz w:val="32"/>
          <w:szCs w:val="32"/>
        </w:rPr>
      </w:pPr>
      <w:r>
        <w:rPr>
          <w:rFonts w:hint="eastAsia" w:ascii="黑体" w:hAnsi="宋体" w:eastAsia="黑体"/>
          <w:sz w:val="32"/>
          <w:szCs w:val="32"/>
        </w:rPr>
        <w:t>第一条</w:t>
      </w:r>
      <w:r>
        <w:rPr>
          <w:rFonts w:hint="eastAsia" w:ascii="仿宋_GB2312" w:hAnsi="宋体"/>
          <w:sz w:val="32"/>
          <w:szCs w:val="32"/>
        </w:rPr>
        <w:t xml:space="preserve">  根据中央关于“在全国选择一批有基础、有优势、有特色、有前景的龙头企业作为国家支持的重点”的要求，为进一步规范农业产业化国家重点龙头企业（以下简称“国家重点龙头企业”）的认定和运行监测工作，加强对国家重点龙头企业的服务与扶持，培育壮大龙头企业，增强辐射带动能力，特制定本办法。</w:t>
      </w:r>
    </w:p>
    <w:p>
      <w:pPr>
        <w:spacing w:line="640" w:lineRule="exact"/>
        <w:ind w:firstLine="716" w:firstLineChars="224"/>
        <w:rPr>
          <w:rFonts w:ascii="仿宋_GB2312" w:hAnsi="宋体"/>
          <w:sz w:val="32"/>
          <w:szCs w:val="32"/>
        </w:rPr>
      </w:pPr>
      <w:r>
        <w:rPr>
          <w:rFonts w:hint="eastAsia" w:ascii="黑体" w:hAnsi="宋体" w:eastAsia="黑体"/>
          <w:sz w:val="32"/>
          <w:szCs w:val="32"/>
        </w:rPr>
        <w:t>第二条</w:t>
      </w:r>
      <w:r>
        <w:rPr>
          <w:rFonts w:hint="eastAsia" w:ascii="仿宋_GB2312" w:hAnsi="宋体"/>
          <w:sz w:val="32"/>
          <w:szCs w:val="32"/>
        </w:rPr>
        <w:t xml:space="preserve">  国家重点龙头企业是指以农产品生产、加工或流通为主业，通过合同、合作、股份合作等利益联结方式直接与农户紧密联系，使农产品生产、加工、销售有机结合、相互促进，在规模和经营指标上达到规定标准并经全国农业产业化联席会议认定的农业企业。</w:t>
      </w:r>
    </w:p>
    <w:p>
      <w:pPr>
        <w:spacing w:line="640" w:lineRule="exact"/>
        <w:ind w:firstLine="716" w:firstLineChars="224"/>
        <w:rPr>
          <w:rFonts w:ascii="仿宋_GB2312" w:hAnsi="宋体"/>
          <w:sz w:val="32"/>
          <w:szCs w:val="32"/>
        </w:rPr>
      </w:pPr>
      <w:r>
        <w:rPr>
          <w:rFonts w:hint="eastAsia" w:ascii="黑体" w:hAnsi="宋体" w:eastAsia="黑体"/>
          <w:sz w:val="32"/>
          <w:szCs w:val="32"/>
        </w:rPr>
        <w:t>第三条</w:t>
      </w:r>
      <w:r>
        <w:rPr>
          <w:rFonts w:hint="eastAsia" w:ascii="仿宋_GB2312" w:hAnsi="宋体"/>
          <w:sz w:val="32"/>
          <w:szCs w:val="32"/>
        </w:rPr>
        <w:t xml:space="preserve">  对国家重点龙头企业的认定和运行监测工作要遵循市场经济规律，引进竞争淘汰机制，发挥中介组织和专家的作用，坚持公开、公平、公正原则，不干预企业经营自主权。</w:t>
      </w:r>
    </w:p>
    <w:p>
      <w:pPr>
        <w:spacing w:line="640" w:lineRule="exact"/>
        <w:ind w:firstLine="716" w:firstLineChars="224"/>
        <w:rPr>
          <w:rFonts w:ascii="仿宋_GB2312" w:hAnsi="宋体"/>
          <w:sz w:val="32"/>
          <w:szCs w:val="32"/>
        </w:rPr>
      </w:pPr>
      <w:r>
        <w:rPr>
          <w:rFonts w:hint="eastAsia" w:ascii="黑体" w:hAnsi="宋体" w:eastAsia="黑体"/>
          <w:sz w:val="32"/>
          <w:szCs w:val="32"/>
        </w:rPr>
        <w:t xml:space="preserve">第四条 </w:t>
      </w:r>
      <w:r>
        <w:rPr>
          <w:rFonts w:hint="eastAsia" w:ascii="仿宋_GB2312" w:hAnsi="宋体"/>
          <w:sz w:val="32"/>
          <w:szCs w:val="32"/>
        </w:rPr>
        <w:t xml:space="preserve"> 凡申报或已获准作为国家重点龙头企业的企业，适用本办法。</w:t>
      </w:r>
    </w:p>
    <w:p>
      <w:pPr>
        <w:spacing w:line="640" w:lineRule="exact"/>
        <w:ind w:firstLine="716" w:firstLineChars="224"/>
        <w:rPr>
          <w:rFonts w:ascii="仿宋_GB2312" w:hAnsi="宋体"/>
          <w:sz w:val="32"/>
          <w:szCs w:val="32"/>
        </w:rPr>
      </w:pPr>
    </w:p>
    <w:p>
      <w:pPr>
        <w:spacing w:line="640" w:lineRule="exact"/>
        <w:jc w:val="center"/>
        <w:rPr>
          <w:rFonts w:ascii="黑体" w:hAnsi="宋体" w:eastAsia="黑体"/>
          <w:sz w:val="32"/>
          <w:szCs w:val="32"/>
        </w:rPr>
      </w:pPr>
      <w:r>
        <w:rPr>
          <w:rFonts w:hint="eastAsia" w:ascii="黑体" w:hAnsi="宋体" w:eastAsia="黑体"/>
          <w:sz w:val="32"/>
          <w:szCs w:val="32"/>
        </w:rPr>
        <w:t>第二章  申   报</w:t>
      </w:r>
    </w:p>
    <w:p>
      <w:pPr>
        <w:spacing w:line="640" w:lineRule="exact"/>
        <w:ind w:firstLine="716" w:firstLineChars="224"/>
        <w:rPr>
          <w:rFonts w:ascii="仿宋_GB2312" w:hAnsi="宋体"/>
          <w:sz w:val="32"/>
          <w:szCs w:val="32"/>
        </w:rPr>
      </w:pPr>
    </w:p>
    <w:p>
      <w:pPr>
        <w:spacing w:line="640" w:lineRule="exact"/>
        <w:ind w:firstLine="716" w:firstLineChars="224"/>
        <w:rPr>
          <w:rFonts w:ascii="仿宋_GB2312" w:hAnsi="宋体"/>
          <w:sz w:val="32"/>
          <w:szCs w:val="32"/>
        </w:rPr>
      </w:pPr>
      <w:r>
        <w:rPr>
          <w:rFonts w:hint="eastAsia" w:ascii="黑体" w:hAnsi="宋体" w:eastAsia="黑体"/>
          <w:sz w:val="32"/>
          <w:szCs w:val="32"/>
        </w:rPr>
        <w:t>第五条</w:t>
      </w:r>
      <w:r>
        <w:rPr>
          <w:rFonts w:hint="eastAsia" w:ascii="仿宋_GB2312" w:hAnsi="宋体"/>
          <w:sz w:val="32"/>
          <w:szCs w:val="32"/>
        </w:rPr>
        <w:t xml:space="preserve">  申报企业应符合以下基本标准：</w:t>
      </w:r>
    </w:p>
    <w:p>
      <w:pPr>
        <w:spacing w:line="640" w:lineRule="exact"/>
        <w:ind w:firstLine="716" w:firstLineChars="224"/>
        <w:rPr>
          <w:rFonts w:ascii="仿宋_GB2312" w:hAnsi="宋体"/>
          <w:sz w:val="32"/>
          <w:szCs w:val="32"/>
        </w:rPr>
      </w:pPr>
      <w:r>
        <w:rPr>
          <w:rFonts w:hint="eastAsia" w:ascii="仿宋_GB2312" w:hAnsi="宋体"/>
          <w:sz w:val="32"/>
          <w:szCs w:val="32"/>
        </w:rPr>
        <w:t>1.企业组织形式。依法设立的以农产品生产、加工或流通为主业、具有独立法人资格的企业。包括依照《公司法》设立的公司，其他形式的国有、集体、私营企业以及中外合资经营、中外合作经营、外商独资企业，直接在工商行政管理部门注册登记的农产品专业批发市场等。</w:t>
      </w:r>
    </w:p>
    <w:p>
      <w:pPr>
        <w:spacing w:line="640" w:lineRule="exact"/>
        <w:ind w:firstLine="716" w:firstLineChars="224"/>
        <w:rPr>
          <w:rFonts w:ascii="仿宋_GB2312" w:hAnsi="宋体"/>
          <w:sz w:val="32"/>
          <w:szCs w:val="32"/>
        </w:rPr>
      </w:pPr>
      <w:r>
        <w:rPr>
          <w:rFonts w:hint="eastAsia" w:ascii="仿宋_GB2312" w:hAnsi="宋体"/>
          <w:sz w:val="32"/>
          <w:szCs w:val="32"/>
        </w:rPr>
        <w:t>2.企业经营的产品。企业中农产品生产、加工、流通的销售收入（交易额）占总销售收入（总交易额）70％以上。</w:t>
      </w:r>
    </w:p>
    <w:p>
      <w:pPr>
        <w:spacing w:line="640" w:lineRule="exact"/>
        <w:ind w:firstLine="716" w:firstLineChars="224"/>
        <w:rPr>
          <w:rFonts w:ascii="仿宋_GB2312" w:hAnsi="宋体"/>
          <w:sz w:val="32"/>
          <w:szCs w:val="32"/>
        </w:rPr>
      </w:pPr>
      <w:r>
        <w:rPr>
          <w:rFonts w:hint="eastAsia" w:ascii="仿宋_GB2312" w:hAnsi="宋体"/>
          <w:sz w:val="32"/>
          <w:szCs w:val="32"/>
        </w:rPr>
        <w:t>3.生产、加工、流通企业规模。总资产规模：东部地区1.5亿元以上，中部地区1亿元以上，西部地区5000万元以上；固定资产规模：东部地区5000万元以上，中部地区3000万元以上，西部地区2000万元以上；年销售收入：东部地区2亿元以上，中部地区1.3亿元以上，西部地区6000万元以上。</w:t>
      </w:r>
    </w:p>
    <w:p>
      <w:pPr>
        <w:spacing w:line="640" w:lineRule="exact"/>
        <w:ind w:firstLine="716" w:firstLineChars="224"/>
        <w:rPr>
          <w:rFonts w:ascii="仿宋_GB2312" w:hAnsi="宋体"/>
          <w:sz w:val="32"/>
          <w:szCs w:val="32"/>
        </w:rPr>
      </w:pPr>
      <w:r>
        <w:rPr>
          <w:rFonts w:hint="eastAsia" w:ascii="仿宋_GB2312" w:hAnsi="宋体"/>
          <w:sz w:val="32"/>
          <w:szCs w:val="32"/>
        </w:rPr>
        <w:t>4.农产品专业批发市场年交易规模：东部地区15亿元以上，中部地区10亿元以上，西部地区8亿元以上。</w:t>
      </w:r>
    </w:p>
    <w:p>
      <w:pPr>
        <w:spacing w:line="640" w:lineRule="exact"/>
        <w:ind w:firstLine="716" w:firstLineChars="224"/>
        <w:rPr>
          <w:rFonts w:ascii="仿宋_GB2312" w:hAnsi="宋体"/>
          <w:sz w:val="32"/>
          <w:szCs w:val="32"/>
        </w:rPr>
      </w:pPr>
      <w:r>
        <w:rPr>
          <w:rFonts w:hint="eastAsia" w:ascii="仿宋_GB2312" w:hAnsi="宋体"/>
          <w:sz w:val="32"/>
          <w:szCs w:val="32"/>
        </w:rPr>
        <w:t>5.企业效益。企业的总资产报酬率应高于现行一年期银行贷款基准利率；企业诚信守法经营，应按时发放工资、按时缴纳社会保险、按月计提固定资产折旧，无重大涉税违法行为，产销率达93%以上。</w:t>
      </w:r>
    </w:p>
    <w:p>
      <w:pPr>
        <w:spacing w:line="640" w:lineRule="exact"/>
        <w:ind w:firstLine="716" w:firstLineChars="224"/>
        <w:rPr>
          <w:rFonts w:ascii="仿宋_GB2312" w:hAnsi="宋体"/>
          <w:sz w:val="32"/>
          <w:szCs w:val="32"/>
        </w:rPr>
      </w:pPr>
      <w:r>
        <w:rPr>
          <w:rFonts w:hint="eastAsia" w:ascii="仿宋_GB2312" w:hAnsi="宋体"/>
          <w:sz w:val="32"/>
          <w:szCs w:val="32"/>
        </w:rPr>
        <w:t>6.企业负债与信用。企业资产负债率一般应低于60％；有银行贷款的企业，近2年内不得有不良信用记录。</w:t>
      </w:r>
    </w:p>
    <w:p>
      <w:pPr>
        <w:spacing w:line="640" w:lineRule="exact"/>
        <w:ind w:firstLine="716" w:firstLineChars="224"/>
        <w:rPr>
          <w:rFonts w:ascii="仿宋_GB2312" w:hAnsi="宋体"/>
          <w:sz w:val="32"/>
          <w:szCs w:val="32"/>
        </w:rPr>
      </w:pPr>
      <w:r>
        <w:rPr>
          <w:rFonts w:hint="eastAsia" w:ascii="仿宋_GB2312" w:hAnsi="宋体"/>
          <w:sz w:val="32"/>
          <w:szCs w:val="32"/>
        </w:rPr>
        <w:t>7.企业带动能力。鼓励龙头企业通过农民专业合作社、家庭农场等新型农业经营主体直接带动农户。通过建立合同、合作、股份合作等利益联结方式带动农户的数量一般应达到：东部地区4000户以上，中部地区3500户以上，西部地区1500户以上。</w:t>
      </w:r>
    </w:p>
    <w:p>
      <w:pPr>
        <w:spacing w:line="640" w:lineRule="exact"/>
        <w:ind w:firstLine="716" w:firstLineChars="224"/>
        <w:rPr>
          <w:rFonts w:ascii="仿宋_GB2312" w:hAnsi="宋体"/>
          <w:sz w:val="32"/>
          <w:szCs w:val="32"/>
        </w:rPr>
      </w:pPr>
      <w:r>
        <w:rPr>
          <w:rFonts w:hint="eastAsia" w:ascii="仿宋_GB2312" w:hAnsi="宋体"/>
          <w:sz w:val="32"/>
          <w:szCs w:val="32"/>
        </w:rPr>
        <w:t>企业从事农产品生产、加工、流通过程中，通过合同、合作和股份合作方式从农民、新型农业经营主体或自建基地直接采购的原料或购进的货物占所需原料量或所销售货物量的70％以上。</w:t>
      </w:r>
    </w:p>
    <w:p>
      <w:pPr>
        <w:spacing w:line="640" w:lineRule="exact"/>
        <w:ind w:firstLine="716" w:firstLineChars="224"/>
        <w:rPr>
          <w:rFonts w:ascii="仿宋_GB2312" w:hAnsi="宋体"/>
          <w:sz w:val="32"/>
          <w:szCs w:val="32"/>
        </w:rPr>
      </w:pPr>
      <w:r>
        <w:rPr>
          <w:rFonts w:hint="eastAsia" w:ascii="仿宋_GB2312" w:hAnsi="宋体"/>
          <w:sz w:val="32"/>
          <w:szCs w:val="32"/>
        </w:rPr>
        <w:t>8.企业产品竞争力。在同行业中企业的产品质量、产品科技含量、新产品开发能力处于领先水平，企业有注册商标和品牌。产品符合国家产业政策、环保政策和绿色发展要求，并获得相关质量管理标准体系认证，近2年内没有发生产品质量安全事件。</w:t>
      </w:r>
    </w:p>
    <w:p>
      <w:pPr>
        <w:spacing w:line="640" w:lineRule="exact"/>
        <w:ind w:firstLine="716" w:firstLineChars="224"/>
        <w:rPr>
          <w:rFonts w:ascii="仿宋_GB2312" w:hAnsi="宋体"/>
          <w:sz w:val="32"/>
          <w:szCs w:val="32"/>
        </w:rPr>
      </w:pPr>
      <w:r>
        <w:rPr>
          <w:rFonts w:hint="eastAsia" w:ascii="仿宋_GB2312" w:hAnsi="宋体"/>
          <w:sz w:val="32"/>
          <w:szCs w:val="32"/>
        </w:rPr>
        <w:t>9.申报企业原则上是农业产业化省级重点龙头企业。</w:t>
      </w:r>
    </w:p>
    <w:p>
      <w:pPr>
        <w:spacing w:line="640" w:lineRule="exact"/>
        <w:ind w:firstLine="716" w:firstLineChars="224"/>
        <w:rPr>
          <w:rFonts w:ascii="仿宋_GB2312" w:hAnsi="宋体"/>
          <w:sz w:val="32"/>
          <w:szCs w:val="32"/>
        </w:rPr>
      </w:pPr>
      <w:r>
        <w:rPr>
          <w:rFonts w:hint="eastAsia" w:ascii="黑体" w:hAnsi="宋体" w:eastAsia="黑体"/>
          <w:sz w:val="32"/>
          <w:szCs w:val="32"/>
        </w:rPr>
        <w:t>第六条</w:t>
      </w:r>
      <w:r>
        <w:rPr>
          <w:rFonts w:hint="eastAsia" w:ascii="仿宋_GB2312" w:hAnsi="宋体"/>
          <w:sz w:val="32"/>
          <w:szCs w:val="32"/>
        </w:rPr>
        <w:t xml:space="preserve">  符合本办法第五条第1、2、3、5、6、7、8、9款要求的生产、加工、流通企业可以申报作为国家重点龙头企业；符合本办法第五条第1、2、4、5、6、8、9款要求的农产品专业批发市场可以申报作为国家重点龙头企业。</w:t>
      </w:r>
    </w:p>
    <w:p>
      <w:pPr>
        <w:spacing w:line="640" w:lineRule="exact"/>
        <w:ind w:firstLine="716" w:firstLineChars="224"/>
        <w:rPr>
          <w:rFonts w:ascii="仿宋_GB2312" w:hAnsi="宋体"/>
          <w:sz w:val="32"/>
          <w:szCs w:val="32"/>
        </w:rPr>
      </w:pPr>
      <w:r>
        <w:rPr>
          <w:rFonts w:hint="eastAsia" w:ascii="仿宋_GB2312" w:hAnsi="宋体"/>
          <w:sz w:val="32"/>
          <w:szCs w:val="32"/>
        </w:rPr>
        <w:t>符合本办法第五条第1、2、6、8、9款要求，以及第5款中“企业诚信守法经营，应按时发放工资、按时缴纳社会保险、按月计提固定资产折旧，无重大涉税违法行为，产销率达93%以上”要求；且企业成立3年以上，年销售收入10亿元以上，以互联网方式销售农产品收入占农产品销售收入之比达到60%以上，从农民、新型农业经营主体、自建基地或省级以上一村一品示范村镇直接采购的农产品占所销售农产品总量的比例达到50％以上，带动农户数量3500户以上</w:t>
      </w:r>
      <w:r>
        <w:rPr>
          <w:rFonts w:hint="eastAsia" w:ascii="仿宋_GB2312"/>
          <w:sz w:val="32"/>
        </w:rPr>
        <w:t>农产品电商企业</w:t>
      </w:r>
      <w:r>
        <w:rPr>
          <w:rFonts w:hint="eastAsia" w:ascii="仿宋_GB2312" w:hAnsi="宋体"/>
          <w:sz w:val="32"/>
          <w:szCs w:val="32"/>
        </w:rPr>
        <w:t>，可以申报国家重点龙头企业。</w:t>
      </w:r>
    </w:p>
    <w:p>
      <w:pPr>
        <w:spacing w:line="640" w:lineRule="exact"/>
        <w:ind w:firstLine="640" w:firstLineChars="200"/>
        <w:rPr>
          <w:rFonts w:ascii="仿宋_GB2312" w:hAnsi="宋体"/>
          <w:sz w:val="32"/>
          <w:szCs w:val="32"/>
        </w:rPr>
      </w:pPr>
      <w:r>
        <w:rPr>
          <w:rFonts w:hint="eastAsia" w:ascii="仿宋_GB2312" w:hAnsi="宋体"/>
          <w:sz w:val="32"/>
          <w:szCs w:val="32"/>
        </w:rPr>
        <w:t>鼓励具有自主知识产权、科技创新能力强、资源优势明显、产业增值效益大、自觉履行社会责任并紧密带动农户的农业企业申报国家重点龙头企业。鼓励促进农村一二三产业融合发展、推进农业供给侧结构性改革、参与乡村振兴以及发展农业产业化联合体、创建农业产业化示范基地的农业企业申报国家重点龙头企业。对申报前2年销售收入增长都不低于30%，以及与建档立卡贫困户建立稳定农产品产销关系或者帮扶关系的农业企业优先支持申报。</w:t>
      </w:r>
    </w:p>
    <w:p>
      <w:pPr>
        <w:spacing w:line="640" w:lineRule="exact"/>
        <w:ind w:firstLine="716" w:firstLineChars="224"/>
        <w:rPr>
          <w:rFonts w:ascii="仿宋_GB2312" w:hAnsi="宋体"/>
          <w:sz w:val="32"/>
          <w:szCs w:val="32"/>
        </w:rPr>
      </w:pPr>
      <w:r>
        <w:rPr>
          <w:rFonts w:hint="eastAsia" w:ascii="黑体" w:hAnsi="宋体" w:eastAsia="黑体"/>
          <w:sz w:val="32"/>
          <w:szCs w:val="32"/>
        </w:rPr>
        <w:t>第七条</w:t>
      </w:r>
      <w:r>
        <w:rPr>
          <w:rFonts w:hint="eastAsia" w:ascii="仿宋_GB2312" w:hAnsi="宋体"/>
          <w:sz w:val="32"/>
          <w:szCs w:val="32"/>
        </w:rPr>
        <w:t xml:space="preserve">  申报材料。申报企业应提供企业的基本情况并按照本办法第五条要求提供有关申报材料。</w:t>
      </w:r>
    </w:p>
    <w:p>
      <w:pPr>
        <w:spacing w:line="640" w:lineRule="exact"/>
        <w:ind w:firstLine="716" w:firstLineChars="224"/>
        <w:rPr>
          <w:rFonts w:ascii="仿宋_GB2312" w:hAnsi="宋体"/>
          <w:sz w:val="32"/>
          <w:szCs w:val="32"/>
        </w:rPr>
      </w:pPr>
      <w:r>
        <w:rPr>
          <w:rFonts w:hint="eastAsia" w:ascii="仿宋_GB2312" w:hAnsi="宋体"/>
          <w:sz w:val="32"/>
          <w:szCs w:val="32"/>
        </w:rPr>
        <w:t>1.企业的资产和效益情况须经有资质的会计师事务所审定。</w:t>
      </w:r>
    </w:p>
    <w:p>
      <w:pPr>
        <w:spacing w:line="640" w:lineRule="exact"/>
        <w:ind w:firstLine="716" w:firstLineChars="224"/>
        <w:rPr>
          <w:rFonts w:ascii="仿宋_GB2312" w:hAnsi="宋体"/>
          <w:sz w:val="32"/>
          <w:szCs w:val="32"/>
        </w:rPr>
      </w:pPr>
      <w:r>
        <w:rPr>
          <w:rFonts w:hint="eastAsia" w:ascii="仿宋_GB2312" w:hAnsi="宋体"/>
          <w:sz w:val="32"/>
          <w:szCs w:val="32"/>
        </w:rPr>
        <w:t>2.企业须提供资信情况证明。</w:t>
      </w:r>
    </w:p>
    <w:p>
      <w:pPr>
        <w:spacing w:line="640" w:lineRule="exact"/>
        <w:ind w:firstLine="716" w:firstLineChars="224"/>
        <w:rPr>
          <w:rFonts w:ascii="仿宋_GB2312" w:hAnsi="宋体"/>
          <w:sz w:val="32"/>
          <w:szCs w:val="32"/>
        </w:rPr>
      </w:pPr>
      <w:r>
        <w:rPr>
          <w:rFonts w:hint="eastAsia" w:ascii="仿宋_GB2312" w:hAnsi="宋体"/>
          <w:sz w:val="32"/>
          <w:szCs w:val="32"/>
        </w:rPr>
        <w:t>3.企业的带动能力、带动方式和利益联结关系情况须由县以上农村经营管理部门提供说明，应将企业带动农户情况进行公示，接受社会监督。</w:t>
      </w:r>
    </w:p>
    <w:p>
      <w:pPr>
        <w:spacing w:line="640" w:lineRule="exact"/>
        <w:ind w:firstLine="716" w:firstLineChars="224"/>
        <w:rPr>
          <w:rFonts w:ascii="仿宋_GB2312" w:hAnsi="宋体"/>
          <w:sz w:val="32"/>
          <w:szCs w:val="32"/>
        </w:rPr>
      </w:pPr>
      <w:r>
        <w:rPr>
          <w:rFonts w:hint="eastAsia" w:ascii="仿宋_GB2312" w:hAnsi="宋体"/>
          <w:sz w:val="32"/>
          <w:szCs w:val="32"/>
        </w:rPr>
        <w:t>4.企业的纳税情况须由企业所在地税务部门出具企业近3年内纳税情况证明。</w:t>
      </w:r>
    </w:p>
    <w:p>
      <w:pPr>
        <w:spacing w:line="640" w:lineRule="exact"/>
        <w:ind w:firstLine="716" w:firstLineChars="224"/>
        <w:rPr>
          <w:rFonts w:ascii="仿宋_GB2312" w:hAnsi="宋体"/>
          <w:sz w:val="32"/>
          <w:szCs w:val="32"/>
        </w:rPr>
      </w:pPr>
      <w:r>
        <w:rPr>
          <w:rFonts w:hint="eastAsia" w:ascii="仿宋_GB2312" w:hAnsi="宋体"/>
          <w:sz w:val="32"/>
          <w:szCs w:val="32"/>
        </w:rPr>
        <w:t>5.企业产品质量安全情况须由所在地农业或其他法定监管部门提供书面证明。</w:t>
      </w:r>
    </w:p>
    <w:p>
      <w:pPr>
        <w:spacing w:line="640" w:lineRule="exact"/>
        <w:ind w:firstLine="716" w:firstLineChars="224"/>
        <w:rPr>
          <w:rFonts w:ascii="仿宋_GB2312" w:hAnsi="宋体"/>
          <w:sz w:val="32"/>
          <w:szCs w:val="32"/>
        </w:rPr>
      </w:pPr>
      <w:r>
        <w:rPr>
          <w:rFonts w:hint="eastAsia" w:ascii="黑体" w:hAnsi="宋体" w:eastAsia="黑体"/>
          <w:sz w:val="32"/>
          <w:szCs w:val="32"/>
        </w:rPr>
        <w:t>第八条</w:t>
      </w:r>
      <w:r>
        <w:rPr>
          <w:rFonts w:hint="eastAsia" w:ascii="仿宋_GB2312" w:hAnsi="宋体"/>
          <w:sz w:val="32"/>
          <w:szCs w:val="32"/>
        </w:rPr>
        <w:t xml:space="preserve">  申报程序：</w:t>
      </w:r>
    </w:p>
    <w:p>
      <w:pPr>
        <w:spacing w:line="640" w:lineRule="exact"/>
        <w:ind w:firstLine="716" w:firstLineChars="224"/>
        <w:rPr>
          <w:rFonts w:ascii="仿宋_GB2312" w:hAnsi="宋体"/>
          <w:sz w:val="32"/>
          <w:szCs w:val="32"/>
        </w:rPr>
      </w:pPr>
      <w:r>
        <w:rPr>
          <w:rFonts w:hint="eastAsia" w:ascii="仿宋_GB2312" w:hAnsi="宋体"/>
          <w:sz w:val="32"/>
          <w:szCs w:val="32"/>
        </w:rPr>
        <w:t>1.申报企业直接向企业所在地的省(自治区、直辖市)农业产业化工作主管部门提出申请。</w:t>
      </w:r>
    </w:p>
    <w:p>
      <w:pPr>
        <w:spacing w:line="640" w:lineRule="exact"/>
        <w:ind w:firstLine="716" w:firstLineChars="224"/>
        <w:rPr>
          <w:rFonts w:ascii="仿宋_GB2312" w:hAnsi="宋体"/>
          <w:sz w:val="32"/>
          <w:szCs w:val="32"/>
        </w:rPr>
      </w:pPr>
      <w:r>
        <w:rPr>
          <w:rFonts w:hint="eastAsia" w:ascii="仿宋_GB2312" w:hAnsi="宋体"/>
          <w:sz w:val="32"/>
          <w:szCs w:val="32"/>
        </w:rPr>
        <w:t>2.各省(自治区、直辖市)农业产业化工作主管部门对企业所报材料的真实性进行审核。</w:t>
      </w:r>
    </w:p>
    <w:p>
      <w:pPr>
        <w:spacing w:line="640" w:lineRule="exact"/>
        <w:ind w:firstLine="716" w:firstLineChars="224"/>
        <w:rPr>
          <w:rFonts w:ascii="仿宋_GB2312" w:hAnsi="宋体"/>
          <w:sz w:val="32"/>
          <w:szCs w:val="32"/>
        </w:rPr>
      </w:pPr>
      <w:r>
        <w:rPr>
          <w:rFonts w:hint="eastAsia" w:ascii="仿宋_GB2312" w:hAnsi="宋体"/>
          <w:sz w:val="32"/>
          <w:szCs w:val="32"/>
        </w:rPr>
        <w:t>3.各省(自治区、直辖市)农业产业化工作主管部门应充分征求农业、发改、财政、商务、人民银行、税务、证券监管、供销合作社等部门对申报企业的意见，形成会议纪要，并经省(自治区、直辖市)人民政府同意，按规定正式行文向农业农村部推荐，并附审核意见和相关材料。</w:t>
      </w:r>
    </w:p>
    <w:p>
      <w:pPr>
        <w:spacing w:line="640" w:lineRule="exact"/>
        <w:ind w:firstLine="716" w:firstLineChars="224"/>
        <w:rPr>
          <w:rFonts w:ascii="仿宋_GB2312" w:hAnsi="宋体"/>
          <w:sz w:val="32"/>
          <w:szCs w:val="32"/>
        </w:rPr>
      </w:pPr>
      <w:r>
        <w:rPr>
          <w:rFonts w:hint="eastAsia" w:ascii="黑体" w:hAnsi="宋体" w:eastAsia="黑体"/>
          <w:sz w:val="32"/>
          <w:szCs w:val="32"/>
        </w:rPr>
        <w:t>第九条</w:t>
      </w:r>
      <w:r>
        <w:rPr>
          <w:rFonts w:hint="eastAsia" w:ascii="仿宋_GB2312" w:hAnsi="宋体"/>
          <w:sz w:val="32"/>
          <w:szCs w:val="32"/>
        </w:rPr>
        <w:t xml:space="preserve">  中央所属企业根据属地原则，按照本办法第八条申报程序申报。</w:t>
      </w:r>
    </w:p>
    <w:p>
      <w:pPr>
        <w:spacing w:line="640" w:lineRule="exact"/>
        <w:ind w:firstLine="716" w:firstLineChars="224"/>
        <w:rPr>
          <w:rFonts w:ascii="仿宋_GB2312" w:hAnsi="宋体"/>
          <w:sz w:val="32"/>
          <w:szCs w:val="32"/>
        </w:rPr>
      </w:pPr>
    </w:p>
    <w:p>
      <w:pPr>
        <w:spacing w:line="640" w:lineRule="exact"/>
        <w:jc w:val="center"/>
        <w:rPr>
          <w:rFonts w:ascii="黑体" w:hAnsi="宋体" w:eastAsia="黑体"/>
          <w:sz w:val="32"/>
          <w:szCs w:val="32"/>
        </w:rPr>
      </w:pPr>
      <w:r>
        <w:rPr>
          <w:rFonts w:hint="eastAsia" w:ascii="黑体" w:hAnsi="宋体" w:eastAsia="黑体"/>
          <w:sz w:val="32"/>
          <w:szCs w:val="32"/>
        </w:rPr>
        <w:t>第三章  认   定</w:t>
      </w:r>
    </w:p>
    <w:p>
      <w:pPr>
        <w:spacing w:line="640" w:lineRule="exact"/>
        <w:ind w:firstLine="716" w:firstLineChars="224"/>
        <w:rPr>
          <w:rFonts w:ascii="仿宋_GB2312" w:hAnsi="宋体"/>
          <w:sz w:val="32"/>
          <w:szCs w:val="32"/>
        </w:rPr>
      </w:pPr>
      <w:r>
        <w:rPr>
          <w:rFonts w:hint="eastAsia" w:ascii="黑体" w:hAnsi="宋体" w:eastAsia="黑体"/>
          <w:sz w:val="32"/>
          <w:szCs w:val="32"/>
        </w:rPr>
        <w:t>第十条</w:t>
      </w:r>
      <w:r>
        <w:rPr>
          <w:rFonts w:hint="eastAsia" w:ascii="仿宋_GB2312" w:hAnsi="宋体"/>
          <w:sz w:val="32"/>
          <w:szCs w:val="32"/>
        </w:rPr>
        <w:t xml:space="preserve">  由农业经济、农产品加工、种植养殖、企业管理、财务审计、有关行业协会、研究单位等方面的专家组成国家重点龙头企业认定、监测工作专家库。</w:t>
      </w:r>
    </w:p>
    <w:p>
      <w:pPr>
        <w:spacing w:line="640" w:lineRule="exact"/>
        <w:ind w:firstLine="716" w:firstLineChars="224"/>
        <w:rPr>
          <w:rFonts w:ascii="仿宋_GB2312" w:hAnsi="宋体"/>
          <w:sz w:val="32"/>
          <w:szCs w:val="32"/>
        </w:rPr>
      </w:pPr>
      <w:r>
        <w:rPr>
          <w:rFonts w:hint="eastAsia" w:ascii="黑体" w:hAnsi="宋体" w:eastAsia="黑体"/>
          <w:sz w:val="32"/>
          <w:szCs w:val="32"/>
        </w:rPr>
        <w:t>第十一条</w:t>
      </w:r>
      <w:r>
        <w:rPr>
          <w:rFonts w:hint="eastAsia" w:ascii="仿宋_GB2312" w:hAnsi="宋体"/>
          <w:sz w:val="32"/>
          <w:szCs w:val="32"/>
        </w:rPr>
        <w:t xml:space="preserve">  在国家重点龙头企业认定监测期间，从专家库中随机抽取一定比例的专家组建专家组，负责对各地推荐的企业进行评审，对已认定的国家重点龙头企业进行监测评估。专家库成员名单、国家重点龙头企业认定和运行监测工作方案，由农业农村部商全国农业产业化联席会议成员单位提出。</w:t>
      </w:r>
    </w:p>
    <w:p>
      <w:pPr>
        <w:spacing w:line="640" w:lineRule="exact"/>
        <w:ind w:firstLine="716" w:firstLineChars="224"/>
        <w:rPr>
          <w:rFonts w:ascii="仿宋_GB2312" w:hAnsi="宋体"/>
          <w:sz w:val="32"/>
          <w:szCs w:val="32"/>
        </w:rPr>
      </w:pPr>
      <w:r>
        <w:rPr>
          <w:rFonts w:hint="eastAsia" w:ascii="黑体" w:hAnsi="宋体" w:eastAsia="黑体"/>
          <w:sz w:val="32"/>
          <w:szCs w:val="32"/>
        </w:rPr>
        <w:t>第十二条</w:t>
      </w:r>
      <w:r>
        <w:rPr>
          <w:rFonts w:hint="eastAsia" w:ascii="仿宋_GB2312" w:hAnsi="宋体"/>
          <w:sz w:val="32"/>
          <w:szCs w:val="32"/>
        </w:rPr>
        <w:t xml:space="preserve">  国家重点龙头企业认定程序和办法：</w:t>
      </w:r>
    </w:p>
    <w:p>
      <w:pPr>
        <w:spacing w:line="640" w:lineRule="exact"/>
        <w:ind w:firstLine="716" w:firstLineChars="224"/>
        <w:rPr>
          <w:rFonts w:ascii="仿宋_GB2312" w:hAnsi="宋体"/>
          <w:sz w:val="32"/>
          <w:szCs w:val="32"/>
        </w:rPr>
      </w:pPr>
      <w:r>
        <w:rPr>
          <w:rFonts w:hint="eastAsia" w:ascii="仿宋_GB2312" w:hAnsi="宋体"/>
          <w:sz w:val="32"/>
          <w:szCs w:val="32"/>
        </w:rPr>
        <w:t>1.专家组根据各省(自治区、直辖市)农业产业化工作主管部门上报的企业有关材料，按照国家重点龙头企业认定办法进行评审，提出评审意见。</w:t>
      </w:r>
    </w:p>
    <w:p>
      <w:pPr>
        <w:spacing w:line="640" w:lineRule="exact"/>
        <w:ind w:firstLine="716" w:firstLineChars="224"/>
        <w:rPr>
          <w:rFonts w:ascii="仿宋_GB2312" w:hAnsi="宋体"/>
          <w:sz w:val="32"/>
          <w:szCs w:val="32"/>
        </w:rPr>
      </w:pPr>
      <w:r>
        <w:rPr>
          <w:rFonts w:hint="eastAsia" w:ascii="仿宋_GB2312" w:hAnsi="宋体"/>
          <w:sz w:val="32"/>
          <w:szCs w:val="32"/>
        </w:rPr>
        <w:t>2.农业农村部农业产业化办公室汇总专家组评审意见，报全国农业产业化联席会议审定。</w:t>
      </w:r>
    </w:p>
    <w:p>
      <w:pPr>
        <w:spacing w:line="640" w:lineRule="exact"/>
        <w:ind w:firstLine="716" w:firstLineChars="224"/>
        <w:rPr>
          <w:rFonts w:ascii="仿宋_GB2312" w:hAnsi="宋体"/>
          <w:sz w:val="32"/>
          <w:szCs w:val="32"/>
        </w:rPr>
      </w:pPr>
      <w:r>
        <w:rPr>
          <w:rFonts w:hint="eastAsia" w:ascii="仿宋_GB2312" w:hAnsi="宋体"/>
          <w:sz w:val="32"/>
          <w:szCs w:val="32"/>
        </w:rPr>
        <w:t>3.全国农业产业化联席会议审定并经公示无异议的企业，认定为国家重点龙头企业，由八部门联合发文公布名单，并颁发证书。</w:t>
      </w:r>
    </w:p>
    <w:p>
      <w:pPr>
        <w:spacing w:line="640" w:lineRule="exact"/>
        <w:ind w:firstLine="716" w:firstLineChars="224"/>
        <w:rPr>
          <w:rFonts w:ascii="仿宋_GB2312" w:hAnsi="宋体"/>
          <w:sz w:val="32"/>
          <w:szCs w:val="32"/>
        </w:rPr>
      </w:pPr>
      <w:r>
        <w:rPr>
          <w:rFonts w:hint="eastAsia" w:ascii="黑体" w:hAnsi="宋体" w:eastAsia="黑体"/>
          <w:sz w:val="32"/>
          <w:szCs w:val="32"/>
        </w:rPr>
        <w:t xml:space="preserve">第十三条 </w:t>
      </w:r>
      <w:r>
        <w:rPr>
          <w:rFonts w:hint="eastAsia" w:ascii="仿宋_GB2312" w:hAnsi="宋体"/>
          <w:sz w:val="32"/>
          <w:szCs w:val="32"/>
        </w:rPr>
        <w:t xml:space="preserve"> 经认定公布的国家重点龙头企业，享受有关优惠政策。国家重点龙头企业所属的控股子公司，其直接控股比例超过50%（不含50%）的，且控股子公司以农产品生产、加工或流通为主业，可享受国家重点龙头企业的有关优惠政策。</w:t>
      </w:r>
    </w:p>
    <w:p>
      <w:pPr>
        <w:spacing w:line="640" w:lineRule="exact"/>
        <w:ind w:firstLine="716" w:firstLineChars="224"/>
        <w:rPr>
          <w:rFonts w:ascii="仿宋_GB2312" w:hAnsi="宋体"/>
          <w:sz w:val="32"/>
          <w:szCs w:val="32"/>
        </w:rPr>
      </w:pPr>
    </w:p>
    <w:p>
      <w:pPr>
        <w:spacing w:line="640" w:lineRule="exact"/>
        <w:jc w:val="center"/>
        <w:rPr>
          <w:rFonts w:ascii="黑体" w:hAnsi="宋体" w:eastAsia="黑体"/>
          <w:sz w:val="32"/>
          <w:szCs w:val="32"/>
        </w:rPr>
      </w:pPr>
      <w:r>
        <w:rPr>
          <w:rFonts w:hint="eastAsia" w:ascii="黑体" w:hAnsi="宋体" w:eastAsia="黑体"/>
          <w:sz w:val="32"/>
          <w:szCs w:val="32"/>
        </w:rPr>
        <w:t>第四章  运行监测</w:t>
      </w:r>
    </w:p>
    <w:p>
      <w:pPr>
        <w:spacing w:line="640" w:lineRule="exact"/>
        <w:ind w:firstLine="716" w:firstLineChars="224"/>
        <w:rPr>
          <w:rFonts w:ascii="仿宋_GB2312" w:hAnsi="宋体"/>
          <w:sz w:val="32"/>
          <w:szCs w:val="32"/>
        </w:rPr>
      </w:pPr>
      <w:r>
        <w:rPr>
          <w:rFonts w:hint="eastAsia" w:ascii="仿宋_GB2312" w:hAnsi="宋体"/>
          <w:sz w:val="32"/>
          <w:szCs w:val="32"/>
        </w:rPr>
        <w:t xml:space="preserve"> </w:t>
      </w:r>
    </w:p>
    <w:p>
      <w:pPr>
        <w:spacing w:line="640" w:lineRule="exact"/>
        <w:ind w:firstLine="716" w:firstLineChars="224"/>
        <w:rPr>
          <w:rFonts w:ascii="仿宋_GB2312" w:hAnsi="宋体"/>
          <w:sz w:val="32"/>
          <w:szCs w:val="32"/>
        </w:rPr>
      </w:pPr>
      <w:r>
        <w:rPr>
          <w:rFonts w:hint="eastAsia" w:ascii="黑体" w:hAnsi="宋体" w:eastAsia="黑体"/>
          <w:sz w:val="32"/>
          <w:szCs w:val="32"/>
        </w:rPr>
        <w:t>第十四条</w:t>
      </w:r>
      <w:r>
        <w:rPr>
          <w:rFonts w:hint="eastAsia" w:ascii="仿宋_GB2312" w:hAnsi="宋体"/>
          <w:sz w:val="32"/>
          <w:szCs w:val="32"/>
        </w:rPr>
        <w:t xml:space="preserve">  对国家重点龙头企业实行动态管理，建立竞争淘汰机制，做到有出有进、等额递补。</w:t>
      </w:r>
    </w:p>
    <w:p>
      <w:pPr>
        <w:spacing w:line="640" w:lineRule="exact"/>
        <w:ind w:firstLine="716" w:firstLineChars="224"/>
        <w:rPr>
          <w:rFonts w:ascii="仿宋_GB2312" w:hAnsi="宋体"/>
          <w:sz w:val="32"/>
          <w:szCs w:val="32"/>
        </w:rPr>
      </w:pPr>
      <w:r>
        <w:rPr>
          <w:rFonts w:hint="eastAsia" w:ascii="黑体" w:hAnsi="宋体" w:eastAsia="黑体"/>
          <w:sz w:val="32"/>
          <w:szCs w:val="32"/>
        </w:rPr>
        <w:t>第十五条</w:t>
      </w:r>
      <w:r>
        <w:rPr>
          <w:rFonts w:hint="eastAsia" w:ascii="仿宋_GB2312" w:hAnsi="宋体"/>
          <w:sz w:val="32"/>
          <w:szCs w:val="32"/>
        </w:rPr>
        <w:t xml:space="preserve">  建立国家重点龙头企业动态监测管理制度，每两年进行一次监测评估。国家重点龙头企业应按要求正确、及时报送企业生产经营、带动农户等情况，为企业的进出提供依据，为有关政策的制定提供参考。</w:t>
      </w:r>
    </w:p>
    <w:p>
      <w:pPr>
        <w:spacing w:line="640" w:lineRule="exact"/>
        <w:ind w:firstLine="716" w:firstLineChars="224"/>
        <w:rPr>
          <w:rFonts w:ascii="仿宋_GB2312" w:hAnsi="宋体"/>
          <w:sz w:val="32"/>
          <w:szCs w:val="32"/>
        </w:rPr>
      </w:pPr>
      <w:r>
        <w:rPr>
          <w:rFonts w:hint="eastAsia" w:ascii="黑体" w:hAnsi="宋体" w:eastAsia="黑体"/>
          <w:sz w:val="32"/>
          <w:szCs w:val="32"/>
        </w:rPr>
        <w:t>第十六条</w:t>
      </w:r>
      <w:r>
        <w:rPr>
          <w:rFonts w:hint="eastAsia" w:ascii="仿宋_GB2312" w:hAnsi="宋体"/>
          <w:sz w:val="32"/>
          <w:szCs w:val="32"/>
        </w:rPr>
        <w:t xml:space="preserve">  全国农业产业化联席会议加强对国家重点龙头企业经济运行情况的跟踪调查，采取定期统计、情况调度、实地考察、随机抽查、重点督查等方式，及时了解企业基地建设、生产加工、市场销售、带农增收、质量安全等方面情况，帮助国家重点龙头企业解决发展中遇到的突出困难，完善相关扶持政策。</w:t>
      </w:r>
    </w:p>
    <w:p>
      <w:pPr>
        <w:spacing w:line="640" w:lineRule="exact"/>
        <w:ind w:firstLine="716" w:firstLineChars="224"/>
        <w:rPr>
          <w:rFonts w:ascii="仿宋_GB2312" w:hAnsi="宋体"/>
          <w:sz w:val="32"/>
          <w:szCs w:val="32"/>
        </w:rPr>
      </w:pPr>
      <w:r>
        <w:rPr>
          <w:rFonts w:hint="eastAsia" w:ascii="黑体" w:hAnsi="宋体" w:eastAsia="黑体"/>
          <w:sz w:val="32"/>
          <w:szCs w:val="32"/>
        </w:rPr>
        <w:t xml:space="preserve">第十七条 </w:t>
      </w:r>
      <w:r>
        <w:rPr>
          <w:rFonts w:hint="eastAsia" w:ascii="仿宋_GB2312" w:hAnsi="宋体"/>
          <w:sz w:val="32"/>
          <w:szCs w:val="32"/>
        </w:rPr>
        <w:t xml:space="preserve"> 监测评估的具体办法是：</w:t>
      </w:r>
    </w:p>
    <w:p>
      <w:pPr>
        <w:spacing w:line="640" w:lineRule="exact"/>
        <w:ind w:firstLine="716" w:firstLineChars="224"/>
        <w:rPr>
          <w:rFonts w:ascii="仿宋_GB2312" w:hAnsi="宋体"/>
          <w:sz w:val="32"/>
          <w:szCs w:val="32"/>
        </w:rPr>
      </w:pPr>
      <w:r>
        <w:rPr>
          <w:rFonts w:hint="eastAsia" w:ascii="仿宋_GB2312" w:hAnsi="宋体"/>
          <w:sz w:val="32"/>
          <w:szCs w:val="32"/>
        </w:rPr>
        <w:t>1.企业报送材料。国家重点龙头企业按照农业农村部的要求报送企业经济运行情况，作为监测评估的重要依据。在监测年份，除报送企业经济运行情况表和年度发展报告外，还需报送经有资质的会计师事务所审定的企业资产和效益情况，企业的资信证明、纳税情况证明、质量安全情况证明，县以上农村经营管理部门提供的企业带动农户情况、社会责任履行情况说明，应享受优惠政策的落实情况等。</w:t>
      </w:r>
    </w:p>
    <w:p>
      <w:pPr>
        <w:spacing w:line="640" w:lineRule="exact"/>
        <w:ind w:firstLine="716" w:firstLineChars="224"/>
        <w:rPr>
          <w:rFonts w:ascii="仿宋_GB2312" w:hAnsi="宋体"/>
          <w:sz w:val="32"/>
          <w:szCs w:val="32"/>
        </w:rPr>
      </w:pPr>
      <w:r>
        <w:rPr>
          <w:rFonts w:hint="eastAsia" w:ascii="仿宋_GB2312" w:hAnsi="宋体"/>
          <w:sz w:val="32"/>
          <w:szCs w:val="32"/>
        </w:rPr>
        <w:t>2.省级材料汇总与核查。各省(自治区、直辖市)农业产业化主管部门对所辖国家重点龙头企业所报材料进行汇总、核查。核查无误后，报农业农村部。</w:t>
      </w:r>
    </w:p>
    <w:p>
      <w:pPr>
        <w:spacing w:line="640" w:lineRule="exact"/>
        <w:ind w:firstLine="716" w:firstLineChars="224"/>
        <w:rPr>
          <w:rFonts w:ascii="仿宋_GB2312" w:hAnsi="宋体"/>
          <w:sz w:val="32"/>
          <w:szCs w:val="32"/>
        </w:rPr>
      </w:pPr>
      <w:r>
        <w:rPr>
          <w:rFonts w:hint="eastAsia" w:ascii="仿宋_GB2312" w:hAnsi="宋体"/>
          <w:sz w:val="32"/>
          <w:szCs w:val="32"/>
        </w:rPr>
        <w:t>3.专家评审。专家组根据企业报送的材料，按照本办法进行评审，提出评审意见。</w:t>
      </w:r>
    </w:p>
    <w:p>
      <w:pPr>
        <w:spacing w:line="640" w:lineRule="exact"/>
        <w:ind w:firstLine="716" w:firstLineChars="224"/>
        <w:rPr>
          <w:rFonts w:ascii="仿宋_GB2312" w:hAnsi="宋体"/>
          <w:sz w:val="32"/>
          <w:szCs w:val="32"/>
        </w:rPr>
      </w:pPr>
      <w:r>
        <w:rPr>
          <w:rFonts w:hint="eastAsia" w:ascii="仿宋_GB2312" w:hAnsi="宋体"/>
          <w:sz w:val="32"/>
          <w:szCs w:val="32"/>
        </w:rPr>
        <w:t>4.监测结果审定。根据专家组的评审意见，农业农村部农业产业化办公室对国家重点龙头企业的运行状况进行分析，完成监测报告并提交全国农业产业化联席会议审定。</w:t>
      </w:r>
    </w:p>
    <w:p>
      <w:pPr>
        <w:spacing w:line="640" w:lineRule="exact"/>
        <w:ind w:firstLine="716" w:firstLineChars="224"/>
        <w:rPr>
          <w:rFonts w:ascii="仿宋_GB2312" w:hAnsi="宋体"/>
          <w:sz w:val="32"/>
          <w:szCs w:val="32"/>
        </w:rPr>
      </w:pPr>
      <w:r>
        <w:rPr>
          <w:rFonts w:hint="eastAsia" w:ascii="仿宋_GB2312" w:hAnsi="宋体"/>
          <w:sz w:val="32"/>
          <w:szCs w:val="32"/>
        </w:rPr>
        <w:t>5.对因违法违规发生重大质量安全事故、上市违规操作、存在坑农害农等违法违规行为，或被公布为重大税收违法案件当事人的，取消其国家重点龙头企业资格。</w:t>
      </w:r>
    </w:p>
    <w:p>
      <w:pPr>
        <w:spacing w:line="640" w:lineRule="exact"/>
        <w:ind w:firstLine="716" w:firstLineChars="224"/>
        <w:rPr>
          <w:rFonts w:ascii="仿宋_GB2312" w:hAnsi="宋体"/>
          <w:sz w:val="32"/>
          <w:szCs w:val="32"/>
        </w:rPr>
      </w:pPr>
      <w:r>
        <w:rPr>
          <w:rFonts w:hint="eastAsia" w:ascii="黑体" w:hAnsi="宋体" w:eastAsia="黑体"/>
          <w:sz w:val="32"/>
          <w:szCs w:val="32"/>
        </w:rPr>
        <w:t>第十八条</w:t>
      </w:r>
      <w:r>
        <w:rPr>
          <w:rFonts w:hint="eastAsia" w:ascii="仿宋_GB2312" w:hAnsi="宋体"/>
          <w:sz w:val="32"/>
          <w:szCs w:val="32"/>
        </w:rPr>
        <w:t xml:space="preserve">  监测合格的国家重点龙头企业，继续保留资格，享受有关优惠政策；监测不合格的，取消其国家重点龙头企业资格，不再享受有关优惠政策。农业农村部以适当形式向社会公布监测结果。</w:t>
      </w:r>
    </w:p>
    <w:p>
      <w:pPr>
        <w:spacing w:line="640" w:lineRule="exact"/>
        <w:ind w:firstLine="716" w:firstLineChars="224"/>
        <w:jc w:val="center"/>
        <w:rPr>
          <w:rFonts w:ascii="仿宋_GB2312" w:hAnsi="宋体"/>
          <w:sz w:val="32"/>
          <w:szCs w:val="32"/>
        </w:rPr>
      </w:pPr>
    </w:p>
    <w:p>
      <w:pPr>
        <w:spacing w:line="640" w:lineRule="exact"/>
        <w:jc w:val="center"/>
        <w:rPr>
          <w:rFonts w:ascii="黑体" w:hAnsi="宋体" w:eastAsia="黑体"/>
          <w:sz w:val="32"/>
          <w:szCs w:val="32"/>
        </w:rPr>
      </w:pPr>
      <w:r>
        <w:rPr>
          <w:rFonts w:hint="eastAsia" w:ascii="黑体" w:hAnsi="宋体" w:eastAsia="黑体"/>
          <w:sz w:val="32"/>
          <w:szCs w:val="32"/>
        </w:rPr>
        <w:t>第五章  附    则</w:t>
      </w:r>
    </w:p>
    <w:p>
      <w:pPr>
        <w:spacing w:line="640" w:lineRule="exact"/>
        <w:ind w:firstLine="716" w:firstLineChars="224"/>
        <w:rPr>
          <w:rFonts w:ascii="仿宋_GB2312" w:hAnsi="宋体"/>
          <w:sz w:val="32"/>
          <w:szCs w:val="32"/>
        </w:rPr>
      </w:pPr>
    </w:p>
    <w:p>
      <w:pPr>
        <w:spacing w:line="640" w:lineRule="exact"/>
        <w:ind w:firstLine="716" w:firstLineChars="224"/>
        <w:rPr>
          <w:rFonts w:ascii="仿宋_GB2312" w:hAnsi="宋体"/>
          <w:sz w:val="32"/>
          <w:szCs w:val="32"/>
        </w:rPr>
      </w:pPr>
      <w:r>
        <w:rPr>
          <w:rFonts w:hint="eastAsia" w:ascii="黑体" w:hAnsi="宋体" w:eastAsia="黑体"/>
          <w:sz w:val="32"/>
          <w:szCs w:val="32"/>
        </w:rPr>
        <w:t>第十九条</w:t>
      </w:r>
      <w:r>
        <w:rPr>
          <w:rFonts w:hint="eastAsia" w:ascii="仿宋_GB2312" w:hAnsi="宋体"/>
          <w:sz w:val="32"/>
          <w:szCs w:val="32"/>
        </w:rPr>
        <w:t xml:space="preserve">  国家重点龙头企业及申报国家重点龙头企业的企业应按要求如实提供有关材料，不得弄虚作假。如存在舞弊行为，一经查实，已经认定的企业取消其国家重点龙头企业资格；未经认定的取消其申报资格，4年内不得再行申报。</w:t>
      </w:r>
    </w:p>
    <w:p>
      <w:pPr>
        <w:spacing w:line="640" w:lineRule="exact"/>
        <w:ind w:firstLine="716" w:firstLineChars="224"/>
        <w:rPr>
          <w:rFonts w:ascii="仿宋_GB2312" w:hAnsi="宋体"/>
          <w:sz w:val="32"/>
          <w:szCs w:val="32"/>
        </w:rPr>
      </w:pPr>
      <w:r>
        <w:rPr>
          <w:rFonts w:hint="eastAsia" w:ascii="黑体" w:hAnsi="宋体" w:eastAsia="黑体"/>
          <w:sz w:val="32"/>
          <w:szCs w:val="32"/>
        </w:rPr>
        <w:t>第二十条</w:t>
      </w:r>
      <w:r>
        <w:rPr>
          <w:rFonts w:hint="eastAsia" w:ascii="仿宋_GB2312" w:hAnsi="宋体"/>
          <w:sz w:val="32"/>
          <w:szCs w:val="32"/>
        </w:rPr>
        <w:t xml:space="preserve">  国家重点龙头企业要及时提供有关企业运行情况的材料。对不认真、不及时上报的企业给予警告，并作为监测考核的重要依据。</w:t>
      </w:r>
    </w:p>
    <w:p>
      <w:pPr>
        <w:spacing w:line="640" w:lineRule="exact"/>
        <w:ind w:firstLine="716" w:firstLineChars="224"/>
        <w:rPr>
          <w:rFonts w:ascii="仿宋_GB2312" w:hAnsi="宋体"/>
          <w:sz w:val="32"/>
          <w:szCs w:val="32"/>
        </w:rPr>
      </w:pPr>
      <w:r>
        <w:rPr>
          <w:rFonts w:hint="eastAsia" w:ascii="黑体" w:hAnsi="宋体" w:eastAsia="黑体"/>
          <w:sz w:val="32"/>
          <w:szCs w:val="32"/>
        </w:rPr>
        <w:t>第二十一条</w:t>
      </w:r>
      <w:r>
        <w:rPr>
          <w:rFonts w:hint="eastAsia" w:ascii="仿宋_GB2312" w:hAnsi="宋体"/>
          <w:sz w:val="32"/>
          <w:szCs w:val="32"/>
        </w:rPr>
        <w:t xml:space="preserve">  对在申报、认定、监测评审工作中，不坚持公开、公平、公正原则，存在徇私舞弊行为的有关人员，要按有关党纪政纪规定予以严肃查处。</w:t>
      </w:r>
    </w:p>
    <w:p>
      <w:pPr>
        <w:spacing w:line="640" w:lineRule="exact"/>
        <w:ind w:firstLine="716" w:firstLineChars="224"/>
        <w:rPr>
          <w:rFonts w:ascii="仿宋_GB2312" w:hAnsi="宋体"/>
          <w:sz w:val="32"/>
          <w:szCs w:val="32"/>
        </w:rPr>
      </w:pPr>
      <w:r>
        <w:rPr>
          <w:rFonts w:hint="eastAsia" w:ascii="黑体" w:hAnsi="宋体" w:eastAsia="黑体"/>
          <w:sz w:val="32"/>
          <w:szCs w:val="32"/>
        </w:rPr>
        <w:t>第二十二条</w:t>
      </w:r>
      <w:r>
        <w:rPr>
          <w:rFonts w:hint="eastAsia" w:ascii="仿宋_GB2312" w:hAnsi="宋体"/>
          <w:sz w:val="32"/>
          <w:szCs w:val="32"/>
        </w:rPr>
        <w:t xml:space="preserve">  国家重点龙头企业更改企业名称，应出具工商行政管理部门的营业执照等更名材料，由省级农业产业化工作主管部门提出审查意见，报农业农村部予以审核确认。农业农村部应将企业更名情况通报全国农业产业化联席会议成员单位。</w:t>
      </w:r>
    </w:p>
    <w:p>
      <w:pPr>
        <w:spacing w:line="640" w:lineRule="exact"/>
        <w:ind w:firstLine="716" w:firstLineChars="224"/>
        <w:rPr>
          <w:rFonts w:ascii="仿宋_GB2312" w:hAnsi="宋体"/>
          <w:sz w:val="32"/>
          <w:szCs w:val="32"/>
        </w:rPr>
      </w:pPr>
      <w:r>
        <w:rPr>
          <w:rFonts w:hint="eastAsia" w:ascii="黑体" w:hAnsi="宋体" w:eastAsia="黑体"/>
          <w:sz w:val="32"/>
          <w:szCs w:val="32"/>
        </w:rPr>
        <w:t>第二十三条</w:t>
      </w:r>
      <w:r>
        <w:rPr>
          <w:rFonts w:hint="eastAsia" w:ascii="仿宋_GB2312" w:hAnsi="宋体"/>
          <w:sz w:val="32"/>
          <w:szCs w:val="32"/>
        </w:rPr>
        <w:t xml:space="preserve">  各省(自治区、直辖市)省级农业产业化主管部门应根据本办法，制定农业产业化省级重点龙头企业有关管理办法，并指导市县农业产业化主管部门制定市级、县级重点龙头企业有关管理办法，开展农业产业化重点龙头企业认定和运行监测工作。</w:t>
      </w:r>
    </w:p>
    <w:p>
      <w:pPr>
        <w:spacing w:line="640" w:lineRule="exact"/>
        <w:ind w:firstLine="640" w:firstLineChars="200"/>
        <w:rPr>
          <w:rFonts w:ascii="仿宋_GB2312" w:hAnsi="宋体"/>
          <w:sz w:val="32"/>
          <w:szCs w:val="32"/>
        </w:rPr>
      </w:pPr>
      <w:r>
        <w:rPr>
          <w:rFonts w:hint="eastAsia" w:ascii="黑体" w:hAnsi="宋体" w:eastAsia="黑体"/>
          <w:sz w:val="32"/>
          <w:szCs w:val="32"/>
        </w:rPr>
        <w:t>第二十四条</w:t>
      </w:r>
      <w:r>
        <w:rPr>
          <w:rFonts w:hint="eastAsia" w:ascii="仿宋_GB2312" w:hAnsi="宋体"/>
          <w:sz w:val="32"/>
          <w:szCs w:val="32"/>
        </w:rPr>
        <w:t xml:space="preserve">  本办法由农业农村部负责解释。</w:t>
      </w:r>
    </w:p>
    <w:p>
      <w:pPr>
        <w:spacing w:line="640" w:lineRule="exact"/>
        <w:ind w:firstLine="640" w:firstLineChars="200"/>
      </w:pPr>
      <w:r>
        <w:rPr>
          <w:rFonts w:hint="eastAsia" w:ascii="黑体" w:hAnsi="宋体" w:eastAsia="黑体"/>
          <w:sz w:val="32"/>
          <w:szCs w:val="32"/>
        </w:rPr>
        <w:t>第二十五条</w:t>
      </w:r>
      <w:r>
        <w:rPr>
          <w:rFonts w:hint="eastAsia" w:ascii="仿宋_GB2312" w:hAnsi="宋体"/>
          <w:sz w:val="32"/>
          <w:szCs w:val="32"/>
        </w:rPr>
        <w:t xml:space="preserve">  本办法自发布之日起施行，2010年制定的《农业产业化国家重点龙头企业认定和运行监测管理办法》（农经发〔2010〕11号）同时废止。</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918610"/>
      <w:docPartObj>
        <w:docPartGallery w:val="AutoText"/>
      </w:docPartObj>
    </w:sdtPr>
    <w:sdtContent>
      <w:p>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417C"/>
    <w:rsid w:val="000143F2"/>
    <w:rsid w:val="00053D38"/>
    <w:rsid w:val="00065F6F"/>
    <w:rsid w:val="0007060E"/>
    <w:rsid w:val="00146C34"/>
    <w:rsid w:val="00270E68"/>
    <w:rsid w:val="00482C9B"/>
    <w:rsid w:val="00501D4F"/>
    <w:rsid w:val="005B3585"/>
    <w:rsid w:val="00605C99"/>
    <w:rsid w:val="00635DF2"/>
    <w:rsid w:val="006F21C2"/>
    <w:rsid w:val="007663CD"/>
    <w:rsid w:val="00773245"/>
    <w:rsid w:val="00775720"/>
    <w:rsid w:val="007C2CEF"/>
    <w:rsid w:val="00837A98"/>
    <w:rsid w:val="00843A32"/>
    <w:rsid w:val="00927A9E"/>
    <w:rsid w:val="00A10583"/>
    <w:rsid w:val="00A53187"/>
    <w:rsid w:val="00AF03DF"/>
    <w:rsid w:val="00B1099E"/>
    <w:rsid w:val="00B14ABB"/>
    <w:rsid w:val="00B77BC8"/>
    <w:rsid w:val="00BA167C"/>
    <w:rsid w:val="00BB3DC0"/>
    <w:rsid w:val="00C90A12"/>
    <w:rsid w:val="00D04331"/>
    <w:rsid w:val="00D3417C"/>
    <w:rsid w:val="00D7472C"/>
    <w:rsid w:val="00DD0A6D"/>
    <w:rsid w:val="00DE6F46"/>
    <w:rsid w:val="00E5790E"/>
    <w:rsid w:val="00EA3B94"/>
    <w:rsid w:val="00ED5E4C"/>
    <w:rsid w:val="00F00E99"/>
    <w:rsid w:val="00F617C3"/>
    <w:rsid w:val="00F84A74"/>
    <w:rsid w:val="1FD21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560" w:lineRule="exact"/>
      <w:jc w:val="both"/>
      <w:textAlignment w:val="baseline"/>
    </w:pPr>
    <w:rPr>
      <w:rFonts w:ascii="Times New Roman" w:hAnsi="Times New Roman" w:eastAsia="仿宋_GB2312" w:cs="Times New Roman"/>
      <w:kern w:val="0"/>
      <w:sz w:val="18"/>
      <w:szCs w:val="20"/>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uiPriority w:val="99"/>
    <w:pPr>
      <w:ind w:left="100" w:leftChars="2500"/>
    </w:pPr>
  </w:style>
  <w:style w:type="paragraph" w:styleId="3">
    <w:name w:val="footer"/>
    <w:basedOn w:val="1"/>
    <w:link w:val="9"/>
    <w:unhideWhenUsed/>
    <w:uiPriority w:val="99"/>
    <w:pPr>
      <w:tabs>
        <w:tab w:val="center" w:pos="4153"/>
        <w:tab w:val="right" w:pos="8306"/>
      </w:tabs>
      <w:adjustRightInd/>
      <w:snapToGrid w:val="0"/>
      <w:spacing w:line="240" w:lineRule="auto"/>
      <w:jc w:val="left"/>
      <w:textAlignment w:val="auto"/>
    </w:pPr>
    <w:rPr>
      <w:rFonts w:asciiTheme="minorHAnsi" w:hAnsiTheme="minorHAnsi" w:eastAsiaTheme="minorEastAsia" w:cstheme="minorBidi"/>
      <w:kern w:val="2"/>
      <w:szCs w:val="18"/>
    </w:rPr>
  </w:style>
  <w:style w:type="paragraph" w:styleId="4">
    <w:name w:val="header"/>
    <w:basedOn w:val="1"/>
    <w:link w:val="8"/>
    <w:semiHidden/>
    <w:unhideWhenUsed/>
    <w:uiPriority w:val="99"/>
    <w:pPr>
      <w:pBdr>
        <w:bottom w:val="single" w:color="auto" w:sz="6" w:space="1"/>
      </w:pBdr>
      <w:tabs>
        <w:tab w:val="center" w:pos="4153"/>
        <w:tab w:val="right" w:pos="8306"/>
      </w:tabs>
      <w:adjustRightInd/>
      <w:snapToGrid w:val="0"/>
      <w:spacing w:line="240" w:lineRule="auto"/>
      <w:jc w:val="center"/>
      <w:textAlignment w:val="auto"/>
    </w:pPr>
    <w:rPr>
      <w:rFonts w:asciiTheme="minorHAnsi" w:hAnsiTheme="minorHAnsi" w:eastAsiaTheme="minorEastAsia" w:cstheme="minorBidi"/>
      <w:kern w:val="2"/>
      <w:szCs w:val="18"/>
    </w:rPr>
  </w:style>
  <w:style w:type="table" w:styleId="6">
    <w:name w:val="Table Grid"/>
    <w:basedOn w:val="5"/>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semiHidden/>
    <w:uiPriority w:val="99"/>
    <w:rPr>
      <w:sz w:val="18"/>
      <w:szCs w:val="18"/>
    </w:rPr>
  </w:style>
  <w:style w:type="character" w:customStyle="1" w:styleId="9">
    <w:name w:val="页脚 Char"/>
    <w:basedOn w:val="7"/>
    <w:link w:val="3"/>
    <w:uiPriority w:val="99"/>
    <w:rPr>
      <w:sz w:val="18"/>
      <w:szCs w:val="18"/>
    </w:rPr>
  </w:style>
  <w:style w:type="character" w:customStyle="1" w:styleId="10">
    <w:name w:val="日期 Char"/>
    <w:basedOn w:val="7"/>
    <w:link w:val="2"/>
    <w:semiHidden/>
    <w:uiPriority w:val="99"/>
    <w:rPr>
      <w:rFonts w:ascii="Times New Roman" w:hAnsi="Times New Roman" w:eastAsia="仿宋_GB2312" w:cs="Times New Roman"/>
      <w:kern w:val="0"/>
      <w:sz w:val="18"/>
      <w:szCs w:val="20"/>
    </w:rPr>
  </w:style>
  <w:style w:type="paragraph" w:customStyle="1" w:styleId="11">
    <w:name w:val="纯文本1"/>
    <w:basedOn w:val="1"/>
    <w:uiPriority w:val="0"/>
    <w:pPr>
      <w:spacing w:line="240" w:lineRule="auto"/>
    </w:pPr>
    <w:rPr>
      <w:rFonts w:ascii="宋体" w:hAnsi="Courier New" w:eastAsia="宋体"/>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705</Words>
  <Characters>4022</Characters>
  <Lines>33</Lines>
  <Paragraphs>9</Paragraphs>
  <TotalTime>72</TotalTime>
  <ScaleCrop>false</ScaleCrop>
  <LinksUpToDate>false</LinksUpToDate>
  <CharactersWithSpaces>4718</CharactersWithSpaces>
  <Application>WPS Office_11.1.0.10359_F1E327BC-269C-435d-A152-05C5408002CA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2018-04-09T08:20:00Z</dcterms:created>
  <dc:creator>hp</dc:creator>
  <cp:lastModifiedBy>度之</cp:lastModifiedBy>
  <dcterms:modified xsi:type="dcterms:W3CDTF">2021-05-21T01:00:48Z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205989938_cloud</vt:lpwstr>
  </property>
  <property fmtid="{D5CDD505-2E9C-101B-9397-08002B2CF9AE}" pid="3" name="KSOProductBuildVer">
    <vt:lpwstr>2052-11.1.0.10359</vt:lpwstr>
  </property>
  <property fmtid="{D5CDD505-2E9C-101B-9397-08002B2CF9AE}" pid="4" name="ICV">
    <vt:lpwstr>B23898F67DBF46CAAA6E1FED236AC7A2</vt:lpwstr>
  </property>
</Properties>
</file>