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小标宋_GBK" w:eastAsia="方正小标宋_GBK"/>
          <w:bCs/>
          <w:color w:val="auto"/>
          <w:sz w:val="44"/>
          <w:szCs w:val="44"/>
        </w:rPr>
      </w:pPr>
      <w:r>
        <w:rPr>
          <w:rFonts w:ascii="方正小标宋_GBK" w:eastAsia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年重庆市</w:t>
      </w:r>
      <w:r>
        <w:rPr>
          <w:rFonts w:hint="eastAsia" w:eastAsia="方正小标宋_GBK"/>
          <w:bCs/>
          <w:color w:val="auto"/>
          <w:sz w:val="44"/>
          <w:szCs w:val="44"/>
        </w:rPr>
        <w:t>黔江区</w:t>
      </w:r>
      <w:r>
        <w:rPr>
          <w:rFonts w:hint="eastAsia" w:eastAsia="方正小标宋_GBK"/>
          <w:bCs/>
          <w:color w:val="auto"/>
          <w:sz w:val="44"/>
          <w:szCs w:val="44"/>
          <w:lang w:val="en-US" w:eastAsia="zh-CN"/>
        </w:rPr>
        <w:t>劳务公司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考评指标体系</w:t>
      </w:r>
    </w:p>
    <w:tbl>
      <w:tblPr>
        <w:tblStyle w:val="3"/>
        <w:tblW w:w="96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7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制定工作计划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协助特聘农技人员联系乡镇3个以上，制定产业发展规划得24分，1个特聘农技人员未完成任务扣4分。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对农技人员工作量化考核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每月统计一次特聘农技人员工作开展情况，督促特聘农技人员按时按量完成工作任务得18分，1个特聘农技人员未完成任务扣3分。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提供临时办公场所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为特聘农技人员提供相应的办公设备得5分，未提供扣5分。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定期开展专题研讨会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开展4次及以上专题研讨工作会得16分，未完成1次扣4分。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与区外专家对接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开展4次及以上区外专家对接得16分，未完成1次扣4分。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提供集中学习机会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为特聘农技员提供市级以上（含市级）连续不少于5天脱产业务培训1次得18分，1个特聘农技人员未完成任务扣3分。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购买保险情况</w:t>
            </w:r>
          </w:p>
        </w:tc>
        <w:tc>
          <w:tcPr>
            <w:tcW w:w="7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为每位特聘人员的意外伤害保险保额不低于200万元/年得3分。1个特聘农技人员未完成任务扣3分。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备注：由区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农业技术服务中心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以服务对象满意度和完成指标任务为主要考核内容，采取量化打分和服务对象评价相结合的方式进行考核，考核得分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95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分以上的为合格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FmNTdiNDMwNjU5YmM2MTNjNjQ5Mjc4MjZlYjQifQ=="/>
  </w:docVars>
  <w:rsids>
    <w:rsidRoot w:val="4D4A46AF"/>
    <w:rsid w:val="4D4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2023-08-15T06:23:00Z</dcterms:created>
  <dc:creator>橙橙</dc:creator>
  <cp:lastModifiedBy>橙橙</cp:lastModifiedBy>
  <dcterms:modified xsi:type="dcterms:W3CDTF">2023-08-15T06:25:34Z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84AFAC7309804F3D89D2B4D6B81406FE_11</vt:lpwstr>
  </property>
</Properties>
</file>