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jc w:val="left"/>
      </w:pPr>
      <w:r>
        <w:rPr>
          <w:rFonts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default" w:ascii="Times New Roman" w:hAnsi="Times New Roman" w:cs="Times New Roman"/>
          <w:sz w:val="32"/>
          <w:szCs w:val="32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jc w:val="center"/>
      </w:pPr>
      <w:r>
        <w:rPr>
          <w:rFonts w:hint="default" w:ascii="Times New Roman" w:hAnsi="Times New Roman" w:cs="Times New Roman"/>
          <w:sz w:val="44"/>
          <w:szCs w:val="44"/>
        </w:rPr>
        <w:t>2023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年农机执法监督检查计划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一、总体任务和目标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</w:pPr>
      <w:r>
        <w:rPr>
          <w:rFonts w:ascii="方正仿宋_GBK" w:hAnsi="方正仿宋_GBK" w:eastAsia="方正仿宋_GBK" w:cs="方正仿宋_GBK"/>
          <w:sz w:val="32"/>
          <w:szCs w:val="32"/>
        </w:rPr>
        <w:t>主要检查各乡镇街道农业服务中心农机安全监管、农机安全生产检查、事故隐患排查治理、农业机械安全违法违规行为打击等工作开展情况。重点监督检查以下内容：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一是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农机安全责任是否落实。农机安全监管</w:t>
      </w:r>
      <w:r>
        <w:rPr>
          <w:rFonts w:hint="default" w:ascii="Times New Roman" w:hAnsi="Times New Roman" w:cs="Times New Roman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一岗双责</w:t>
      </w:r>
      <w:r>
        <w:rPr>
          <w:rFonts w:hint="default" w:ascii="Times New Roman" w:hAnsi="Times New Roman" w:cs="Times New Roman"/>
          <w:sz w:val="32"/>
          <w:szCs w:val="32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、安全会议、黑名单、安全检查、应急救援及值守等相关制度是否建立健全并落实到位；安全工作措施是否得力。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二是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农机安全生产重点任务是否推进落实，是否进行了安排部署。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三是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是否开展农机安全与执法检查，农机违法违规行为是否依法依规处罚</w:t>
      </w:r>
      <w:r>
        <w:rPr>
          <w:rFonts w:hint="default" w:ascii="Times New Roman" w:hAnsi="Times New Roman" w:cs="Times New Roman"/>
          <w:sz w:val="32"/>
          <w:szCs w:val="32"/>
        </w:rPr>
        <w:t>,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检查与处罚记录是否建立、规范。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四是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是否开展农机安全宣传教育，宣传教育记录是否健全。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五是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是否采取有效措施对辖区内已停驶且达到报废条件的</w:t>
      </w:r>
      <w:r>
        <w:rPr>
          <w:rFonts w:hint="default" w:ascii="Times New Roman" w:hAnsi="Times New Roman" w:cs="Times New Roman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渝</w:t>
      </w:r>
      <w:r>
        <w:rPr>
          <w:rFonts w:hint="default" w:ascii="Times New Roman" w:hAnsi="Times New Roman" w:cs="Times New Roman"/>
          <w:sz w:val="32"/>
          <w:szCs w:val="32"/>
        </w:rPr>
        <w:t>01”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拖拉机办理注销手续，工作成效如何。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六是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农机安全隐患排查工作是否落实，是否形成闭环的安全隐患台账。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七是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乡镇街道是否将农机安全监管责任落实到村（居），对挂外省拖拉机牌照车辆的清理、统计是否持续深入开展，是否建立规范的动态管理台账。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八是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公安驻农机警务室是否按照制度开展工作，是否对挂外省拖拉机牌照车辆的脱保脱险、假牌假证、违章操作等违法行为进行查处，工作效果如何。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九是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深入开展农机安全生产专项整治，对排查出来的隐患，整改率达</w:t>
      </w:r>
      <w:r>
        <w:rPr>
          <w:rFonts w:hint="default" w:ascii="Times New Roman" w:hAnsi="Times New Roman" w:cs="Times New Roman"/>
          <w:sz w:val="32"/>
          <w:szCs w:val="32"/>
        </w:rPr>
        <w:t>100%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，全年不发生一次死亡</w:t>
      </w:r>
      <w:r>
        <w:rPr>
          <w:rFonts w:hint="default" w:ascii="Times New Roman" w:hAnsi="Times New Roman" w:cs="Times New Roman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人（含</w:t>
      </w:r>
      <w:r>
        <w:rPr>
          <w:rFonts w:hint="default" w:ascii="Times New Roman" w:hAnsi="Times New Roman" w:cs="Times New Roman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人）以上农业机械事故，农业机械事故死亡人数控制在市、区下达的控制指标之内，拖拉机、联合收割机上牌率达</w:t>
      </w:r>
      <w:r>
        <w:rPr>
          <w:rFonts w:hint="default" w:ascii="Times New Roman" w:hAnsi="Times New Roman" w:cs="Times New Roman"/>
          <w:sz w:val="32"/>
          <w:szCs w:val="32"/>
        </w:rPr>
        <w:t>100%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，拖拉机驾驶人持证率达</w:t>
      </w:r>
      <w:r>
        <w:rPr>
          <w:rFonts w:hint="default" w:ascii="Times New Roman" w:hAnsi="Times New Roman" w:cs="Times New Roman"/>
          <w:sz w:val="32"/>
          <w:szCs w:val="32"/>
        </w:rPr>
        <w:t>100%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，拖拉机检验率不低于</w:t>
      </w:r>
      <w:r>
        <w:rPr>
          <w:rFonts w:hint="default" w:ascii="Times New Roman" w:hAnsi="Times New Roman" w:cs="Times New Roman"/>
          <w:sz w:val="32"/>
          <w:szCs w:val="32"/>
        </w:rPr>
        <w:t>95%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，联合收割检验率达</w:t>
      </w:r>
      <w:r>
        <w:rPr>
          <w:rFonts w:hint="default" w:ascii="Times New Roman" w:hAnsi="Times New Roman" w:cs="Times New Roman"/>
          <w:sz w:val="32"/>
          <w:szCs w:val="32"/>
        </w:rPr>
        <w:t>100%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；享受财政补贴的各型农业机械（不含拖拉机、联合收割机）备案登记率达</w:t>
      </w:r>
      <w:r>
        <w:rPr>
          <w:rFonts w:hint="default" w:ascii="Times New Roman" w:hAnsi="Times New Roman" w:cs="Times New Roman"/>
          <w:sz w:val="32"/>
          <w:szCs w:val="32"/>
        </w:rPr>
        <w:t>100%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；外籍拖拉机备案登记率达到</w:t>
      </w:r>
      <w:r>
        <w:rPr>
          <w:rFonts w:hint="default" w:ascii="Times New Roman" w:hAnsi="Times New Roman" w:cs="Times New Roman"/>
          <w:sz w:val="32"/>
          <w:szCs w:val="32"/>
        </w:rPr>
        <w:t>100%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以上。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二、执法监管的对象及范围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（一）监管对象。全区农业机械及拖拉机驾驶操作人员，农业机械生产经营单位，农业机械维修网点。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（二）监管范围。黔江境内的乡村道路、机耕道、田间、地头、维修、停放农业机械场所。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三、执法监管主要内容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3"/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一是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拖拉机货厢载人，驾驶室超员等违法行为。二是驾驶操作人员是否持有效证件。三是拖拉机、联合收割机是否依法挂牌登记、是否按规定参加机检、年审，是否购买有效交强险。四是农业机械是否有私自改（拼）装以及假牌假证等行为。五是变形拖拉机车厢两侧是否喷写</w:t>
      </w:r>
      <w:r>
        <w:rPr>
          <w:rFonts w:hint="default" w:ascii="Times New Roman" w:hAnsi="Times New Roman" w:cs="Times New Roman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严禁载人</w:t>
      </w:r>
      <w:r>
        <w:rPr>
          <w:rFonts w:hint="default" w:ascii="Times New Roman" w:hAnsi="Times New Roman" w:cs="Times New Roman"/>
          <w:sz w:val="32"/>
          <w:szCs w:val="32"/>
        </w:rPr>
        <w:t>”“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禁止超载</w:t>
      </w:r>
      <w:r>
        <w:rPr>
          <w:rFonts w:hint="default" w:ascii="Times New Roman" w:hAnsi="Times New Roman" w:cs="Times New Roman"/>
          <w:sz w:val="32"/>
          <w:szCs w:val="32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等字样、是否按要求粘贴反光标识，准驾是否相符。六是农机维修经营门店是否销售、使用不合格配件、是否按规定填写维修记录。七是拖拉机超速超载、酒后驾车等违法行为。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四、执法监管的方式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3"/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一是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现场检查，调查询问，仔细察看有关证件是否有效，对所有违法证件（含无效证件）一律没收，并下达执法通知。对违法违规者，按照法律法规从严处理。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二是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积极主动与公安交警、应急、市场监管部门、乡镇街道综合执法队、农业服务中心开展联合执法检查。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五、执法检查安排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</w:t>
      </w:r>
      <w:r>
        <w:rPr>
          <w:rFonts w:hint="default" w:ascii="Times New Roman" w:hAnsi="Times New Roman" w:cs="Times New Roman"/>
          <w:sz w:val="32"/>
          <w:szCs w:val="32"/>
        </w:rPr>
        <w:t>1-12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月，与公安、安监、乡镇街道开展联合执法检查，农机警务室开展田检路查等工作。打击无证驾驶、超速、超载、酒驾、假牌假证等违法行为。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</w:t>
      </w:r>
      <w:r>
        <w:rPr>
          <w:rFonts w:hint="default" w:ascii="Times New Roman" w:hAnsi="Times New Roman" w:cs="Times New Roman"/>
          <w:sz w:val="32"/>
          <w:szCs w:val="32"/>
        </w:rPr>
        <w:t>2-4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，在农业机械领域配合开展农资打假专项行动，检查农机维修经营门店，打击销售不合格农业机械维修配件、使用不符合要求的配件维修农业机械、利用维修零配件和报废机具的部件拼装农业机械整机、承揽已报废农业机械维修业务等违法行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</w:t>
      </w:r>
      <w:r>
        <w:rPr>
          <w:rFonts w:hint="default" w:ascii="Times New Roman" w:hAnsi="Times New Roman" w:cs="Times New Roman"/>
          <w:sz w:val="32"/>
          <w:szCs w:val="32"/>
        </w:rPr>
        <w:t>7-9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，开展水稻机收期间农机违法行为打击专项行动，加大对水稻机收期间联合收割机的检查力度，打击未取得拖拉机、联合收割机操作证件而操作拖拉机、联合收割机；将农业机械交给无驾驶证、操作证的人员驾驶、操作；操作未按照规定登记的拖拉机、联合收割机；操作未按照规定检验或者检验不合格的拖拉机、联合收割机；跨区作业中介服务组织只收费不服务或多收费少服务；持假冒《联合收割机跨区作业证》或扰乱跨区作业秩序等违法行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</w:t>
      </w:r>
      <w:r>
        <w:rPr>
          <w:rFonts w:hint="default" w:ascii="Times New Roman" w:hAnsi="Times New Roman" w:cs="Times New Roman"/>
          <w:sz w:val="32"/>
          <w:szCs w:val="32"/>
        </w:rPr>
        <w:t>1-12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，开展变型拖拉清零专项行动，大力宣传变型拖拉机存在的安全风险隐患，督促机主主动报废变型拖拉机，对可疑的外省籍变型拖拉机牌证，向发证机关发协查函甄别牌证信息的真伪，及时将假牌假证信息抄告公安机关和属地乡镇（街道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六、有关要求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（一）坚持公平、公开、公正原则。按照法定程序和期限开展农机安全监管行政执法活动。坚决杜绝发生公路</w:t>
      </w:r>
      <w:r>
        <w:rPr>
          <w:rFonts w:hint="default" w:ascii="Times New Roman" w:hAnsi="Times New Roman" w:cs="Times New Roman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三乱</w:t>
      </w:r>
      <w:r>
        <w:rPr>
          <w:rFonts w:hint="default" w:ascii="Times New Roman" w:hAnsi="Times New Roman" w:cs="Times New Roman"/>
          <w:sz w:val="32"/>
          <w:szCs w:val="32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（乱设站卡、乱罚款、乱收费）行为。以宣传教育，增强法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意识重点，严禁增加农民机手负担。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严格农机行政执法。要自觉接受上级农机主管部门和上级执法机构的监督，并自觉接受区监察、人大、政协、司法、新闻媒体、社会等的监督。对农民机手反映到新闻媒体的问题要认真调查核实，并依法及时作出妥善处理和答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（三）认真落实行政执法责任制。要全面推进行政执法责任制和</w:t>
      </w:r>
      <w:r>
        <w:rPr>
          <w:rFonts w:hint="default" w:ascii="Times New Roman" w:hAnsi="Times New Roman" w:cs="Times New Roman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一岗双责</w:t>
      </w:r>
      <w:r>
        <w:rPr>
          <w:rFonts w:hint="default" w:ascii="Times New Roman" w:hAnsi="Times New Roman" w:cs="Times New Roman"/>
          <w:sz w:val="32"/>
          <w:szCs w:val="32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制，建立和完善行政执法过错责任追究制度，对在行政执法中发现的违法或不当的具体行政行为要及时予以纠正；对导致错误执法或重大过失的有关人员，要依法依纪追究责任。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GNkYmM3NmE4YmQwZmEzODFhMWMwOTExYWFkMTcifQ=="/>
  </w:docVars>
  <w:rsids>
    <w:rsidRoot w:val="00000000"/>
    <w:rsid w:val="55B4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2023-05-17T01:34:29Z</dcterms:created>
  <dc:creator>User</dc:creator>
  <cp:lastModifiedBy>。</cp:lastModifiedBy>
  <dcterms:modified xsi:type="dcterms:W3CDTF">2023-05-17T01:34:58Z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CC78A07AAF434475A12DBBD5B01D0873_12</vt:lpwstr>
  </property>
</Properties>
</file>