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left"/>
      </w:pPr>
      <w:r>
        <w:rPr>
          <w:rFonts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cs="Times New Roman"/>
          <w:sz w:val="32"/>
          <w:szCs w:val="32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center"/>
      </w:pPr>
      <w:r>
        <w:rPr>
          <w:rFonts w:hint="default" w:ascii="Times New Roman" w:hAnsi="Times New Roman" w:cs="Times New Roman"/>
          <w:sz w:val="44"/>
          <w:szCs w:val="44"/>
        </w:rPr>
        <w:t>2023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年农业投入品执法监督检查计划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ascii="方正黑体_GBK" w:hAnsi="方正黑体_GBK" w:eastAsia="方正黑体_GBK" w:cs="方正黑体_GBK"/>
          <w:sz w:val="32"/>
          <w:szCs w:val="32"/>
        </w:rPr>
        <w:t>一、工作任务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default" w:ascii="Times New Roman" w:hAnsi="Times New Roman" w:cs="Times New Roman"/>
          <w:sz w:val="32"/>
          <w:szCs w:val="32"/>
        </w:rPr>
        <w:t>1.</w:t>
      </w:r>
      <w:r>
        <w:rPr>
          <w:rFonts w:ascii="方正楷体_GBK" w:hAnsi="方正楷体_GBK" w:eastAsia="方正楷体_GBK" w:cs="方正楷体_GBK"/>
          <w:sz w:val="32"/>
          <w:szCs w:val="32"/>
        </w:rPr>
        <w:t>种子领域：重点检查时间段</w:t>
      </w:r>
      <w:r>
        <w:rPr>
          <w:rFonts w:hint="default" w:ascii="Times New Roman" w:hAnsi="Times New Roman" w:cs="Times New Roman"/>
          <w:sz w:val="32"/>
          <w:szCs w:val="32"/>
        </w:rPr>
        <w:t>1-4</w:t>
      </w:r>
      <w:r>
        <w:rPr>
          <w:rFonts w:ascii="方正仿宋_GBK" w:hAnsi="方正仿宋_GBK" w:eastAsia="方正仿宋_GBK" w:cs="方正仿宋_GBK"/>
          <w:sz w:val="32"/>
          <w:szCs w:val="32"/>
        </w:rPr>
        <w:t>月。检查对象：检查全区</w:t>
      </w:r>
      <w:r>
        <w:rPr>
          <w:rFonts w:hint="default" w:ascii="Times New Roman" w:hAnsi="Times New Roman" w:cs="Times New Roman"/>
          <w:sz w:val="32"/>
          <w:szCs w:val="32"/>
        </w:rPr>
        <w:t>150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种子经营门市部。重点查处范围：销售未审先推，未按规定要求备案，包装、标签不符合规定，未附有植物检疫合格证明，超生态适宜种子区域推广，侵犯植物新品种权，未建立进销台账以及销售假劣种子的违法行为。目标：慧执法在线办理一般程序种子领域案件</w:t>
      </w:r>
      <w:r>
        <w:rPr>
          <w:rFonts w:hint="default" w:ascii="Times New Roman" w:hAnsi="Times New Roman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件，以种业执法监管联合区种子站抽检水稻、玉米、蔬菜种子</w:t>
      </w:r>
      <w:r>
        <w:rPr>
          <w:rFonts w:hint="default" w:ascii="Times New Roman" w:hAnsi="Times New Roman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个样品，净化种子市场确保农民购好种、放心种。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default" w:ascii="Times New Roman" w:hAnsi="Times New Roman" w:cs="Times New Roman"/>
          <w:sz w:val="32"/>
          <w:szCs w:val="32"/>
        </w:rPr>
        <w:t>2.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农药领域：重点检查时间段</w:t>
      </w:r>
      <w:r>
        <w:rPr>
          <w:rFonts w:hint="default" w:ascii="Times New Roman" w:hAnsi="Times New Roman" w:cs="Times New Roman"/>
          <w:sz w:val="32"/>
          <w:szCs w:val="32"/>
        </w:rPr>
        <w:t>4-10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月。检查对象：检查全区</w:t>
      </w:r>
      <w:r>
        <w:rPr>
          <w:rFonts w:hint="default" w:ascii="Times New Roman" w:hAnsi="Times New Roman" w:cs="Times New Roman"/>
          <w:sz w:val="32"/>
          <w:szCs w:val="32"/>
        </w:rPr>
        <w:t>126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农药经营门市部和仓库以及农产品生产基地。重点查处范围：无农药经营许可证经营销售农药、取得农药经营许可证的农药经营者不再符合规定条件继续经营农药、超范围经营限制使用农药、经营禁用农药、经营假劣农药、未建立进销台账、以及农产品生产基地超范围使用农药和违规使用禁限农药。目标：联合市场监管局双随机抽查</w:t>
      </w:r>
      <w:r>
        <w:rPr>
          <w:rFonts w:hint="default" w:ascii="Times New Roman" w:hAnsi="Times New Roman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农药经营门市，慧执法在线办理一般程序农药领域案件</w:t>
      </w:r>
      <w:r>
        <w:rPr>
          <w:rFonts w:hint="default" w:ascii="Times New Roman" w:hAnsi="Times New Roman" w:cs="Times New Roman"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件，接洽市农药检定所抽检农药</w:t>
      </w:r>
      <w:r>
        <w:rPr>
          <w:rFonts w:hint="default" w:ascii="Times New Roman" w:hAnsi="Times New Roman" w:cs="Times New Roman"/>
          <w:sz w:val="32"/>
          <w:szCs w:val="32"/>
        </w:rPr>
        <w:t>40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个。确保无农药安全事故发生。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default" w:ascii="Times New Roman" w:hAnsi="Times New Roman" w:cs="Times New Roman"/>
          <w:sz w:val="32"/>
          <w:szCs w:val="32"/>
        </w:rPr>
        <w:t>3.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农产品质量安全。重点检查时间段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年尤以春节、两会、中秋国庆等节点。检查对象：蔬菜、水果种植业大户、种粮大户、家庭农场、专业合作社、农产品加工企业以及城郊结合部以种养业散户。重点查处范围：未按规定使用农药、未建立农产品生产记录、未按要求出具农产品达标合格证、农药残留超标等违法行为。目标：以渝农发〔</w:t>
      </w: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号的监督抽检任务</w:t>
      </w:r>
      <w:r>
        <w:rPr>
          <w:rFonts w:hint="default" w:ascii="Times New Roman" w:hAnsi="Times New Roman" w:cs="Times New Roman"/>
          <w:sz w:val="32"/>
          <w:szCs w:val="32"/>
        </w:rPr>
        <w:t>82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个目标导向，有针对性的筛查抽样慧执法在线办理一般程序农产品质量安全案</w:t>
      </w: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件，保障舌尖上的安全。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default" w:ascii="Times New Roman" w:hAnsi="Times New Roman" w:cs="Times New Roman"/>
          <w:sz w:val="32"/>
          <w:szCs w:val="32"/>
        </w:rPr>
        <w:t>4.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肥料领域：重点检查时间段</w:t>
      </w:r>
      <w:r>
        <w:rPr>
          <w:rFonts w:hint="default" w:ascii="Times New Roman" w:hAnsi="Times New Roman" w:cs="Times New Roman"/>
          <w:sz w:val="32"/>
          <w:szCs w:val="32"/>
        </w:rPr>
        <w:t>1-8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。检查对象：以丰彩多、秸换宝</w:t>
      </w: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家有机肥生产厂家和重庆农资集团、彭丰农资为载体的全区肥料经营户。重点查处范围：销售肥料未登记、假劣肥料等。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目标：以走街串户、游走乡间、农资下乡、送货上门等忽悠团伙销售肥料为突破口，慧执法在线办理一般程序肥料</w:t>
      </w: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件维护肥料销售市场次序。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default" w:ascii="Times New Roman" w:hAnsi="Times New Roman" w:cs="Times New Roman"/>
          <w:sz w:val="32"/>
          <w:szCs w:val="32"/>
        </w:rPr>
        <w:t>5.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秸秆焚烧领域：重点检查时间段以冬春、夏秋森林防火期和</w:t>
      </w:r>
      <w:r>
        <w:rPr>
          <w:rFonts w:hint="default" w:ascii="Times New Roman" w:hAnsi="Times New Roman" w:cs="Times New Roman"/>
          <w:sz w:val="32"/>
          <w:szCs w:val="32"/>
        </w:rPr>
        <w:t>11-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次年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月的冬春大气污染防治攻坚期。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检查对象：以集中连片的油菜、玉米、水稻为种植区域种植业主。重点查处范围：在高森林防火期，空气污染防治攻坚期，高速路、铁路、机场沿线、人口集镇密集区拒不责令整改的秸秆焚烧行为。目标：以秸秆焚烧委托执法下放乡镇街道为契机，采取集中培训和定期指导乡镇执法人员办理秸秆焚烧行政执法业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二、工作要求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27"/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（一）严格依法行政，规范执法行为。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依据《中华人民共和国行政处罚法》《农业行政处罚程序规定》以及《种子法》《中华人民共和国农产品质量安全法》《农药管理条例》等法律、法规，按照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双随机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工作要求，确保查处案件事实认定符合客观真相、办案结果符合实体公正、办案过程符合程序公正。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27"/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（二）严守管辖权限，规范移送行为。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发现不属于农业部门管辖的违法行为，应及时移送有权管辖的部门处理；违法行为涉嫌犯罪的，应移送公安机关处理，严禁越权管辖或以罚代刑。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27"/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（三）查办典型案件，发挥执法效能。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充分运用法律武器，做到有案必查、违法必究，对农业投入品违法行为打击要精准，对查办的典型案件，组织新闻媒体进行曝光，形成强大舆论氛围，起到震慑和教育作用。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27"/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（四）严格执行法律法规规定，遵守中央八项规定。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始终做到忠于职守、坚持原则，严格、公正、廉洁、文明执法，努力维护好农业行政执法权威地位和队伍的良好形象。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GNkYmM3NmE4YmQwZmEzODFhMWMwOTExYWFkMTcifQ=="/>
  </w:docVars>
  <w:rsids>
    <w:rsidRoot w:val="00000000"/>
    <w:rsid w:val="582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2023-05-17T01:38:29Z</dcterms:created>
  <dc:creator>User</dc:creator>
  <cp:lastModifiedBy>。</cp:lastModifiedBy>
  <dcterms:modified xsi:type="dcterms:W3CDTF">2023-05-17T01:39:28Z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B1A03A7C968E4AD099BB1BD77AAE2E81_12</vt:lpwstr>
  </property>
</Properties>
</file>