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7B95D4">
      <w:pPr>
        <w:pStyle w:val="2"/>
        <w:keepNext w:val="0"/>
        <w:keepLines w:val="0"/>
        <w:widowControl/>
        <w:suppressLineNumbers w:val="0"/>
        <w:spacing w:before="0" w:beforeAutospacing="0" w:after="0" w:afterAutospacing="0" w:line="560" w:lineRule="atLeast"/>
        <w:jc w:val="left"/>
      </w:pPr>
      <w:r>
        <w:rPr>
          <w:rFonts w:ascii="方正黑体_GBK" w:hAnsi="方正黑体_GBK" w:eastAsia="方正黑体_GBK" w:cs="方正黑体_GBK"/>
          <w:sz w:val="32"/>
          <w:szCs w:val="32"/>
        </w:rPr>
        <w:t>附件</w:t>
      </w:r>
      <w:r>
        <w:rPr>
          <w:rFonts w:hint="default" w:ascii="Times New Roman" w:hAnsi="Times New Roman" w:cs="Times New Roman"/>
          <w:sz w:val="32"/>
          <w:szCs w:val="32"/>
        </w:rPr>
        <w:t>3</w:t>
      </w:r>
    </w:p>
    <w:p w14:paraId="39FE14CC">
      <w:pPr>
        <w:pStyle w:val="2"/>
        <w:keepNext w:val="0"/>
        <w:keepLines w:val="0"/>
        <w:widowControl/>
        <w:suppressLineNumbers w:val="0"/>
        <w:spacing w:before="0" w:beforeAutospacing="0" w:after="0" w:afterAutospacing="0" w:line="560" w:lineRule="atLeast"/>
        <w:jc w:val="center"/>
      </w:pPr>
      <w:r>
        <w:rPr>
          <w:rFonts w:hint="default" w:ascii="Times New Roman" w:hAnsi="Times New Roman" w:cs="Times New Roman"/>
          <w:sz w:val="44"/>
          <w:szCs w:val="44"/>
        </w:rPr>
        <w:t>2023</w:t>
      </w:r>
      <w:r>
        <w:rPr>
          <w:rFonts w:ascii="方正小标宋_GBK" w:hAnsi="方正小标宋_GBK" w:eastAsia="方正小标宋_GBK" w:cs="方正小标宋_GBK"/>
          <w:sz w:val="44"/>
          <w:szCs w:val="44"/>
        </w:rPr>
        <w:t>年农业投入品执法监督检查计划</w:t>
      </w:r>
    </w:p>
    <w:p w14:paraId="6542EEF5">
      <w:pPr>
        <w:pStyle w:val="2"/>
        <w:keepNext w:val="0"/>
        <w:keepLines w:val="0"/>
        <w:widowControl/>
        <w:suppressLineNumbers w:val="0"/>
        <w:spacing w:before="0" w:beforeAutospacing="0" w:after="0" w:afterAutospacing="0" w:line="560" w:lineRule="atLeast"/>
        <w:ind w:left="0" w:firstLine="640"/>
      </w:pPr>
      <w:r>
        <w:rPr>
          <w:rFonts w:ascii="方正黑体_GBK" w:hAnsi="方正黑体_GBK" w:eastAsia="方正黑体_GBK" w:cs="方正黑体_GBK"/>
          <w:sz w:val="32"/>
          <w:szCs w:val="32"/>
        </w:rPr>
        <w:t>一、工作任务</w:t>
      </w:r>
    </w:p>
    <w:p w14:paraId="5FEDEF78">
      <w:pPr>
        <w:pStyle w:val="2"/>
        <w:keepNext w:val="0"/>
        <w:keepLines w:val="0"/>
        <w:widowControl/>
        <w:suppressLineNumbers w:val="0"/>
        <w:spacing w:before="0" w:beforeAutospacing="0" w:after="0" w:afterAutospacing="0" w:line="560" w:lineRule="atLeast"/>
        <w:ind w:left="0" w:firstLine="640"/>
      </w:pPr>
      <w:r>
        <w:rPr>
          <w:rFonts w:hint="default" w:ascii="Times New Roman" w:hAnsi="Times New Roman" w:cs="Times New Roman"/>
          <w:sz w:val="32"/>
          <w:szCs w:val="32"/>
        </w:rPr>
        <w:t>1.</w:t>
      </w:r>
      <w:r>
        <w:rPr>
          <w:rFonts w:ascii="方正楷体_GBK" w:hAnsi="方正楷体_GBK" w:eastAsia="方正楷体_GBK" w:cs="方正楷体_GBK"/>
          <w:sz w:val="32"/>
          <w:szCs w:val="32"/>
        </w:rPr>
        <w:t>种子领域：重点检查时间段</w:t>
      </w:r>
      <w:r>
        <w:rPr>
          <w:rFonts w:hint="default" w:ascii="Times New Roman" w:hAnsi="Times New Roman" w:cs="Times New Roman"/>
          <w:sz w:val="32"/>
          <w:szCs w:val="32"/>
        </w:rPr>
        <w:t>1-4</w:t>
      </w:r>
      <w:r>
        <w:rPr>
          <w:rFonts w:ascii="方正仿宋_GBK" w:hAnsi="方正仿宋_GBK" w:eastAsia="方正仿宋_GBK" w:cs="方正仿宋_GBK"/>
          <w:sz w:val="32"/>
          <w:szCs w:val="32"/>
        </w:rPr>
        <w:t>月。检查对象：检查全区</w:t>
      </w:r>
      <w:r>
        <w:rPr>
          <w:rFonts w:hint="default" w:ascii="Times New Roman" w:hAnsi="Times New Roman" w:cs="Times New Roman"/>
          <w:sz w:val="32"/>
          <w:szCs w:val="32"/>
        </w:rPr>
        <w:t>150</w:t>
      </w:r>
      <w:r>
        <w:rPr>
          <w:rFonts w:hint="eastAsia" w:ascii="方正仿宋_GBK" w:hAnsi="方正仿宋_GBK" w:eastAsia="方正仿宋_GBK" w:cs="方正仿宋_GBK"/>
          <w:sz w:val="32"/>
          <w:szCs w:val="32"/>
        </w:rPr>
        <w:t>家种子经营门市部。重点查处范围：销售未审先推，未按规定要求备案，包装、标签不符合规定，未附有植物检疫合格证明，超生态适宜种子区域推广，侵犯植物新品种权，未建立进销台账以及销售假劣种子的违法行为。目标：慧执法在线办理一般程序种子领域案件</w:t>
      </w:r>
      <w:r>
        <w:rPr>
          <w:rFonts w:hint="default" w:ascii="Times New Roman" w:hAnsi="Times New Roman" w:cs="Times New Roman"/>
          <w:sz w:val="32"/>
          <w:szCs w:val="32"/>
        </w:rPr>
        <w:t>5</w:t>
      </w:r>
      <w:r>
        <w:rPr>
          <w:rFonts w:hint="eastAsia" w:ascii="方正仿宋_GBK" w:hAnsi="方正仿宋_GBK" w:eastAsia="方正仿宋_GBK" w:cs="方正仿宋_GBK"/>
          <w:sz w:val="32"/>
          <w:szCs w:val="32"/>
        </w:rPr>
        <w:t>件，以种业执法监管联合区种子站抽检水稻、玉米、蔬菜种子</w:t>
      </w:r>
      <w:r>
        <w:rPr>
          <w:rFonts w:hint="default" w:ascii="Times New Roman" w:hAnsi="Times New Roman" w:cs="Times New Roman"/>
          <w:sz w:val="32"/>
          <w:szCs w:val="32"/>
        </w:rPr>
        <w:t>10</w:t>
      </w:r>
      <w:r>
        <w:rPr>
          <w:rFonts w:hint="eastAsia" w:ascii="方正仿宋_GBK" w:hAnsi="方正仿宋_GBK" w:eastAsia="方正仿宋_GBK" w:cs="方正仿宋_GBK"/>
          <w:sz w:val="32"/>
          <w:szCs w:val="32"/>
        </w:rPr>
        <w:t>个样品，净化种子市场确保农民购好种、放心种。</w:t>
      </w:r>
    </w:p>
    <w:p w14:paraId="247C9BB6">
      <w:pPr>
        <w:pStyle w:val="2"/>
        <w:keepNext w:val="0"/>
        <w:keepLines w:val="0"/>
        <w:widowControl/>
        <w:suppressLineNumbers w:val="0"/>
        <w:spacing w:before="0" w:beforeAutospacing="0" w:after="0" w:afterAutospacing="0" w:line="560" w:lineRule="atLeast"/>
        <w:ind w:left="0" w:firstLine="640"/>
      </w:pPr>
      <w:r>
        <w:rPr>
          <w:rFonts w:hint="default" w:ascii="Times New Roman" w:hAnsi="Times New Roman" w:cs="Times New Roman"/>
          <w:sz w:val="32"/>
          <w:szCs w:val="32"/>
        </w:rPr>
        <w:t>2.</w:t>
      </w:r>
      <w:r>
        <w:rPr>
          <w:rFonts w:hint="eastAsia" w:ascii="方正楷体_GBK" w:hAnsi="方正楷体_GBK" w:eastAsia="方正楷体_GBK" w:cs="方正楷体_GBK"/>
          <w:sz w:val="32"/>
          <w:szCs w:val="32"/>
        </w:rPr>
        <w:t>农药领域：重点检查时间段</w:t>
      </w:r>
      <w:r>
        <w:rPr>
          <w:rFonts w:hint="default" w:ascii="Times New Roman" w:hAnsi="Times New Roman" w:cs="Times New Roman"/>
          <w:sz w:val="32"/>
          <w:szCs w:val="32"/>
        </w:rPr>
        <w:t>4-10</w:t>
      </w:r>
      <w:r>
        <w:rPr>
          <w:rFonts w:hint="eastAsia" w:ascii="方正仿宋_GBK" w:hAnsi="方正仿宋_GBK" w:eastAsia="方正仿宋_GBK" w:cs="方正仿宋_GBK"/>
          <w:sz w:val="32"/>
          <w:szCs w:val="32"/>
        </w:rPr>
        <w:t>月。检查对象：检查全区</w:t>
      </w:r>
      <w:r>
        <w:rPr>
          <w:rFonts w:hint="default" w:ascii="Times New Roman" w:hAnsi="Times New Roman" w:cs="Times New Roman"/>
          <w:sz w:val="32"/>
          <w:szCs w:val="32"/>
        </w:rPr>
        <w:t>126</w:t>
      </w:r>
      <w:r>
        <w:rPr>
          <w:rFonts w:hint="eastAsia" w:ascii="方正仿宋_GBK" w:hAnsi="方正仿宋_GBK" w:eastAsia="方正仿宋_GBK" w:cs="方正仿宋_GBK"/>
          <w:sz w:val="32"/>
          <w:szCs w:val="32"/>
        </w:rPr>
        <w:t>家农药经营门市部和仓库以及农产品生产基地。重点查处范围：无农药经营许可证经营销售农药、取得农药经营许可证的农药经营者不再符合规定条件继续经营农药、超范围经营限制使用农药</w:t>
      </w:r>
      <w:bookmarkStart w:id="0" w:name="_GoBack"/>
      <w:bookmarkEnd w:id="0"/>
      <w:r>
        <w:rPr>
          <w:rFonts w:hint="eastAsia" w:ascii="方正仿宋_GBK" w:hAnsi="方正仿宋_GBK" w:eastAsia="方正仿宋_GBK" w:cs="方正仿宋_GBK"/>
          <w:sz w:val="32"/>
          <w:szCs w:val="32"/>
        </w:rPr>
        <w:t>、经营禁用农药、经营假劣农药、未建立进销台账以及农产品生产基地超范围使用农药和违规使用禁限农药。目标：联合市场监管局双随机抽查</w:t>
      </w:r>
      <w:r>
        <w:rPr>
          <w:rFonts w:hint="default" w:ascii="Times New Roman" w:hAnsi="Times New Roman" w:cs="Times New Roman"/>
          <w:sz w:val="32"/>
          <w:szCs w:val="32"/>
        </w:rPr>
        <w:t>10</w:t>
      </w:r>
      <w:r>
        <w:rPr>
          <w:rFonts w:hint="eastAsia" w:ascii="方正仿宋_GBK" w:hAnsi="方正仿宋_GBK" w:eastAsia="方正仿宋_GBK" w:cs="方正仿宋_GBK"/>
          <w:sz w:val="32"/>
          <w:szCs w:val="32"/>
        </w:rPr>
        <w:t>农药经营门市，慧执法在线办理一般程序农药领域案件</w:t>
      </w:r>
      <w:r>
        <w:rPr>
          <w:rFonts w:hint="default" w:ascii="Times New Roman" w:hAnsi="Times New Roman" w:cs="Times New Roman"/>
          <w:sz w:val="32"/>
          <w:szCs w:val="32"/>
        </w:rPr>
        <w:t>15</w:t>
      </w:r>
      <w:r>
        <w:rPr>
          <w:rFonts w:hint="eastAsia" w:ascii="方正仿宋_GBK" w:hAnsi="方正仿宋_GBK" w:eastAsia="方正仿宋_GBK" w:cs="方正仿宋_GBK"/>
          <w:sz w:val="32"/>
          <w:szCs w:val="32"/>
        </w:rPr>
        <w:t>件，接洽市农药检定所抽检农药</w:t>
      </w:r>
      <w:r>
        <w:rPr>
          <w:rFonts w:hint="default" w:ascii="Times New Roman" w:hAnsi="Times New Roman" w:cs="Times New Roman"/>
          <w:sz w:val="32"/>
          <w:szCs w:val="32"/>
        </w:rPr>
        <w:t>40</w:t>
      </w:r>
      <w:r>
        <w:rPr>
          <w:rFonts w:hint="eastAsia" w:ascii="方正仿宋_GBK" w:hAnsi="方正仿宋_GBK" w:eastAsia="方正仿宋_GBK" w:cs="方正仿宋_GBK"/>
          <w:sz w:val="32"/>
          <w:szCs w:val="32"/>
        </w:rPr>
        <w:t>个。确保无农药安全事故发生。</w:t>
      </w:r>
    </w:p>
    <w:p w14:paraId="1FD20C94">
      <w:pPr>
        <w:pStyle w:val="2"/>
        <w:keepNext w:val="0"/>
        <w:keepLines w:val="0"/>
        <w:widowControl/>
        <w:suppressLineNumbers w:val="0"/>
        <w:spacing w:before="0" w:beforeAutospacing="0" w:after="0" w:afterAutospacing="0" w:line="560" w:lineRule="atLeast"/>
        <w:ind w:left="0" w:firstLine="640"/>
      </w:pPr>
      <w:r>
        <w:rPr>
          <w:rFonts w:hint="default" w:ascii="Times New Roman" w:hAnsi="Times New Roman" w:cs="Times New Roman"/>
          <w:sz w:val="32"/>
          <w:szCs w:val="32"/>
        </w:rPr>
        <w:t>3.</w:t>
      </w:r>
      <w:r>
        <w:rPr>
          <w:rFonts w:hint="eastAsia" w:ascii="方正楷体_GBK" w:hAnsi="方正楷体_GBK" w:eastAsia="方正楷体_GBK" w:cs="方正楷体_GBK"/>
          <w:sz w:val="32"/>
          <w:szCs w:val="32"/>
        </w:rPr>
        <w:t>农产品质量安全。重点检查时间段</w:t>
      </w:r>
      <w:r>
        <w:rPr>
          <w:rFonts w:hint="eastAsia" w:ascii="方正仿宋_GBK" w:hAnsi="方正仿宋_GBK" w:eastAsia="方正仿宋_GBK" w:cs="方正仿宋_GBK"/>
          <w:sz w:val="32"/>
          <w:szCs w:val="32"/>
        </w:rPr>
        <w:t>全年尤以春节、两会、中秋国庆等节点。检查对象：蔬菜、水果种植业大户、种粮大户、家庭农场、专业合作社、农产品加工企业以及城郊结合部以种养业散户。重点查处范围：未按规定使用农药、未建立农产品生产记录、未按要求出具农产品达标合格证、农药残留超标等违法行为。目标：以渝农发〔</w:t>
      </w:r>
      <w:r>
        <w:rPr>
          <w:rFonts w:hint="default" w:ascii="Times New Roman" w:hAnsi="Times New Roman" w:cs="Times New Roman"/>
          <w:sz w:val="32"/>
          <w:szCs w:val="32"/>
        </w:rPr>
        <w:t>2023</w:t>
      </w:r>
      <w:r>
        <w:rPr>
          <w:rFonts w:hint="eastAsia" w:ascii="方正仿宋_GBK" w:hAnsi="方正仿宋_GBK" w:eastAsia="方正仿宋_GBK" w:cs="方正仿宋_GBK"/>
          <w:sz w:val="32"/>
          <w:szCs w:val="32"/>
        </w:rPr>
        <w:t>〕</w:t>
      </w:r>
      <w:r>
        <w:rPr>
          <w:rFonts w:hint="default" w:ascii="Times New Roman" w:hAnsi="Times New Roman" w:cs="Times New Roman"/>
          <w:sz w:val="32"/>
          <w:szCs w:val="32"/>
        </w:rPr>
        <w:t>15</w:t>
      </w:r>
      <w:r>
        <w:rPr>
          <w:rFonts w:hint="eastAsia" w:ascii="方正仿宋_GBK" w:hAnsi="方正仿宋_GBK" w:eastAsia="方正仿宋_GBK" w:cs="方正仿宋_GBK"/>
          <w:sz w:val="32"/>
          <w:szCs w:val="32"/>
        </w:rPr>
        <w:t>号的监督抽检任务</w:t>
      </w:r>
      <w:r>
        <w:rPr>
          <w:rFonts w:hint="default" w:ascii="Times New Roman" w:hAnsi="Times New Roman" w:cs="Times New Roman"/>
          <w:sz w:val="32"/>
          <w:szCs w:val="32"/>
        </w:rPr>
        <w:t>82</w:t>
      </w:r>
      <w:r>
        <w:rPr>
          <w:rFonts w:hint="eastAsia" w:ascii="方正仿宋_GBK" w:hAnsi="方正仿宋_GBK" w:eastAsia="方正仿宋_GBK" w:cs="方正仿宋_GBK"/>
          <w:sz w:val="32"/>
          <w:szCs w:val="32"/>
        </w:rPr>
        <w:t>个目标导向，有针对性的筛查抽样慧执法在线办理一般程序农产品质量安全案</w:t>
      </w:r>
      <w:r>
        <w:rPr>
          <w:rFonts w:hint="default" w:ascii="Times New Roman" w:hAnsi="Times New Roman" w:cs="Times New Roman"/>
          <w:sz w:val="32"/>
          <w:szCs w:val="32"/>
        </w:rPr>
        <w:t>2</w:t>
      </w:r>
      <w:r>
        <w:rPr>
          <w:rFonts w:hint="eastAsia" w:ascii="方正仿宋_GBK" w:hAnsi="方正仿宋_GBK" w:eastAsia="方正仿宋_GBK" w:cs="方正仿宋_GBK"/>
          <w:sz w:val="32"/>
          <w:szCs w:val="32"/>
        </w:rPr>
        <w:t>件，保障舌尖上的安全。</w:t>
      </w:r>
    </w:p>
    <w:p w14:paraId="0000C3FC">
      <w:pPr>
        <w:pStyle w:val="2"/>
        <w:keepNext w:val="0"/>
        <w:keepLines w:val="0"/>
        <w:widowControl/>
        <w:suppressLineNumbers w:val="0"/>
        <w:spacing w:before="0" w:beforeAutospacing="0" w:after="0" w:afterAutospacing="0" w:line="560" w:lineRule="atLeast"/>
        <w:ind w:left="0" w:firstLine="640"/>
      </w:pPr>
      <w:r>
        <w:rPr>
          <w:rFonts w:hint="default" w:ascii="Times New Roman" w:hAnsi="Times New Roman" w:cs="Times New Roman"/>
          <w:sz w:val="32"/>
          <w:szCs w:val="32"/>
        </w:rPr>
        <w:t>4.</w:t>
      </w:r>
      <w:r>
        <w:rPr>
          <w:rFonts w:hint="eastAsia" w:ascii="方正楷体_GBK" w:hAnsi="方正楷体_GBK" w:eastAsia="方正楷体_GBK" w:cs="方正楷体_GBK"/>
          <w:sz w:val="32"/>
          <w:szCs w:val="32"/>
        </w:rPr>
        <w:t>肥料领域：重点检查时间段</w:t>
      </w:r>
      <w:r>
        <w:rPr>
          <w:rFonts w:hint="default" w:ascii="Times New Roman" w:hAnsi="Times New Roman" w:cs="Times New Roman"/>
          <w:sz w:val="32"/>
          <w:szCs w:val="32"/>
        </w:rPr>
        <w:t>1-8</w:t>
      </w:r>
      <w:r>
        <w:rPr>
          <w:rFonts w:hint="eastAsia" w:ascii="方正楷体_GBK" w:hAnsi="方正楷体_GBK" w:eastAsia="方正楷体_GBK" w:cs="方正楷体_GBK"/>
          <w:sz w:val="32"/>
          <w:szCs w:val="32"/>
        </w:rPr>
        <w:t>月</w:t>
      </w:r>
      <w:r>
        <w:rPr>
          <w:rFonts w:hint="eastAsia" w:ascii="方正仿宋_GBK" w:hAnsi="方正仿宋_GBK" w:eastAsia="方正仿宋_GBK" w:cs="方正仿宋_GBK"/>
          <w:sz w:val="32"/>
          <w:szCs w:val="32"/>
        </w:rPr>
        <w:t>。检查对象：以丰彩多、秸换宝</w:t>
      </w:r>
      <w:r>
        <w:rPr>
          <w:rFonts w:hint="default" w:ascii="Times New Roman" w:hAnsi="Times New Roman" w:cs="Times New Roman"/>
          <w:sz w:val="32"/>
          <w:szCs w:val="32"/>
        </w:rPr>
        <w:t>2</w:t>
      </w:r>
      <w:r>
        <w:rPr>
          <w:rFonts w:hint="eastAsia" w:ascii="方正仿宋_GBK" w:hAnsi="方正仿宋_GBK" w:eastAsia="方正仿宋_GBK" w:cs="方正仿宋_GBK"/>
          <w:sz w:val="32"/>
          <w:szCs w:val="32"/>
        </w:rPr>
        <w:t>家有机肥生产厂家和重庆农资集团、彭丰农资为载体的全区肥料经营户。重点查处范围：销售肥料未登记、假劣肥料等。</w:t>
      </w:r>
    </w:p>
    <w:p w14:paraId="43C2CB4D">
      <w:pPr>
        <w:pStyle w:val="2"/>
        <w:keepNext w:val="0"/>
        <w:keepLines w:val="0"/>
        <w:widowControl/>
        <w:suppressLineNumbers w:val="0"/>
        <w:spacing w:before="0" w:beforeAutospacing="0" w:after="0" w:afterAutospacing="0" w:line="560" w:lineRule="atLeast"/>
      </w:pPr>
      <w:r>
        <w:rPr>
          <w:rFonts w:hint="eastAsia" w:ascii="方正仿宋_GBK" w:hAnsi="方正仿宋_GBK" w:eastAsia="方正仿宋_GBK" w:cs="方正仿宋_GBK"/>
          <w:sz w:val="32"/>
          <w:szCs w:val="32"/>
        </w:rPr>
        <w:t>目标：以走街串户、游走乡间、农资下乡、送货上门等忽悠团伙销售肥料为突破口，慧执法在线办理一般程序肥料</w:t>
      </w:r>
      <w:r>
        <w:rPr>
          <w:rFonts w:hint="default" w:ascii="Times New Roman" w:hAnsi="Times New Roman" w:cs="Times New Roman"/>
          <w:sz w:val="32"/>
          <w:szCs w:val="32"/>
        </w:rPr>
        <w:t>2</w:t>
      </w:r>
      <w:r>
        <w:rPr>
          <w:rFonts w:hint="eastAsia" w:ascii="方正仿宋_GBK" w:hAnsi="方正仿宋_GBK" w:eastAsia="方正仿宋_GBK" w:cs="方正仿宋_GBK"/>
          <w:sz w:val="32"/>
          <w:szCs w:val="32"/>
        </w:rPr>
        <w:t>件维护肥料销售市场次序。</w:t>
      </w:r>
    </w:p>
    <w:p w14:paraId="295B20A9">
      <w:pPr>
        <w:pStyle w:val="2"/>
        <w:keepNext w:val="0"/>
        <w:keepLines w:val="0"/>
        <w:widowControl/>
        <w:suppressLineNumbers w:val="0"/>
        <w:spacing w:before="0" w:beforeAutospacing="0" w:after="0" w:afterAutospacing="0" w:line="560" w:lineRule="atLeast"/>
        <w:ind w:left="0" w:firstLine="640"/>
      </w:pPr>
      <w:r>
        <w:rPr>
          <w:rFonts w:hint="default" w:ascii="Times New Roman" w:hAnsi="Times New Roman" w:cs="Times New Roman"/>
          <w:sz w:val="32"/>
          <w:szCs w:val="32"/>
        </w:rPr>
        <w:t>5.</w:t>
      </w:r>
      <w:r>
        <w:rPr>
          <w:rFonts w:hint="eastAsia" w:ascii="方正楷体_GBK" w:hAnsi="方正楷体_GBK" w:eastAsia="方正楷体_GBK" w:cs="方正楷体_GBK"/>
          <w:sz w:val="32"/>
          <w:szCs w:val="32"/>
        </w:rPr>
        <w:t>秸秆焚烧领域：重点检查时间段以冬春、夏秋森林防火期和</w:t>
      </w:r>
      <w:r>
        <w:rPr>
          <w:rFonts w:hint="default" w:ascii="Times New Roman" w:hAnsi="Times New Roman" w:cs="Times New Roman"/>
          <w:sz w:val="32"/>
          <w:szCs w:val="32"/>
        </w:rPr>
        <w:t>11-</w:t>
      </w:r>
      <w:r>
        <w:rPr>
          <w:rFonts w:hint="eastAsia" w:ascii="方正楷体_GBK" w:hAnsi="方正楷体_GBK" w:eastAsia="方正楷体_GBK" w:cs="方正楷体_GBK"/>
          <w:sz w:val="32"/>
          <w:szCs w:val="32"/>
        </w:rPr>
        <w:t>次年</w:t>
      </w:r>
      <w:r>
        <w:rPr>
          <w:rFonts w:hint="default" w:ascii="Times New Roman" w:hAnsi="Times New Roman" w:cs="Times New Roman"/>
          <w:sz w:val="32"/>
          <w:szCs w:val="32"/>
        </w:rPr>
        <w:t>3</w:t>
      </w:r>
      <w:r>
        <w:rPr>
          <w:rFonts w:hint="eastAsia" w:ascii="方正楷体_GBK" w:hAnsi="方正楷体_GBK" w:eastAsia="方正楷体_GBK" w:cs="方正楷体_GBK"/>
          <w:sz w:val="32"/>
          <w:szCs w:val="32"/>
        </w:rPr>
        <w:t>月的冬春大气污染防治攻坚期。</w:t>
      </w:r>
      <w:r>
        <w:rPr>
          <w:rFonts w:hint="eastAsia" w:ascii="方正仿宋_GBK" w:hAnsi="方正仿宋_GBK" w:eastAsia="方正仿宋_GBK" w:cs="方正仿宋_GBK"/>
          <w:sz w:val="32"/>
          <w:szCs w:val="32"/>
        </w:rPr>
        <w:t>检查对象：以集中连片的油菜、玉米、水稻为种植区域种植业主。重点查处范围：在高森林防火期，空气污染防治攻坚期，高速路、铁路、机场沿线、人口集镇密集区拒不责令整改的秸秆焚烧行为。目标：以秸秆焚烧委托执法下放乡镇街道为契机，采取集中培训和定期指导乡镇执法人员办理秸秆焚烧行政执法业务。</w:t>
      </w:r>
    </w:p>
    <w:p w14:paraId="7184640A">
      <w:pPr>
        <w:pStyle w:val="2"/>
        <w:keepNext w:val="0"/>
        <w:keepLines w:val="0"/>
        <w:widowControl/>
        <w:suppressLineNumbers w:val="0"/>
        <w:spacing w:before="0" w:beforeAutospacing="0" w:after="0" w:afterAutospacing="0" w:line="560" w:lineRule="atLeast"/>
        <w:ind w:left="0" w:firstLine="640"/>
      </w:pPr>
      <w:r>
        <w:rPr>
          <w:rFonts w:hint="eastAsia" w:ascii="方正黑体_GBK" w:hAnsi="方正黑体_GBK" w:eastAsia="方正黑体_GBK" w:cs="方正黑体_GBK"/>
          <w:sz w:val="32"/>
          <w:szCs w:val="32"/>
        </w:rPr>
        <w:t>二、工作要求</w:t>
      </w:r>
    </w:p>
    <w:p w14:paraId="663BD3DA">
      <w:pPr>
        <w:pStyle w:val="2"/>
        <w:keepNext w:val="0"/>
        <w:keepLines w:val="0"/>
        <w:widowControl/>
        <w:suppressLineNumbers w:val="0"/>
        <w:spacing w:before="0" w:beforeAutospacing="0" w:after="0" w:afterAutospacing="0" w:line="560" w:lineRule="atLeast"/>
        <w:ind w:left="0" w:firstLine="627"/>
      </w:pPr>
      <w:r>
        <w:rPr>
          <w:rFonts w:hint="eastAsia" w:ascii="方正楷体_GBK" w:hAnsi="方正楷体_GBK" w:eastAsia="方正楷体_GBK" w:cs="方正楷体_GBK"/>
          <w:sz w:val="32"/>
          <w:szCs w:val="32"/>
        </w:rPr>
        <w:t>（一）严格依法行政，规范执法行为。</w:t>
      </w:r>
      <w:r>
        <w:rPr>
          <w:rFonts w:hint="eastAsia" w:ascii="方正仿宋_GBK" w:hAnsi="方正仿宋_GBK" w:eastAsia="方正仿宋_GBK" w:cs="方正仿宋_GBK"/>
          <w:sz w:val="32"/>
          <w:szCs w:val="32"/>
        </w:rPr>
        <w:t>依据《中华人民共和国行政处罚法》《农业行政处罚程序规定》以及《种子法》《中华人民共和国农产品质量安全法》《农药管理条例》等法律、法规，按照</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双随机</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工作要求，确保查处案件事实认定符合客观真相、办案结果符合实体公正、办案过程符合程序公正。</w:t>
      </w:r>
    </w:p>
    <w:p w14:paraId="23CEEA96">
      <w:pPr>
        <w:pStyle w:val="2"/>
        <w:keepNext w:val="0"/>
        <w:keepLines w:val="0"/>
        <w:widowControl/>
        <w:suppressLineNumbers w:val="0"/>
        <w:spacing w:before="0" w:beforeAutospacing="0" w:after="0" w:afterAutospacing="0" w:line="560" w:lineRule="atLeast"/>
        <w:ind w:left="0" w:firstLine="627"/>
      </w:pPr>
      <w:r>
        <w:rPr>
          <w:rFonts w:hint="eastAsia" w:ascii="方正楷体_GBK" w:hAnsi="方正楷体_GBK" w:eastAsia="方正楷体_GBK" w:cs="方正楷体_GBK"/>
          <w:sz w:val="32"/>
          <w:szCs w:val="32"/>
        </w:rPr>
        <w:t>（二）严守管辖权限，规范移送行为。</w:t>
      </w:r>
      <w:r>
        <w:rPr>
          <w:rFonts w:hint="eastAsia" w:ascii="方正仿宋_GBK" w:hAnsi="方正仿宋_GBK" w:eastAsia="方正仿宋_GBK" w:cs="方正仿宋_GBK"/>
          <w:sz w:val="32"/>
          <w:szCs w:val="32"/>
        </w:rPr>
        <w:t>发现不属于农业部门管辖的违法行为，应及时移送有权管辖的部门处理；违法行为涉嫌犯罪的，应移送公安机关处理，严禁越权管辖或以罚代刑。</w:t>
      </w:r>
    </w:p>
    <w:p w14:paraId="2CBBC3DD">
      <w:pPr>
        <w:pStyle w:val="2"/>
        <w:keepNext w:val="0"/>
        <w:keepLines w:val="0"/>
        <w:widowControl/>
        <w:suppressLineNumbers w:val="0"/>
        <w:spacing w:before="0" w:beforeAutospacing="0" w:after="0" w:afterAutospacing="0" w:line="560" w:lineRule="atLeast"/>
        <w:ind w:left="0" w:firstLine="627"/>
      </w:pPr>
      <w:r>
        <w:rPr>
          <w:rFonts w:hint="eastAsia" w:ascii="方正楷体_GBK" w:hAnsi="方正楷体_GBK" w:eastAsia="方正楷体_GBK" w:cs="方正楷体_GBK"/>
          <w:sz w:val="32"/>
          <w:szCs w:val="32"/>
        </w:rPr>
        <w:t>（三）查办典型案件，发挥执法效能。</w:t>
      </w:r>
      <w:r>
        <w:rPr>
          <w:rFonts w:hint="eastAsia" w:ascii="方正仿宋_GBK" w:hAnsi="方正仿宋_GBK" w:eastAsia="方正仿宋_GBK" w:cs="方正仿宋_GBK"/>
          <w:sz w:val="32"/>
          <w:szCs w:val="32"/>
        </w:rPr>
        <w:t>充分运用法律武器，做到有案必查、违法必究，对农业投入品违法行为打击要精准，对查办的典型案件，组织新闻媒体进行曝光，形成强大舆论氛围，起到震慑和教育作用。</w:t>
      </w:r>
    </w:p>
    <w:p w14:paraId="00CF3D84">
      <w:pPr>
        <w:pStyle w:val="2"/>
        <w:keepNext w:val="0"/>
        <w:keepLines w:val="0"/>
        <w:widowControl/>
        <w:suppressLineNumbers w:val="0"/>
        <w:spacing w:before="0" w:beforeAutospacing="0" w:after="0" w:afterAutospacing="0" w:line="560" w:lineRule="atLeast"/>
        <w:ind w:left="0" w:firstLine="627"/>
      </w:pPr>
      <w:r>
        <w:rPr>
          <w:rFonts w:hint="eastAsia" w:ascii="方正楷体_GBK" w:hAnsi="方正楷体_GBK" w:eastAsia="方正楷体_GBK" w:cs="方正楷体_GBK"/>
          <w:sz w:val="32"/>
          <w:szCs w:val="32"/>
        </w:rPr>
        <w:t>（四）严格执行法律法规规定，遵守中央八项规定。</w:t>
      </w:r>
      <w:r>
        <w:rPr>
          <w:rFonts w:hint="eastAsia" w:ascii="方正仿宋_GBK" w:hAnsi="方正仿宋_GBK" w:eastAsia="方正仿宋_GBK" w:cs="方正仿宋_GBK"/>
          <w:sz w:val="32"/>
          <w:szCs w:val="32"/>
        </w:rPr>
        <w:t>始终做到忠于职守、坚持原则，严格、公正、廉洁、文明执法，努力维护好农业行政执法权威地位和队伍的良好形象。</w:t>
      </w:r>
    </w:p>
    <w:p w14:paraId="080E4270"/>
    <w:p w14:paraId="3058F4B3"/>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yMGNkYmM3NmE4YmQwZmEzODFhMWMwOTExYWFkMTcifQ=="/>
  </w:docVars>
  <w:rsids>
    <w:rsidRoot w:val="00000000"/>
    <w:rsid w:val="26E96A91"/>
    <w:rsid w:val="58287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1374</Words>
  <Characters>1404</Characters>
  <Lines>0</Lines>
  <Paragraphs>0</Paragraphs>
  <TotalTime>0</TotalTime>
  <ScaleCrop>false</ScaleCrop>
  <LinksUpToDate>false</LinksUpToDate>
  <CharactersWithSpaces>1404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2023-05-17T01:38:00Z</dcterms:created>
  <dc:creator>User</dc:creator>
  <cp:lastModifiedBy>。</cp:lastModifiedBy>
  <dcterms:modified xsi:type="dcterms:W3CDTF">2026-08-21T07:02:44Z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B1A03A7C968E4AD099BB1BD77AAE2E81_12</vt:lpwstr>
  </property>
  <property fmtid="{D5CDD505-2E9C-101B-9397-08002B2CF9AE}" pid="4" name="KSOTemplateDocerSaveRecord">
    <vt:lpwstr>eyJoZGlkIjoiZjYxY2RmZWJmOGNiNThkMmRiNDQyOGM2Njc3ODdiMDgiLCJ1c2VySWQiOiI1Njg4ODA4OTMifQ==</vt:lpwstr>
  </property>
</Properties>
</file>