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黔江区贯彻落实《重庆市知识产权强市建设纲要》工作方案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深入贯彻习近平总书记关于知识产权工作的重要指示精神，认真落实党中央、国务院和市委、市政府关于加强知识产权工作的决策部署，推进知识产权强区建设，根据《重庆市知识产权强市建设纲要》和《重庆市知识产权保护和运用“十四五”规划（2021—2025年）》，结合我区实际，特制定本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以习近平新时代中国特色社会主义思想为指导，立足新发展阶段，完整、准确、全面贯彻新发展理念，积极融入和服务新发展格局，以激励创造、严格保护、有效运用知识产权为重点，全面提升知识产权创造</w:t>
      </w:r>
      <w:r>
        <w:rPr>
          <w:rFonts w:hint="eastAsia" w:ascii="方正仿宋_GBK" w:hAnsi="方正仿宋_GBK" w:eastAsia="方正仿宋_GBK" w:cs="方正仿宋_GBK"/>
          <w:sz w:val="32"/>
          <w:szCs w:val="32"/>
          <w:lang w:val="en-US" w:eastAsia="zh-CN"/>
        </w:rPr>
        <w:t>质量</w:t>
      </w:r>
      <w:r>
        <w:rPr>
          <w:rFonts w:hint="eastAsia" w:ascii="方正仿宋_GBK" w:hAnsi="方正仿宋_GBK" w:eastAsia="方正仿宋_GBK" w:cs="方正仿宋_GBK"/>
          <w:sz w:val="32"/>
          <w:szCs w:val="32"/>
        </w:rPr>
        <w:t>、保护</w:t>
      </w:r>
      <w:r>
        <w:rPr>
          <w:rFonts w:hint="eastAsia" w:ascii="方正仿宋_GBK" w:hAnsi="方正仿宋_GBK" w:eastAsia="方正仿宋_GBK" w:cs="方正仿宋_GBK"/>
          <w:sz w:val="32"/>
          <w:szCs w:val="32"/>
          <w:lang w:val="en-US" w:eastAsia="zh-CN"/>
        </w:rPr>
        <w:t>效果</w:t>
      </w:r>
      <w:r>
        <w:rPr>
          <w:rFonts w:hint="eastAsia" w:ascii="方正仿宋_GBK" w:hAnsi="方正仿宋_GBK" w:eastAsia="方正仿宋_GBK" w:cs="方正仿宋_GBK"/>
          <w:sz w:val="32"/>
          <w:szCs w:val="32"/>
        </w:rPr>
        <w:t>、运用</w:t>
      </w:r>
      <w:r>
        <w:rPr>
          <w:rFonts w:hint="eastAsia" w:ascii="方正仿宋_GBK" w:hAnsi="方正仿宋_GBK" w:eastAsia="方正仿宋_GBK" w:cs="方正仿宋_GBK"/>
          <w:sz w:val="32"/>
          <w:szCs w:val="32"/>
          <w:lang w:val="en-US" w:eastAsia="zh-CN"/>
        </w:rPr>
        <w:t>效益</w:t>
      </w:r>
      <w:r>
        <w:rPr>
          <w:rFonts w:hint="eastAsia" w:ascii="方正仿宋_GBK" w:hAnsi="方正仿宋_GBK" w:eastAsia="方正仿宋_GBK" w:cs="方正仿宋_GBK"/>
          <w:sz w:val="32"/>
          <w:szCs w:val="32"/>
        </w:rPr>
        <w:t>、管理</w:t>
      </w:r>
      <w:r>
        <w:rPr>
          <w:rFonts w:hint="eastAsia" w:ascii="方正仿宋_GBK" w:hAnsi="方正仿宋_GBK" w:eastAsia="方正仿宋_GBK" w:cs="方正仿宋_GBK"/>
          <w:sz w:val="32"/>
          <w:szCs w:val="32"/>
          <w:lang w:val="en-US" w:eastAsia="zh-CN"/>
        </w:rPr>
        <w:t>水平</w:t>
      </w:r>
      <w:r>
        <w:rPr>
          <w:rFonts w:hint="eastAsia" w:ascii="方正仿宋_GBK" w:hAnsi="方正仿宋_GBK" w:eastAsia="方正仿宋_GBK" w:cs="方正仿宋_GBK"/>
          <w:sz w:val="32"/>
          <w:szCs w:val="32"/>
        </w:rPr>
        <w:t>和服务</w:t>
      </w:r>
      <w:r>
        <w:rPr>
          <w:rFonts w:hint="eastAsia" w:ascii="方正仿宋_GBK" w:hAnsi="方正仿宋_GBK" w:eastAsia="方正仿宋_GBK" w:cs="方正仿宋_GBK"/>
          <w:sz w:val="32"/>
          <w:szCs w:val="32"/>
          <w:lang w:val="en-US" w:eastAsia="zh-CN"/>
        </w:rPr>
        <w:t>能力</w:t>
      </w:r>
      <w:r>
        <w:rPr>
          <w:rFonts w:hint="eastAsia" w:ascii="方正仿宋_GBK" w:hAnsi="方正仿宋_GBK" w:eastAsia="方正仿宋_GBK" w:cs="方正仿宋_GBK"/>
          <w:sz w:val="32"/>
          <w:szCs w:val="32"/>
        </w:rPr>
        <w:t>，更大激发市场活力和社会创造力，</w:t>
      </w:r>
      <w:r>
        <w:rPr>
          <w:rFonts w:hint="eastAsia" w:ascii="方正仿宋_GBK" w:hAnsi="方正仿宋_GBK" w:eastAsia="方正仿宋_GBK" w:cs="方正仿宋_GBK"/>
          <w:sz w:val="32"/>
          <w:szCs w:val="32"/>
          <w:lang w:val="en-US" w:eastAsia="zh-CN"/>
        </w:rPr>
        <w:t>为加快建设渝东南区域中心城市提供强有力的知识产权支撑。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发展目标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到2025年，知识产权制度对优化营商环境、激励创新创业的支撑作用进一步发挥。知识产权强</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建设取得</w:t>
      </w:r>
      <w:r>
        <w:rPr>
          <w:rFonts w:hint="eastAsia" w:ascii="方正仿宋_GBK" w:hAnsi="方正仿宋_GBK" w:eastAsia="方正仿宋_GBK" w:cs="方正仿宋_GBK"/>
          <w:sz w:val="32"/>
          <w:szCs w:val="32"/>
          <w:lang w:val="en-US" w:eastAsia="zh-CN"/>
        </w:rPr>
        <w:t>重要进展</w:t>
      </w:r>
      <w:r>
        <w:rPr>
          <w:rFonts w:hint="eastAsia" w:ascii="方正仿宋_GBK" w:hAnsi="方正仿宋_GBK" w:eastAsia="方正仿宋_GBK" w:cs="方正仿宋_GBK"/>
          <w:sz w:val="32"/>
          <w:szCs w:val="32"/>
        </w:rPr>
        <w:t>，创造能力更加突出，运用成效更加凸显，保护体系更加完善，管理服务更加高效，基础支撑更加夯实。每万人口发明专利拥有量</w:t>
      </w:r>
      <w:r>
        <w:rPr>
          <w:rFonts w:hint="eastAsia" w:ascii="方正仿宋_GBK" w:hAnsi="方正仿宋_GBK" w:eastAsia="方正仿宋_GBK" w:cs="方正仿宋_GBK"/>
          <w:sz w:val="32"/>
          <w:szCs w:val="32"/>
          <w:lang w:val="en-US" w:eastAsia="zh-CN"/>
        </w:rPr>
        <w:t>达到3件</w:t>
      </w:r>
      <w:r>
        <w:rPr>
          <w:rFonts w:hint="eastAsia" w:ascii="方正仿宋_GBK" w:hAnsi="方正仿宋_GBK" w:eastAsia="方正仿宋_GBK" w:cs="方正仿宋_GBK"/>
          <w:sz w:val="32"/>
          <w:szCs w:val="32"/>
        </w:rPr>
        <w:t>，每万户市场主体有效注册商标量达到</w:t>
      </w:r>
      <w:r>
        <w:rPr>
          <w:rFonts w:hint="eastAsia" w:ascii="方正仿宋_GBK" w:hAnsi="方正仿宋_GBK" w:eastAsia="方正仿宋_GBK" w:cs="方正仿宋_GBK"/>
          <w:sz w:val="32"/>
          <w:szCs w:val="32"/>
          <w:lang w:val="en-US" w:eastAsia="zh-CN"/>
        </w:rPr>
        <w:t>1200</w:t>
      </w:r>
      <w:r>
        <w:rPr>
          <w:rFonts w:hint="eastAsia" w:ascii="方正仿宋_GBK" w:hAnsi="方正仿宋_GBK" w:eastAsia="方正仿宋_GBK" w:cs="方正仿宋_GBK"/>
          <w:sz w:val="32"/>
          <w:szCs w:val="32"/>
        </w:rPr>
        <w:t>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上述指标均为预期性指标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，地理标志数量和使用地理标志专用标志的市场主体数量合理稳定增长。到2035年，</w:t>
      </w:r>
      <w:r>
        <w:rPr>
          <w:rFonts w:hint="eastAsia" w:ascii="方正仿宋_GBK" w:hAnsi="方正仿宋_GBK" w:eastAsia="方正仿宋_GBK" w:cs="方正仿宋_GBK"/>
          <w:sz w:val="32"/>
          <w:szCs w:val="32"/>
          <w:lang w:val="en-US" w:eastAsia="zh-CN"/>
        </w:rPr>
        <w:t>全区</w:t>
      </w:r>
      <w:r>
        <w:rPr>
          <w:rFonts w:hint="eastAsia" w:ascii="方正仿宋_GBK" w:hAnsi="方正仿宋_GBK" w:eastAsia="方正仿宋_GBK" w:cs="方正仿宋_GBK"/>
          <w:sz w:val="32"/>
          <w:szCs w:val="32"/>
        </w:rPr>
        <w:t>知识产权综合实力</w:t>
      </w:r>
      <w:r>
        <w:rPr>
          <w:rFonts w:hint="eastAsia" w:ascii="方正仿宋_GBK" w:hAnsi="方正仿宋_GBK" w:eastAsia="方正仿宋_GBK" w:cs="方正仿宋_GBK"/>
          <w:sz w:val="32"/>
          <w:szCs w:val="32"/>
          <w:lang w:val="en-US" w:eastAsia="zh-CN"/>
        </w:rPr>
        <w:t>明显</w:t>
      </w:r>
      <w:r>
        <w:rPr>
          <w:rFonts w:hint="eastAsia" w:ascii="方正仿宋_GBK" w:hAnsi="方正仿宋_GBK" w:eastAsia="方正仿宋_GBK" w:cs="方正仿宋_GBK"/>
          <w:sz w:val="32"/>
          <w:szCs w:val="32"/>
        </w:rPr>
        <w:t>提升，知识产权促进高质量发展作用充分发挥，知识产权文化理念深入人心，</w:t>
      </w:r>
      <w:r>
        <w:rPr>
          <w:rFonts w:hint="eastAsia" w:ascii="方正仿宋_GBK" w:hAnsi="方正仿宋_GBK" w:eastAsia="方正仿宋_GBK" w:cs="方正仿宋_GBK"/>
          <w:sz w:val="32"/>
          <w:szCs w:val="32"/>
          <w:lang w:val="en-US" w:eastAsia="zh-CN"/>
        </w:rPr>
        <w:t>逐步</w:t>
      </w:r>
      <w:r>
        <w:rPr>
          <w:rFonts w:hint="eastAsia" w:ascii="方正仿宋_GBK" w:hAnsi="方正仿宋_GBK" w:eastAsia="方正仿宋_GBK" w:cs="方正仿宋_GBK"/>
          <w:sz w:val="32"/>
          <w:szCs w:val="32"/>
        </w:rPr>
        <w:t>形成创造</w:t>
      </w:r>
      <w:r>
        <w:rPr>
          <w:rFonts w:hint="eastAsia" w:ascii="方正仿宋_GBK" w:hAnsi="方正仿宋_GBK" w:eastAsia="方正仿宋_GBK" w:cs="方正仿宋_GBK"/>
          <w:sz w:val="32"/>
          <w:szCs w:val="32"/>
          <w:lang w:val="en-US" w:eastAsia="zh-CN"/>
        </w:rPr>
        <w:t>活跃</w:t>
      </w:r>
      <w:r>
        <w:rPr>
          <w:rFonts w:hint="eastAsia" w:ascii="方正仿宋_GBK" w:hAnsi="方正仿宋_GBK" w:eastAsia="方正仿宋_GBK" w:cs="方正仿宋_GBK"/>
          <w:sz w:val="32"/>
          <w:szCs w:val="32"/>
        </w:rPr>
        <w:t>、保护严格、运用高效、服务优良的知识产权高质量发展新格局。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（一）提升知识产权管理效能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优化知识产权管理体制。持续优化管理体制机制，加强知识产权管理能力建设。落实成渝地区双城经济圈知识产权协同发展机制，积极探索更广泛的区域间合作。深度挖掘重点产业优势资源，推动全区知识产权协调发展。深入推进知识产权强区建设，争创国家地理标志产品保护示范区。探索建立专利、商标、著作权综合管理与服务机制。</w:t>
      </w:r>
      <w:r>
        <w:rPr>
          <w:rFonts w:hint="eastAsia" w:ascii="方正仿宋_GBK" w:hAnsi="方正仿宋_GBK" w:eastAsia="方正仿宋_GBK" w:cs="方正仿宋_GBK"/>
          <w:sz w:val="32"/>
          <w:szCs w:val="32"/>
        </w:rPr>
        <w:t>（责任单位：区市场监管局、区委宣传部</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健全知识产权政策体系。坚持严格保护的政策导向，构建有利于知识产权发展的政策环境。调整优化财政支持政策，加大对高价值知识产权培育、知识产权转化运用的政策激励，增强企业知识产权保护维权、转化运用能力。严格执行知识产权政策合法性和公平竞争审查机制，维护公平竞争市场环境。（责任单位：区市场监管局、区财政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（二）健全知识产权保护体系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3.强化知识产权司法保护。深入推进知识产权民事、刑事、行政案件“三合一”审判机制改革。</w:t>
      </w:r>
      <w:r>
        <w:rPr>
          <w:rFonts w:hint="eastAsia" w:ascii="方正仿宋_GBK" w:hAnsi="方正仿宋_GBK" w:eastAsia="方正仿宋_GBK" w:cs="方正仿宋_GBK"/>
          <w:sz w:val="32"/>
          <w:szCs w:val="32"/>
        </w:rPr>
        <w:t>加强知识产权法官、检察官的专业化和职业化培养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加强</w:t>
      </w:r>
      <w:r>
        <w:rPr>
          <w:rFonts w:hint="eastAsia" w:ascii="方正仿宋_GBK" w:hAnsi="方正仿宋_GBK" w:eastAsia="方正仿宋_GBK" w:cs="方正仿宋_GBK"/>
          <w:sz w:val="32"/>
          <w:szCs w:val="32"/>
        </w:rPr>
        <w:t>技术调查官队伍建设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提高案件办理质量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落实侵权惩罚性赔偿制度，加大损害赔偿力度。加大</w:t>
      </w:r>
      <w:r>
        <w:rPr>
          <w:rFonts w:hint="eastAsia" w:ascii="方正仿宋_GBK" w:hAnsi="方正仿宋_GBK" w:eastAsia="方正仿宋_GBK" w:cs="方正仿宋_GBK"/>
          <w:sz w:val="32"/>
          <w:szCs w:val="32"/>
          <w:lang w:val="en-US" w:eastAsia="zh-CN"/>
        </w:rPr>
        <w:t>对侵权假冒犯罪的</w:t>
      </w:r>
      <w:r>
        <w:rPr>
          <w:rFonts w:hint="eastAsia" w:ascii="方正仿宋_GBK" w:hAnsi="方正仿宋_GBK" w:eastAsia="方正仿宋_GBK" w:cs="方正仿宋_GBK"/>
          <w:sz w:val="32"/>
          <w:szCs w:val="32"/>
        </w:rPr>
        <w:t>刑事打击力度，严格执行侵犯知识产权犯罪案件立案追诉标准，完善知识产权犯罪侦查工作机制。健全知识产权案件检察监督机制，强化量刑建议指导和抗诉指导。</w:t>
      </w:r>
      <w:r>
        <w:rPr>
          <w:rFonts w:hint="eastAsia" w:ascii="方正仿宋_GBK" w:hAnsi="方正仿宋_GBK" w:eastAsia="方正仿宋_GBK" w:cs="方正仿宋_GBK"/>
          <w:sz w:val="32"/>
          <w:szCs w:val="32"/>
          <w:lang w:val="en-US" w:eastAsia="zh-CN"/>
        </w:rPr>
        <w:t>（责任单位：区法院、区检察院、区公安局）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4.强化知识产权行政保护。强化知识产权行政执法职能，依法行使调查权、处罚权和强制权。</w:t>
      </w:r>
      <w:r>
        <w:rPr>
          <w:rFonts w:hint="eastAsia" w:ascii="方正仿宋_GBK" w:hAnsi="方正仿宋_GBK" w:eastAsia="方正仿宋_GBK" w:cs="方正仿宋_GBK"/>
          <w:sz w:val="32"/>
          <w:szCs w:val="32"/>
        </w:rPr>
        <w:t>严格执行行政处罚裁量基准，</w:t>
      </w:r>
      <w:r>
        <w:rPr>
          <w:rFonts w:hint="eastAsia" w:ascii="方正仿宋_GBK" w:hAnsi="方正仿宋_GBK" w:eastAsia="方正仿宋_GBK" w:cs="方正仿宋_GBK"/>
          <w:sz w:val="32"/>
          <w:szCs w:val="32"/>
          <w:lang w:eastAsia="zh-CN"/>
        </w:rPr>
        <w:t>规范行政处罚</w:t>
      </w:r>
      <w:r>
        <w:rPr>
          <w:rFonts w:hint="eastAsia" w:ascii="方正仿宋_GBK" w:hAnsi="方正仿宋_GBK" w:eastAsia="方正仿宋_GBK" w:cs="方正仿宋_GBK"/>
          <w:sz w:val="32"/>
          <w:szCs w:val="32"/>
        </w:rPr>
        <w:t>执法标准和流程。</w:t>
      </w:r>
      <w:r>
        <w:rPr>
          <w:rFonts w:hint="eastAsia" w:ascii="方正仿宋_GBK" w:hAnsi="方正仿宋_GBK" w:eastAsia="方正仿宋_GBK" w:cs="方正仿宋_GBK"/>
          <w:sz w:val="32"/>
          <w:szCs w:val="32"/>
          <w:lang w:val="en-US" w:eastAsia="zh-CN"/>
        </w:rPr>
        <w:t>加强执法办案培训，提升行政执法人员专业化、职业化水平。常态化开展关键领域、重点环节、重点群体知识产权保护行政执法专项行动，对知识产权侵权假冒违法行为持续保持高压态势。强化知识产权海关保护，严厉打击进出口侵权货物违法行为。（责任单位：区市场监管局、区农业农村委、区林业局、区</w:t>
      </w:r>
      <w:r>
        <w:rPr>
          <w:rFonts w:hint="eastAsia" w:eastAsia="方正仿宋_GBK" w:cs="Times New Roman"/>
          <w:color w:val="000000"/>
          <w:kern w:val="2"/>
          <w:sz w:val="32"/>
          <w:szCs w:val="32"/>
          <w:lang w:val="en-US" w:eastAsia="zh-CN" w:bidi="ar-SA"/>
        </w:rPr>
        <w:t>文化旅游</w:t>
      </w:r>
      <w:r>
        <w:rPr>
          <w:rFonts w:hint="eastAsia" w:ascii="方正仿宋_GBK" w:hAnsi="方正仿宋_GBK" w:eastAsia="方正仿宋_GBK" w:cs="方正仿宋_GBK"/>
          <w:sz w:val="32"/>
          <w:szCs w:val="32"/>
          <w:lang w:val="en-US" w:eastAsia="zh-CN"/>
        </w:rPr>
        <w:t>委、黔江海关）</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加强知识产权协同保护。充分发挥知识产权保护联席会议制度作用，强化专利、商标、著作权、植物新品种、地理标志、商业秘密等相关知识产权管理部门协同联动，加强行政与司法等跨部门执法保护协作。整合人民调解、行业调解、商事调解、专业调解等资源，畅通知识产权纠纷诉调对接、仲调对接渠道。完善知识产权维权援助工作体系，推进维权援助进社区、进园区、进企业。加强知识产权信用监管机制，实行以信用为基础的知识产权领域分级分类监管。加强对著作权集体管理组织在黔机构的支持和监管。深化成渝地区双城经济圈和跨省区市执法保护协作。（责任单位：</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lang w:val="en-US" w:eastAsia="zh-CN"/>
        </w:rPr>
        <w:t>市场监管局、区委宣传部、区农业农村委、区林业局、区文化旅游委、区司法局、区法院、区检察院、区公安局）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开展海外知识产权保护。加强企业马德里商标注册、PCT专利申请等涉外知识产权业务指导力度。鼓励企业积极开展海外知识产权布局，协调解决企业海外布局中遇到的困难问题，加强海外知识产权纠纷应对指导。引导企业通过专利服务机构实施海外专利布局，在布局目标、环境研判、规划设计、专利分析等方面获取优质服务，提高企业海外专利布局质量。</w:t>
      </w:r>
      <w:r>
        <w:rPr>
          <w:rFonts w:hint="eastAsia" w:ascii="方正仿宋_GBK" w:hAnsi="方正仿宋_GBK" w:eastAsia="方正仿宋_GBK" w:cs="方正仿宋_GBK"/>
          <w:sz w:val="32"/>
          <w:szCs w:val="32"/>
        </w:rPr>
        <w:t>（责任单位：区市场监管局）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）促进知识产权</w:t>
      </w:r>
      <w:r>
        <w:rPr>
          <w:rFonts w:hint="eastAsia" w:ascii="方正楷体_GBK" w:hAnsi="方正楷体_GBK" w:eastAsia="方正楷体_GBK" w:cs="方正楷体_GBK"/>
          <w:sz w:val="32"/>
          <w:szCs w:val="32"/>
          <w:lang w:val="en-US" w:eastAsia="zh-CN"/>
        </w:rPr>
        <w:t>创造</w:t>
      </w:r>
      <w:r>
        <w:rPr>
          <w:rFonts w:hint="eastAsia" w:ascii="方正楷体_GBK" w:hAnsi="方正楷体_GBK" w:eastAsia="方正楷体_GBK" w:cs="方正楷体_GBK"/>
          <w:sz w:val="32"/>
          <w:szCs w:val="32"/>
        </w:rPr>
        <w:t>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强化</w:t>
      </w:r>
      <w:r>
        <w:rPr>
          <w:rFonts w:hint="eastAsia" w:ascii="方正仿宋_GBK" w:hAnsi="方正仿宋_GBK" w:eastAsia="方正仿宋_GBK" w:cs="方正仿宋_GBK"/>
          <w:sz w:val="32"/>
          <w:szCs w:val="32"/>
          <w:lang w:val="en-US" w:eastAsia="zh-CN"/>
        </w:rPr>
        <w:t>高价值知识产权培育</w:t>
      </w:r>
      <w:r>
        <w:rPr>
          <w:rFonts w:hint="eastAsia" w:ascii="方正仿宋_GBK" w:hAnsi="方正仿宋_GBK" w:eastAsia="方正仿宋_GBK" w:cs="方正仿宋_GBK"/>
          <w:sz w:val="32"/>
          <w:szCs w:val="32"/>
        </w:rPr>
        <w:t>。实施高价值发明专利培育计划</w:t>
      </w:r>
      <w:r>
        <w:rPr>
          <w:rFonts w:hint="eastAsia" w:ascii="方正仿宋_GBK" w:hAnsi="方正仿宋_GBK" w:eastAsia="方正仿宋_GBK" w:cs="方正仿宋_GBK"/>
          <w:sz w:val="32"/>
          <w:szCs w:val="32"/>
          <w:lang w:eastAsia="zh-CN"/>
        </w:rPr>
        <w:t>，引导和支持企业联合高等学校、科研院所、知识产权服务机构协同推进一批关键核心技术攻关，加强关键核心高价值专利布局。</w:t>
      </w:r>
      <w:r>
        <w:rPr>
          <w:rFonts w:hint="eastAsia" w:ascii="方正仿宋_GBK" w:hAnsi="方正仿宋_GBK" w:eastAsia="方正仿宋_GBK" w:cs="方正仿宋_GBK"/>
          <w:sz w:val="32"/>
          <w:szCs w:val="32"/>
        </w:rPr>
        <w:t>引导市场主体发挥专利、商标、著作权、商业秘密等多种类型知识产权组合效应，培育一批知识产权竞争力强的企业。贯彻《企业知识产权管理规范》国家标准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以下简称贯标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，力争实现高新技术企业、规模以上工业企业、上市企业贯标全覆盖。大力推动科技创新，助推知识产权和技术创新、标准化、产业化深度融合。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责任单位：区市场监管局、区委宣传部、区科技局</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8.加快</w:t>
      </w:r>
      <w:r>
        <w:rPr>
          <w:rFonts w:hint="eastAsia" w:ascii="方正仿宋_GBK" w:hAnsi="方正仿宋_GBK" w:eastAsia="方正仿宋_GBK" w:cs="方正仿宋_GBK"/>
          <w:sz w:val="32"/>
          <w:szCs w:val="32"/>
        </w:rPr>
        <w:t>商标品牌</w:t>
      </w:r>
      <w:r>
        <w:rPr>
          <w:rFonts w:hint="eastAsia" w:ascii="方正仿宋_GBK" w:hAnsi="方正仿宋_GBK" w:eastAsia="方正仿宋_GBK" w:cs="方正仿宋_GBK"/>
          <w:sz w:val="32"/>
          <w:szCs w:val="32"/>
          <w:lang w:val="en-US" w:eastAsia="zh-CN"/>
        </w:rPr>
        <w:t>培育</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深入实施商标品牌战略，增强企业商标品牌意识，引导企业注册和</w:t>
      </w:r>
      <w:r>
        <w:rPr>
          <w:rFonts w:hint="eastAsia" w:ascii="方正仿宋_GBK" w:hAnsi="方正仿宋_GBK" w:eastAsia="方正仿宋_GBK" w:cs="方正仿宋_GBK"/>
          <w:sz w:val="32"/>
          <w:szCs w:val="32"/>
        </w:rPr>
        <w:t>培育自主品牌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设立</w:t>
      </w:r>
      <w:r>
        <w:rPr>
          <w:rFonts w:hint="eastAsia" w:ascii="方正仿宋_GBK" w:hAnsi="方正仿宋_GBK" w:eastAsia="方正仿宋_GBK" w:cs="方正仿宋_GBK"/>
          <w:sz w:val="32"/>
          <w:szCs w:val="32"/>
          <w:lang w:val="en-US" w:eastAsia="zh-CN"/>
        </w:rPr>
        <w:t>区级</w:t>
      </w:r>
      <w:r>
        <w:rPr>
          <w:rFonts w:hint="eastAsia" w:ascii="方正仿宋_GBK" w:hAnsi="方正仿宋_GBK" w:eastAsia="方正仿宋_GBK" w:cs="方正仿宋_GBK"/>
          <w:sz w:val="32"/>
          <w:szCs w:val="32"/>
        </w:rPr>
        <w:t>商标品牌指导站，提升商标品牌建设能力。发展传承好重庆老字号、传统品牌。围绕特色粮油、特色蔬菜、食用菌、蚕桑、中药材、茶叶、特色水果等产业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加大</w:t>
      </w:r>
      <w:r>
        <w:rPr>
          <w:rFonts w:hint="eastAsia" w:ascii="方正仿宋_GBK" w:hAnsi="方正仿宋_GBK" w:eastAsia="方正仿宋_GBK" w:cs="方正仿宋_GBK"/>
          <w:sz w:val="32"/>
          <w:szCs w:val="32"/>
        </w:rPr>
        <w:t>地理标志</w:t>
      </w:r>
      <w:r>
        <w:rPr>
          <w:rFonts w:hint="eastAsia" w:ascii="方正仿宋_GBK" w:hAnsi="方正仿宋_GBK" w:eastAsia="方正仿宋_GBK" w:cs="方正仿宋_GBK"/>
          <w:sz w:val="32"/>
          <w:szCs w:val="32"/>
          <w:lang w:val="en-US" w:eastAsia="zh-CN"/>
        </w:rPr>
        <w:t>培育，打造</w:t>
      </w:r>
      <w:r>
        <w:rPr>
          <w:rFonts w:hint="eastAsia" w:ascii="方正仿宋_GBK" w:hAnsi="方正仿宋_GBK" w:eastAsia="方正仿宋_GBK" w:cs="方正仿宋_GBK"/>
          <w:sz w:val="32"/>
          <w:szCs w:val="32"/>
        </w:rPr>
        <w:t>一批特色农产品区域品牌。</w:t>
      </w:r>
      <w:r>
        <w:rPr>
          <w:rFonts w:hint="eastAsia" w:ascii="方正仿宋_GBK" w:hAnsi="方正仿宋_GBK" w:eastAsia="方正仿宋_GBK" w:cs="方正仿宋_GBK"/>
          <w:sz w:val="32"/>
          <w:szCs w:val="32"/>
          <w:lang w:val="en-US" w:eastAsia="zh-CN"/>
        </w:rPr>
        <w:t>发展壮大黔江猕猴桃、黔江地牯牛等</w:t>
      </w:r>
      <w:r>
        <w:rPr>
          <w:rFonts w:hint="eastAsia" w:ascii="方正仿宋_GBK" w:hAnsi="方正仿宋_GBK" w:eastAsia="方正仿宋_GBK" w:cs="方正仿宋_GBK"/>
          <w:sz w:val="32"/>
          <w:szCs w:val="32"/>
        </w:rPr>
        <w:t>地理标志</w:t>
      </w:r>
      <w:r>
        <w:rPr>
          <w:rFonts w:hint="eastAsia" w:ascii="方正仿宋_GBK" w:hAnsi="方正仿宋_GBK" w:eastAsia="方正仿宋_GBK" w:cs="方正仿宋_GBK"/>
          <w:sz w:val="32"/>
          <w:szCs w:val="32"/>
          <w:lang w:val="en-US" w:eastAsia="zh-CN"/>
        </w:rPr>
        <w:t>品牌，</w:t>
      </w:r>
      <w:r>
        <w:rPr>
          <w:rFonts w:hint="eastAsia" w:ascii="方正仿宋_GBK" w:hAnsi="方正仿宋_GBK" w:eastAsia="方正仿宋_GBK" w:cs="方正仿宋_GBK"/>
          <w:sz w:val="32"/>
          <w:szCs w:val="32"/>
        </w:rPr>
        <w:t>提升地理标志品牌影响力和产品附加值，</w:t>
      </w:r>
      <w:r>
        <w:rPr>
          <w:rFonts w:hint="eastAsia" w:ascii="方正仿宋_GBK" w:hAnsi="方正仿宋_GBK" w:eastAsia="方正仿宋_GBK" w:cs="方正仿宋_GBK"/>
          <w:sz w:val="32"/>
          <w:szCs w:val="32"/>
          <w:lang w:val="en-US" w:eastAsia="zh-CN"/>
        </w:rPr>
        <w:t>助力乡村振兴</w:t>
      </w:r>
      <w:r>
        <w:rPr>
          <w:rFonts w:hint="eastAsia" w:ascii="方正仿宋_GBK" w:hAnsi="方正仿宋_GBK" w:eastAsia="方正仿宋_GBK" w:cs="方正仿宋_GBK"/>
          <w:sz w:val="32"/>
          <w:szCs w:val="32"/>
        </w:rPr>
        <w:t>。（责任单位：区市场监管局、区商务委、区</w:t>
      </w:r>
      <w:r>
        <w:rPr>
          <w:rFonts w:hint="eastAsia" w:ascii="方正仿宋_GBK" w:hAnsi="方正仿宋_GBK" w:eastAsia="方正仿宋_GBK" w:cs="方正仿宋_GBK"/>
          <w:sz w:val="32"/>
          <w:szCs w:val="32"/>
          <w:lang w:val="en-US" w:eastAsia="zh-CN"/>
        </w:rPr>
        <w:t>农业农村委</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9.加强版权和植物新品种培育</w:t>
      </w:r>
      <w:r>
        <w:rPr>
          <w:rFonts w:hint="eastAsia" w:ascii="方正仿宋_GBK" w:hAnsi="方正仿宋_GBK" w:eastAsia="方正仿宋_GBK" w:cs="方正仿宋_GBK"/>
          <w:sz w:val="32"/>
          <w:szCs w:val="32"/>
        </w:rPr>
        <w:t>。鼓励和支持优质文化产品创作供给，提升文艺原创力。加强版权宣传工作。引导新闻出版、广播影视、文化创意和传统工艺美术等产业积极申请版权。发挥版权示范引领作用，积极推进版权示范</w:t>
      </w:r>
      <w:r>
        <w:rPr>
          <w:rFonts w:hint="eastAsia" w:ascii="方正仿宋_GBK" w:hAnsi="方正仿宋_GBK" w:eastAsia="方正仿宋_GBK" w:cs="方正仿宋_GBK"/>
          <w:sz w:val="32"/>
          <w:szCs w:val="32"/>
          <w:lang w:val="en-US" w:eastAsia="zh-CN"/>
        </w:rPr>
        <w:t>企业</w:t>
      </w:r>
      <w:r>
        <w:rPr>
          <w:rFonts w:hint="eastAsia" w:ascii="方正仿宋_GBK" w:hAnsi="方正仿宋_GBK" w:eastAsia="方正仿宋_GBK" w:cs="方正仿宋_GBK"/>
          <w:sz w:val="32"/>
          <w:szCs w:val="32"/>
        </w:rPr>
        <w:t>创建，</w:t>
      </w:r>
      <w:r>
        <w:rPr>
          <w:rFonts w:hint="eastAsia" w:ascii="方正仿宋_GBK" w:hAnsi="方正仿宋_GBK" w:eastAsia="方正仿宋_GBK" w:cs="方正仿宋_GBK"/>
          <w:sz w:val="32"/>
          <w:szCs w:val="32"/>
          <w:lang w:val="en-US" w:eastAsia="zh-CN"/>
        </w:rPr>
        <w:t>增强企业版权创造、运用、管理、保护能力</w:t>
      </w:r>
      <w:r>
        <w:rPr>
          <w:rFonts w:hint="eastAsia" w:ascii="方正仿宋_GBK" w:hAnsi="方正仿宋_GBK" w:eastAsia="方正仿宋_GBK" w:cs="方正仿宋_GBK"/>
          <w:sz w:val="32"/>
          <w:szCs w:val="32"/>
        </w:rPr>
        <w:t>。加强植物新品种转化运用和培育力度。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责任单位：</w:t>
      </w:r>
      <w:r>
        <w:rPr>
          <w:rFonts w:hint="eastAsia" w:ascii="方正仿宋_GBK" w:hAnsi="方正仿宋_GBK" w:eastAsia="方正仿宋_GBK" w:cs="方正仿宋_GBK"/>
          <w:sz w:val="32"/>
          <w:szCs w:val="32"/>
          <w:lang w:val="en-US" w:eastAsia="zh-CN"/>
        </w:rPr>
        <w:t>区委宣传部、区文旅委、区农业农村委、区林业局</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提升知识产权转化运用能力。引导企业加大技术研发投入力度和科技项目成果转化，做好知识产权优势</w:t>
      </w:r>
      <w:r>
        <w:rPr>
          <w:rFonts w:hint="eastAsia" w:ascii="方正仿宋_GBK" w:hAnsi="方正仿宋_GBK" w:eastAsia="方正仿宋_GBK" w:cs="方正仿宋_GBK"/>
          <w:sz w:val="32"/>
          <w:szCs w:val="32"/>
          <w:lang w:val="en-US" w:eastAsia="zh-CN"/>
        </w:rPr>
        <w:t>示范</w:t>
      </w:r>
      <w:r>
        <w:rPr>
          <w:rFonts w:hint="eastAsia" w:ascii="方正仿宋_GBK" w:hAnsi="方正仿宋_GBK" w:eastAsia="方正仿宋_GBK" w:cs="方正仿宋_GBK"/>
          <w:sz w:val="32"/>
          <w:szCs w:val="32"/>
        </w:rPr>
        <w:t>企业申报指导。围绕大数据、新材料、生物医药、茧丝绸等重点领域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加强专利密集型</w:t>
      </w:r>
      <w:r>
        <w:rPr>
          <w:rFonts w:hint="eastAsia" w:ascii="方正仿宋_GBK" w:hAnsi="方正仿宋_GBK" w:eastAsia="方正仿宋_GBK" w:cs="方正仿宋_GBK"/>
          <w:sz w:val="32"/>
          <w:szCs w:val="32"/>
          <w:lang w:val="en-US" w:eastAsia="zh-CN"/>
        </w:rPr>
        <w:t>企业</w:t>
      </w:r>
      <w:r>
        <w:rPr>
          <w:rFonts w:hint="eastAsia" w:ascii="方正仿宋_GBK" w:hAnsi="方正仿宋_GBK" w:eastAsia="方正仿宋_GBK" w:cs="方正仿宋_GBK"/>
          <w:sz w:val="32"/>
          <w:szCs w:val="32"/>
        </w:rPr>
        <w:t>培育，</w:t>
      </w:r>
      <w:r>
        <w:rPr>
          <w:rFonts w:hint="eastAsia" w:ascii="方正仿宋_GBK" w:hAnsi="方正仿宋_GBK" w:eastAsia="方正仿宋_GBK" w:cs="方正仿宋_GBK"/>
          <w:sz w:val="32"/>
          <w:szCs w:val="32"/>
          <w:lang w:val="en-US" w:eastAsia="zh-CN"/>
        </w:rPr>
        <w:t>积极发挥专利导航在创新研发中的作用。</w:t>
      </w:r>
      <w:r>
        <w:rPr>
          <w:rFonts w:hint="eastAsia" w:ascii="方正仿宋_GBK" w:hAnsi="方正仿宋_GBK" w:eastAsia="方正仿宋_GBK" w:cs="方正仿宋_GBK"/>
          <w:sz w:val="32"/>
          <w:szCs w:val="32"/>
        </w:rPr>
        <w:t>积极推动知识产权金融产品、模式和服务创新。优化知识产权质押融资工作体系，建立健全政银合作机制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开展知识产权质押融资“入园惠企”专项行动，加大政策宣讲和融资产品推介力度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为有融资需求的企业开展知识产权质押贷款提供便利条件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责任单位：区市场监管局、区科技局、黔江银保监分局、人行黔江中心支行</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（四）加强知识产权服务供给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11.促进知识产权服务业健康发展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积极培育</w:t>
      </w:r>
      <w:r>
        <w:rPr>
          <w:rFonts w:hint="eastAsia" w:ascii="方正仿宋_GBK" w:hAnsi="方正仿宋_GBK" w:eastAsia="方正仿宋_GBK" w:cs="方正仿宋_GBK"/>
          <w:sz w:val="32"/>
          <w:szCs w:val="32"/>
        </w:rPr>
        <w:t>本土</w:t>
      </w:r>
      <w:r>
        <w:rPr>
          <w:rFonts w:hint="eastAsia" w:ascii="方正仿宋_GBK" w:hAnsi="方正仿宋_GBK" w:eastAsia="方正仿宋_GBK" w:cs="方正仿宋_GBK"/>
          <w:sz w:val="32"/>
          <w:szCs w:val="32"/>
          <w:lang w:val="en-US" w:eastAsia="zh-CN"/>
        </w:rPr>
        <w:t>优质</w:t>
      </w:r>
      <w:r>
        <w:rPr>
          <w:rFonts w:hint="eastAsia" w:ascii="方正仿宋_GBK" w:hAnsi="方正仿宋_GBK" w:eastAsia="方正仿宋_GBK" w:cs="方正仿宋_GBK"/>
          <w:sz w:val="32"/>
          <w:szCs w:val="32"/>
        </w:rPr>
        <w:t>知识产权服务机构，引导</w:t>
      </w:r>
      <w:r>
        <w:rPr>
          <w:rFonts w:hint="eastAsia" w:ascii="方正仿宋_GBK" w:hAnsi="方正仿宋_GBK" w:eastAsia="方正仿宋_GBK" w:cs="方正仿宋_GBK"/>
          <w:sz w:val="32"/>
          <w:szCs w:val="32"/>
          <w:lang w:val="en-US" w:eastAsia="zh-CN"/>
        </w:rPr>
        <w:t>具有较强实力的知识产权服务机构</w:t>
      </w:r>
      <w:r>
        <w:rPr>
          <w:rFonts w:hint="eastAsia" w:ascii="方正仿宋_GBK" w:hAnsi="方正仿宋_GBK" w:eastAsia="方正仿宋_GBK" w:cs="方正仿宋_GBK"/>
          <w:sz w:val="32"/>
          <w:szCs w:val="32"/>
        </w:rPr>
        <w:t>来</w:t>
      </w:r>
      <w:r>
        <w:rPr>
          <w:rFonts w:hint="eastAsia" w:ascii="方正仿宋_GBK" w:hAnsi="方正仿宋_GBK" w:eastAsia="方正仿宋_GBK" w:cs="方正仿宋_GBK"/>
          <w:sz w:val="32"/>
          <w:szCs w:val="32"/>
          <w:lang w:val="en-US" w:eastAsia="zh-CN"/>
        </w:rPr>
        <w:t>黔</w:t>
      </w:r>
      <w:r>
        <w:rPr>
          <w:rFonts w:hint="eastAsia" w:ascii="方正仿宋_GBK" w:hAnsi="方正仿宋_GBK" w:eastAsia="方正仿宋_GBK" w:cs="方正仿宋_GBK"/>
          <w:sz w:val="32"/>
          <w:szCs w:val="32"/>
        </w:rPr>
        <w:t>设立分支机构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为企业提供高质量的知识产权服务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鼓励知识产权服务机构业务优化升级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拓宽</w:t>
      </w:r>
      <w:r>
        <w:rPr>
          <w:rFonts w:hint="eastAsia" w:ascii="方正仿宋_GBK" w:hAnsi="方正仿宋_GBK" w:eastAsia="方正仿宋_GBK" w:cs="方正仿宋_GBK"/>
          <w:sz w:val="32"/>
          <w:szCs w:val="32"/>
        </w:rPr>
        <w:t>知识产权代理、法律、信息、咨询等服务</w:t>
      </w:r>
      <w:r>
        <w:rPr>
          <w:rFonts w:hint="eastAsia" w:ascii="方正仿宋_GBK" w:hAnsi="方正仿宋_GBK" w:eastAsia="方正仿宋_GBK" w:cs="方正仿宋_GBK"/>
          <w:sz w:val="32"/>
          <w:szCs w:val="32"/>
          <w:lang w:val="en-US" w:eastAsia="zh-CN"/>
        </w:rPr>
        <w:t>内容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引导知识产权服务机构向专业化转变。</w:t>
      </w:r>
      <w:r>
        <w:rPr>
          <w:rFonts w:hint="eastAsia" w:ascii="方正仿宋_GBK" w:hAnsi="方正仿宋_GBK" w:eastAsia="方正仿宋_GBK" w:cs="方正仿宋_GBK"/>
          <w:sz w:val="32"/>
          <w:szCs w:val="32"/>
          <w:lang w:val="en-US" w:eastAsia="zh-CN"/>
        </w:rPr>
        <w:t>支持中小企业服务平台、创业创新基地企业服务平台等引入知识产权服务内容。</w:t>
      </w:r>
      <w:r>
        <w:rPr>
          <w:rFonts w:hint="eastAsia" w:ascii="方正仿宋_GBK" w:hAnsi="方正仿宋_GBK" w:eastAsia="方正仿宋_GBK" w:cs="方正仿宋_GBK"/>
          <w:sz w:val="32"/>
          <w:szCs w:val="32"/>
        </w:rPr>
        <w:t>强化知识产权服务业监管</w:t>
      </w:r>
      <w:r>
        <w:rPr>
          <w:rFonts w:hint="eastAsia" w:ascii="方正仿宋_GBK" w:hAnsi="方正仿宋_GBK" w:eastAsia="方正仿宋_GBK" w:cs="方正仿宋_GBK"/>
          <w:sz w:val="32"/>
          <w:szCs w:val="32"/>
          <w:lang w:eastAsia="zh-CN"/>
        </w:rPr>
        <w:t>，积极推进“双随机、一公开”监管，</w:t>
      </w:r>
      <w:r>
        <w:rPr>
          <w:rFonts w:hint="eastAsia" w:ascii="方正仿宋_GBK" w:hAnsi="方正仿宋_GBK" w:eastAsia="方正仿宋_GBK" w:cs="方正仿宋_GBK"/>
          <w:sz w:val="32"/>
          <w:szCs w:val="32"/>
          <w:lang w:val="en-US" w:eastAsia="zh-CN"/>
        </w:rPr>
        <w:t>严厉打击非正常专利申请、商标恶意注册及囤积等违法行为。（责任单位：区市场监管局、区科技局）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夯实知识产权公共服务基础。统筹推进知识产权公共服务机构建设，</w:t>
      </w:r>
      <w:r>
        <w:rPr>
          <w:rFonts w:hint="eastAsia" w:ascii="方正仿宋_GBK" w:hAnsi="方正仿宋_GBK" w:eastAsia="方正仿宋_GBK" w:cs="方正仿宋_GBK"/>
          <w:sz w:val="32"/>
          <w:szCs w:val="32"/>
          <w:lang w:val="en-US" w:eastAsia="zh-CN"/>
        </w:rPr>
        <w:t>大力培育发展为市场主体提供知识产权政策咨询、信息检索、维权援助、运用促进、人才培训等服务机构。探索</w:t>
      </w:r>
      <w:r>
        <w:rPr>
          <w:rFonts w:hint="eastAsia" w:ascii="方正仿宋_GBK" w:hAnsi="方正仿宋_GBK" w:eastAsia="方正仿宋_GBK" w:cs="方正仿宋_GBK"/>
          <w:sz w:val="32"/>
          <w:szCs w:val="32"/>
        </w:rPr>
        <w:t>建设知识产权综合服务平台，推动科研机构、行业协会</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建设知识产权信息服务网点，持续提升知识产权服务便利化水平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强化知识产权业务和服务资源的融合，加强专利、商标、版权、地理标志等申报咨询服务指导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依托知识产权综合保护联系点，大力开展知识产权保护工作，</w:t>
      </w:r>
      <w:bookmarkStart w:id="0" w:name="_GoBack"/>
      <w:bookmarkEnd w:id="0"/>
      <w:r>
        <w:rPr>
          <w:rFonts w:hint="eastAsia" w:ascii="方正仿宋_GBK" w:hAnsi="方正仿宋_GBK" w:eastAsia="方正仿宋_GBK" w:cs="方正仿宋_GBK"/>
          <w:sz w:val="32"/>
          <w:szCs w:val="32"/>
        </w:rPr>
        <w:t>促进企业依法合规经营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（责任单位：区市场监管局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区委宣传部、区检察院</w:t>
      </w:r>
      <w:r>
        <w:rPr>
          <w:rFonts w:hint="eastAsia" w:ascii="方正仿宋_GBK" w:hAnsi="方正仿宋_GBK" w:eastAsia="方正仿宋_GBK" w:cs="方正仿宋_GBK"/>
          <w:sz w:val="32"/>
          <w:szCs w:val="32"/>
        </w:rPr>
        <w:t>）</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（五）推进知识产权人才和文化建设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营造知识产权文化浓厚氛围。加强舆论引导，讲好知识产权故事，积极传播知识产权声音。支持普及知识产权保护、运用知识的作品创作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支持举办知识产权论坛、展会、研讨、交流等活动。开展知识产权宣传周、版权宣传活动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持续深入</w:t>
      </w:r>
      <w:r>
        <w:rPr>
          <w:rFonts w:hint="eastAsia" w:ascii="方正仿宋_GBK" w:hAnsi="方正仿宋_GBK" w:eastAsia="方正仿宋_GBK" w:cs="方正仿宋_GBK"/>
          <w:sz w:val="32"/>
          <w:szCs w:val="32"/>
          <w:lang w:val="en-US" w:eastAsia="zh-CN"/>
        </w:rPr>
        <w:t>推进</w:t>
      </w:r>
      <w:r>
        <w:rPr>
          <w:rFonts w:hint="eastAsia" w:ascii="方正仿宋_GBK" w:hAnsi="方正仿宋_GBK" w:eastAsia="方正仿宋_GBK" w:cs="方正仿宋_GBK"/>
          <w:sz w:val="32"/>
          <w:szCs w:val="32"/>
        </w:rPr>
        <w:t>知识产权“五进”活动。营造公平竞争的文化氛围，培养新时代知识产权文化自觉和文化自信。（责任单位：区知识产权保护联席会议成员单位）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rPr>
        <w:t>构建知识产权文化传播矩阵。建立</w:t>
      </w:r>
      <w:r>
        <w:rPr>
          <w:rFonts w:hint="eastAsia" w:ascii="方正仿宋_GBK" w:hAnsi="方正仿宋_GBK" w:eastAsia="方正仿宋_GBK" w:cs="方正仿宋_GBK"/>
          <w:sz w:val="32"/>
          <w:szCs w:val="32"/>
          <w:lang w:val="en-US" w:eastAsia="zh-CN"/>
        </w:rPr>
        <w:t>区级有关</w:t>
      </w:r>
      <w:r>
        <w:rPr>
          <w:rFonts w:hint="eastAsia" w:ascii="方正仿宋_GBK" w:hAnsi="方正仿宋_GBK" w:eastAsia="方正仿宋_GBK" w:cs="方正仿宋_GBK"/>
          <w:sz w:val="32"/>
          <w:szCs w:val="32"/>
        </w:rPr>
        <w:t>部门知识产权协同宣传工作机制，拓展社交媒体、短视频、客户端等新媒体渠道。依托</w:t>
      </w:r>
      <w:r>
        <w:rPr>
          <w:rFonts w:hint="eastAsia" w:ascii="方正仿宋_GBK" w:hAnsi="方正仿宋_GBK" w:eastAsia="方正仿宋_GBK" w:cs="方正仿宋_GBK"/>
          <w:sz w:val="32"/>
          <w:szCs w:val="32"/>
          <w:lang w:val="en-US" w:eastAsia="zh-CN"/>
        </w:rPr>
        <w:t>企事业单位</w:t>
      </w:r>
      <w:r>
        <w:rPr>
          <w:rFonts w:hint="eastAsia" w:ascii="方正仿宋_GBK" w:hAnsi="方正仿宋_GBK" w:eastAsia="方正仿宋_GBK" w:cs="方正仿宋_GBK"/>
          <w:sz w:val="32"/>
          <w:szCs w:val="32"/>
        </w:rPr>
        <w:t>、科研机构打造一批</w:t>
      </w:r>
      <w:r>
        <w:rPr>
          <w:rFonts w:hint="eastAsia" w:ascii="方正仿宋_GBK" w:hAnsi="方正仿宋_GBK" w:eastAsia="方正仿宋_GBK" w:cs="方正仿宋_GBK"/>
          <w:sz w:val="32"/>
          <w:szCs w:val="32"/>
          <w:lang w:val="en-US" w:eastAsia="zh-CN"/>
        </w:rPr>
        <w:t>富有黔江</w:t>
      </w:r>
      <w:r>
        <w:rPr>
          <w:rFonts w:hint="eastAsia" w:ascii="方正仿宋_GBK" w:hAnsi="方正仿宋_GBK" w:eastAsia="方正仿宋_GBK" w:cs="方正仿宋_GBK"/>
          <w:sz w:val="32"/>
          <w:szCs w:val="32"/>
        </w:rPr>
        <w:t>知识产权</w:t>
      </w:r>
      <w:r>
        <w:rPr>
          <w:rFonts w:hint="eastAsia" w:ascii="方正仿宋_GBK" w:hAnsi="方正仿宋_GBK" w:eastAsia="方正仿宋_GBK" w:cs="方正仿宋_GBK"/>
          <w:sz w:val="32"/>
          <w:szCs w:val="32"/>
          <w:lang w:val="en-US" w:eastAsia="zh-CN"/>
        </w:rPr>
        <w:t>发展特色的</w:t>
      </w:r>
      <w:r>
        <w:rPr>
          <w:rFonts w:hint="eastAsia" w:ascii="方正仿宋_GBK" w:hAnsi="方正仿宋_GBK" w:eastAsia="方正仿宋_GBK" w:cs="方正仿宋_GBK"/>
          <w:sz w:val="32"/>
          <w:szCs w:val="32"/>
        </w:rPr>
        <w:t>文化教育传播基地。（责任单位：区知识产权保护联席会议成员单位）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优化知识产权人才发展环境。鼓励企业、科研机构引进知识产权高层次人才，大力培育</w:t>
      </w:r>
      <w:r>
        <w:rPr>
          <w:rFonts w:hint="eastAsia" w:ascii="方正仿宋_GBK" w:hAnsi="方正仿宋_GBK" w:eastAsia="方正仿宋_GBK" w:cs="方正仿宋_GBK"/>
          <w:sz w:val="32"/>
          <w:szCs w:val="32"/>
          <w:lang w:val="en-US" w:eastAsia="zh-CN"/>
        </w:rPr>
        <w:t>专业</w:t>
      </w:r>
      <w:r>
        <w:rPr>
          <w:rFonts w:hint="eastAsia" w:ascii="方正仿宋_GBK" w:hAnsi="方正仿宋_GBK" w:eastAsia="方正仿宋_GBK" w:cs="方正仿宋_GBK"/>
          <w:sz w:val="32"/>
          <w:szCs w:val="32"/>
        </w:rPr>
        <w:t>技术人才。建立多层次知识产权培训体系，做到</w:t>
      </w:r>
      <w:r>
        <w:rPr>
          <w:rFonts w:hint="eastAsia" w:ascii="方正仿宋_GBK" w:hAnsi="方正仿宋_GBK" w:eastAsia="方正仿宋_GBK" w:cs="方正仿宋_GBK"/>
          <w:sz w:val="32"/>
          <w:szCs w:val="32"/>
          <w:lang w:val="en-US" w:eastAsia="zh-CN"/>
        </w:rPr>
        <w:t>高新技术企业</w:t>
      </w:r>
      <w:r>
        <w:rPr>
          <w:rFonts w:hint="eastAsia" w:ascii="方正仿宋_GBK" w:hAnsi="方正仿宋_GBK" w:eastAsia="方正仿宋_GBK" w:cs="方正仿宋_GBK"/>
          <w:sz w:val="32"/>
          <w:szCs w:val="32"/>
        </w:rPr>
        <w:t>和科技型企业知识产权培训全覆盖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推进</w:t>
      </w:r>
      <w:r>
        <w:rPr>
          <w:rFonts w:hint="eastAsia" w:ascii="方正仿宋_GBK" w:hAnsi="方正仿宋_GBK" w:eastAsia="方正仿宋_GBK" w:cs="方正仿宋_GBK"/>
          <w:sz w:val="32"/>
          <w:szCs w:val="32"/>
        </w:rPr>
        <w:t>中小学知识产权教育示范学校创建</w:t>
      </w:r>
      <w:r>
        <w:rPr>
          <w:rFonts w:hint="eastAsia" w:ascii="方正仿宋_GBK" w:hAnsi="方正仿宋_GBK" w:eastAsia="方正仿宋_GBK" w:cs="方正仿宋_GBK"/>
          <w:sz w:val="32"/>
          <w:szCs w:val="32"/>
          <w:lang w:val="en-US" w:eastAsia="zh-CN"/>
        </w:rPr>
        <w:t>工作</w:t>
      </w:r>
      <w:r>
        <w:rPr>
          <w:rFonts w:hint="eastAsia" w:ascii="方正仿宋_GBK" w:hAnsi="方正仿宋_GBK" w:eastAsia="方正仿宋_GBK" w:cs="方正仿宋_GBK"/>
          <w:sz w:val="32"/>
          <w:szCs w:val="32"/>
        </w:rPr>
        <w:t>，提升青少年的知识产权意识。（责任单位：区市场监管局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区人力社保局、区科技局、区教委</w:t>
      </w:r>
      <w:r>
        <w:rPr>
          <w:rFonts w:hint="eastAsia" w:ascii="方正仿宋_GBK" w:hAnsi="方正仿宋_GBK" w:eastAsia="方正仿宋_GBK" w:cs="方正仿宋_GBK"/>
          <w:sz w:val="32"/>
          <w:szCs w:val="32"/>
        </w:rPr>
        <w:t>）</w:t>
      </w:r>
    </w:p>
    <w:p>
      <w:pPr>
        <w:pStyle w:val="3"/>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eastAsia="zh-CN"/>
        </w:rPr>
        <w:t>四、组织保障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加强组织领导。</w:t>
      </w:r>
      <w:r>
        <w:rPr>
          <w:rFonts w:hint="eastAsia" w:ascii="方正仿宋_GBK" w:hAnsi="方正仿宋_GBK" w:eastAsia="方正仿宋_GBK" w:cs="方正仿宋_GBK"/>
          <w:sz w:val="32"/>
          <w:szCs w:val="32"/>
        </w:rPr>
        <w:t>充分发挥</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知识产权保护联席会议作用，加强组织协调，明确责任分工，细化目标任务，制定年度计划，统筹推进本</w:t>
      </w:r>
      <w:r>
        <w:rPr>
          <w:rFonts w:hint="eastAsia" w:ascii="方正仿宋_GBK" w:hAnsi="方正仿宋_GBK" w:eastAsia="方正仿宋_GBK" w:cs="方正仿宋_GBK"/>
          <w:sz w:val="32"/>
          <w:szCs w:val="32"/>
          <w:lang w:val="en-US" w:eastAsia="zh-CN"/>
        </w:rPr>
        <w:t>工作方案</w:t>
      </w:r>
      <w:r>
        <w:rPr>
          <w:rFonts w:hint="eastAsia" w:ascii="方正仿宋_GBK" w:hAnsi="方正仿宋_GBK" w:eastAsia="方正仿宋_GBK" w:cs="方正仿宋_GBK"/>
          <w:sz w:val="32"/>
          <w:szCs w:val="32"/>
        </w:rPr>
        <w:t>实施。各相关部门要将知识产权工作纳入重要议事日程，及时研究重大问题，采取有力措施，强化工作落实。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强化</w:t>
      </w:r>
      <w:r>
        <w:rPr>
          <w:rFonts w:hint="eastAsia" w:ascii="方正楷体_GBK" w:hAnsi="方正楷体_GBK" w:eastAsia="方正楷体_GBK" w:cs="方正楷体_GBK"/>
          <w:sz w:val="32"/>
          <w:szCs w:val="32"/>
        </w:rPr>
        <w:t>条件保障。</w:t>
      </w:r>
      <w:r>
        <w:rPr>
          <w:rFonts w:hint="eastAsia" w:ascii="方正仿宋_GBK" w:hAnsi="方正仿宋_GBK" w:eastAsia="方正仿宋_GBK" w:cs="方正仿宋_GBK"/>
          <w:sz w:val="32"/>
          <w:szCs w:val="32"/>
        </w:rPr>
        <w:t>争取市级政策和资金</w:t>
      </w:r>
      <w:r>
        <w:rPr>
          <w:rFonts w:hint="eastAsia" w:ascii="方正仿宋_GBK" w:hAnsi="方正仿宋_GBK" w:eastAsia="方正仿宋_GBK" w:cs="方正仿宋_GBK"/>
          <w:sz w:val="32"/>
          <w:szCs w:val="32"/>
          <w:lang w:val="en-US" w:eastAsia="zh-CN"/>
        </w:rPr>
        <w:t>支持</w:t>
      </w:r>
      <w:r>
        <w:rPr>
          <w:rFonts w:hint="eastAsia" w:ascii="方正仿宋_GBK" w:hAnsi="方正仿宋_GBK" w:eastAsia="方正仿宋_GBK" w:cs="方正仿宋_GBK"/>
          <w:sz w:val="32"/>
          <w:szCs w:val="32"/>
        </w:rPr>
        <w:t>，加大区级财政的投入保障</w:t>
      </w:r>
      <w:r>
        <w:rPr>
          <w:rFonts w:hint="eastAsia" w:ascii="方正仿宋_GBK" w:hAnsi="方正仿宋_GBK" w:eastAsia="方正仿宋_GBK" w:cs="方正仿宋_GBK"/>
          <w:sz w:val="32"/>
          <w:szCs w:val="32"/>
          <w:lang w:val="en-US" w:eastAsia="zh-CN"/>
        </w:rPr>
        <w:t>力度</w:t>
      </w:r>
      <w:r>
        <w:rPr>
          <w:rFonts w:hint="eastAsia" w:ascii="方正仿宋_GBK" w:hAnsi="方正仿宋_GBK" w:eastAsia="方正仿宋_GBK" w:cs="方正仿宋_GBK"/>
          <w:sz w:val="32"/>
          <w:szCs w:val="32"/>
        </w:rPr>
        <w:t>，确保本实施方案的顺利实施。</w:t>
      </w:r>
      <w:r>
        <w:rPr>
          <w:rFonts w:hint="eastAsia" w:ascii="方正仿宋_GBK" w:hAnsi="方正仿宋_GBK" w:eastAsia="方正仿宋_GBK" w:cs="方正仿宋_GBK"/>
          <w:sz w:val="32"/>
          <w:szCs w:val="32"/>
          <w:lang w:val="en-US" w:eastAsia="zh-CN"/>
        </w:rPr>
        <w:t>各相</w:t>
      </w:r>
      <w:r>
        <w:rPr>
          <w:rFonts w:hint="eastAsia" w:ascii="方正仿宋_GBK" w:hAnsi="方正仿宋_GBK" w:eastAsia="方正仿宋_GBK" w:cs="方正仿宋_GBK"/>
          <w:sz w:val="32"/>
          <w:szCs w:val="32"/>
        </w:rPr>
        <w:t>关部门要结合目标任务，合理安排专项资金，确保本部门目标任务圆满完成。</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严格督促检查</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lang w:val="en-US" w:eastAsia="zh-CN"/>
        </w:rPr>
        <w:t>区知识产权保护联席会议</w:t>
      </w:r>
      <w:r>
        <w:rPr>
          <w:rFonts w:hint="eastAsia" w:ascii="方正仿宋_GBK" w:hAnsi="方正仿宋_GBK" w:eastAsia="方正仿宋_GBK" w:cs="方正仿宋_GBK"/>
          <w:sz w:val="32"/>
          <w:szCs w:val="32"/>
        </w:rPr>
        <w:t>办公室</w:t>
      </w:r>
      <w:r>
        <w:rPr>
          <w:rFonts w:hint="eastAsia" w:ascii="方正仿宋_GBK" w:hAnsi="方正仿宋_GBK" w:eastAsia="方正仿宋_GBK" w:cs="方正仿宋_GBK"/>
          <w:sz w:val="32"/>
          <w:szCs w:val="32"/>
          <w:lang w:val="en-US" w:eastAsia="zh-CN"/>
        </w:rPr>
        <w:t>会同有关部门</w:t>
      </w:r>
      <w:r>
        <w:rPr>
          <w:rFonts w:hint="eastAsia" w:ascii="方正仿宋_GBK" w:hAnsi="方正仿宋_GBK" w:eastAsia="方正仿宋_GBK" w:cs="方正仿宋_GBK"/>
          <w:sz w:val="32"/>
          <w:szCs w:val="32"/>
        </w:rPr>
        <w:t>定期或不定期对工作</w:t>
      </w:r>
      <w:r>
        <w:rPr>
          <w:rFonts w:hint="eastAsia" w:ascii="方正仿宋_GBK" w:hAnsi="方正仿宋_GBK" w:eastAsia="方正仿宋_GBK" w:cs="方正仿宋_GBK"/>
          <w:sz w:val="32"/>
          <w:szCs w:val="32"/>
          <w:lang w:val="en-US" w:eastAsia="zh-CN"/>
        </w:rPr>
        <w:t>方案</w:t>
      </w:r>
      <w:r>
        <w:rPr>
          <w:rFonts w:hint="eastAsia" w:ascii="方正仿宋_GBK" w:hAnsi="方正仿宋_GBK" w:eastAsia="方正仿宋_GBK" w:cs="方正仿宋_GBK"/>
          <w:sz w:val="32"/>
          <w:szCs w:val="32"/>
        </w:rPr>
        <w:t>落实情况开展</w:t>
      </w:r>
      <w:r>
        <w:rPr>
          <w:rFonts w:hint="eastAsia" w:ascii="方正仿宋_GBK" w:hAnsi="方正仿宋_GBK" w:eastAsia="方正仿宋_GBK" w:cs="方正仿宋_GBK"/>
          <w:sz w:val="32"/>
          <w:szCs w:val="32"/>
          <w:lang w:val="en-US" w:eastAsia="zh-CN"/>
        </w:rPr>
        <w:t>跟踪</w:t>
      </w:r>
      <w:r>
        <w:rPr>
          <w:rFonts w:hint="eastAsia" w:ascii="方正仿宋_GBK" w:hAnsi="方正仿宋_GBK" w:eastAsia="方正仿宋_GBK" w:cs="方正仿宋_GBK"/>
          <w:sz w:val="32"/>
          <w:szCs w:val="32"/>
        </w:rPr>
        <w:t>督查，重要情况及时按程序向</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委、</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政府请示报告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各成员单位要加强信息报送，定期向</w:t>
      </w:r>
      <w:r>
        <w:rPr>
          <w:rFonts w:hint="eastAsia" w:ascii="方正仿宋_GBK" w:hAnsi="方正仿宋_GBK" w:eastAsia="方正仿宋_GBK" w:cs="方正仿宋_GBK"/>
          <w:sz w:val="32"/>
          <w:szCs w:val="32"/>
          <w:lang w:val="en-US" w:eastAsia="zh-CN"/>
        </w:rPr>
        <w:t>联席</w:t>
      </w:r>
      <w:r>
        <w:rPr>
          <w:rFonts w:hint="eastAsia" w:ascii="方正仿宋_GBK" w:hAnsi="方正仿宋_GBK" w:eastAsia="方正仿宋_GBK" w:cs="方正仿宋_GBK"/>
          <w:sz w:val="32"/>
          <w:szCs w:val="32"/>
        </w:rPr>
        <w:t>会议办公室报送工作进度和相关工作信息。</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MWJhYTkzNGFiNWY2YzcyMjg5ZTgzZTQwYzM2ZDQifQ=="/>
  </w:docVars>
  <w:rsids>
    <w:rsidRoot w:val="4EAC7D51"/>
    <w:rsid w:val="00EF16FF"/>
    <w:rsid w:val="01D9026F"/>
    <w:rsid w:val="02B01361"/>
    <w:rsid w:val="031C2553"/>
    <w:rsid w:val="054F6C10"/>
    <w:rsid w:val="064F1695"/>
    <w:rsid w:val="06B62CBE"/>
    <w:rsid w:val="07097292"/>
    <w:rsid w:val="07524795"/>
    <w:rsid w:val="08BB280E"/>
    <w:rsid w:val="09EF09C1"/>
    <w:rsid w:val="0A4D56E8"/>
    <w:rsid w:val="0AE1780E"/>
    <w:rsid w:val="0C7E7DDA"/>
    <w:rsid w:val="0D0C53E6"/>
    <w:rsid w:val="0F225395"/>
    <w:rsid w:val="0F851480"/>
    <w:rsid w:val="10A06571"/>
    <w:rsid w:val="11943BFC"/>
    <w:rsid w:val="12502219"/>
    <w:rsid w:val="125E1DA7"/>
    <w:rsid w:val="127B54E8"/>
    <w:rsid w:val="13F53078"/>
    <w:rsid w:val="147D4E28"/>
    <w:rsid w:val="154D0C92"/>
    <w:rsid w:val="15510782"/>
    <w:rsid w:val="15602773"/>
    <w:rsid w:val="16583AD2"/>
    <w:rsid w:val="166E2C6E"/>
    <w:rsid w:val="177B2D26"/>
    <w:rsid w:val="18F338FE"/>
    <w:rsid w:val="1DD43CFE"/>
    <w:rsid w:val="1E522E75"/>
    <w:rsid w:val="1EE75CB3"/>
    <w:rsid w:val="1F933745"/>
    <w:rsid w:val="1FA53BA4"/>
    <w:rsid w:val="1FCA360B"/>
    <w:rsid w:val="2181419D"/>
    <w:rsid w:val="231132FF"/>
    <w:rsid w:val="23CE1F9C"/>
    <w:rsid w:val="2437753C"/>
    <w:rsid w:val="247104F9"/>
    <w:rsid w:val="26130658"/>
    <w:rsid w:val="26327CD9"/>
    <w:rsid w:val="269A360B"/>
    <w:rsid w:val="27C57DBF"/>
    <w:rsid w:val="280E2503"/>
    <w:rsid w:val="29D50BB4"/>
    <w:rsid w:val="2B22254D"/>
    <w:rsid w:val="2C9C1E8B"/>
    <w:rsid w:val="2E245D5E"/>
    <w:rsid w:val="2FF40653"/>
    <w:rsid w:val="30C45E54"/>
    <w:rsid w:val="31104BF6"/>
    <w:rsid w:val="31D73965"/>
    <w:rsid w:val="321C75CA"/>
    <w:rsid w:val="339D7929"/>
    <w:rsid w:val="340D366E"/>
    <w:rsid w:val="344C063B"/>
    <w:rsid w:val="35A924AC"/>
    <w:rsid w:val="362C24D2"/>
    <w:rsid w:val="36877708"/>
    <w:rsid w:val="36C11501"/>
    <w:rsid w:val="38AE3672"/>
    <w:rsid w:val="393B0C7E"/>
    <w:rsid w:val="39700927"/>
    <w:rsid w:val="3AE254EB"/>
    <w:rsid w:val="3BB30F9F"/>
    <w:rsid w:val="3D30377E"/>
    <w:rsid w:val="3D82337C"/>
    <w:rsid w:val="3DF80EEB"/>
    <w:rsid w:val="3E1C107E"/>
    <w:rsid w:val="3E7964D0"/>
    <w:rsid w:val="3E9C50F6"/>
    <w:rsid w:val="3F204B9E"/>
    <w:rsid w:val="3F5D36FC"/>
    <w:rsid w:val="408E3D89"/>
    <w:rsid w:val="41AC096A"/>
    <w:rsid w:val="4364317F"/>
    <w:rsid w:val="463A4797"/>
    <w:rsid w:val="46FD694E"/>
    <w:rsid w:val="47FC5A7C"/>
    <w:rsid w:val="49172B6D"/>
    <w:rsid w:val="492E6109"/>
    <w:rsid w:val="4AEE78FE"/>
    <w:rsid w:val="4AFB201B"/>
    <w:rsid w:val="4BA821A3"/>
    <w:rsid w:val="4C431ECB"/>
    <w:rsid w:val="4CDD40CE"/>
    <w:rsid w:val="4D84279B"/>
    <w:rsid w:val="4DC4703C"/>
    <w:rsid w:val="4DEF5B8A"/>
    <w:rsid w:val="4EAC7D51"/>
    <w:rsid w:val="4F310701"/>
    <w:rsid w:val="4FBC446F"/>
    <w:rsid w:val="50EC75F1"/>
    <w:rsid w:val="52A25DCD"/>
    <w:rsid w:val="53DF697E"/>
    <w:rsid w:val="54295E4B"/>
    <w:rsid w:val="54316AAD"/>
    <w:rsid w:val="55B55BE8"/>
    <w:rsid w:val="5A315A59"/>
    <w:rsid w:val="5E5B12F6"/>
    <w:rsid w:val="5F553F98"/>
    <w:rsid w:val="5F7F1EA5"/>
    <w:rsid w:val="5F816B3B"/>
    <w:rsid w:val="62233ED9"/>
    <w:rsid w:val="62CA07F9"/>
    <w:rsid w:val="63870498"/>
    <w:rsid w:val="64155AA4"/>
    <w:rsid w:val="648844C8"/>
    <w:rsid w:val="65901886"/>
    <w:rsid w:val="660250A3"/>
    <w:rsid w:val="67397CFB"/>
    <w:rsid w:val="6841330B"/>
    <w:rsid w:val="68751207"/>
    <w:rsid w:val="69DF2DDC"/>
    <w:rsid w:val="6B1D005F"/>
    <w:rsid w:val="6B87197D"/>
    <w:rsid w:val="6BA240C1"/>
    <w:rsid w:val="6C7653FD"/>
    <w:rsid w:val="6C77554D"/>
    <w:rsid w:val="6E4C60A3"/>
    <w:rsid w:val="6EC66318"/>
    <w:rsid w:val="6F6D0E8A"/>
    <w:rsid w:val="70B84386"/>
    <w:rsid w:val="735A1130"/>
    <w:rsid w:val="74F55BA9"/>
    <w:rsid w:val="75705803"/>
    <w:rsid w:val="757C292E"/>
    <w:rsid w:val="76263B40"/>
    <w:rsid w:val="769A59F1"/>
    <w:rsid w:val="78D6184E"/>
    <w:rsid w:val="793A002E"/>
    <w:rsid w:val="7A1645CB"/>
    <w:rsid w:val="7EE05499"/>
    <w:rsid w:val="7F80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3">
    <w:name w:val="Normal Indent"/>
    <w:basedOn w:val="1"/>
    <w:unhideWhenUsed/>
    <w:qFormat/>
    <w:uiPriority w:val="99"/>
    <w:pPr>
      <w:ind w:firstLine="420" w:firstLineChars="20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444444"/>
      <w:u w:val="none"/>
    </w:rPr>
  </w:style>
  <w:style w:type="character" w:styleId="10">
    <w:name w:val="Hyperlink"/>
    <w:basedOn w:val="7"/>
    <w:qFormat/>
    <w:uiPriority w:val="0"/>
    <w:rPr>
      <w:color w:val="444444"/>
      <w:u w:val="none"/>
    </w:rPr>
  </w:style>
  <w:style w:type="character" w:customStyle="1" w:styleId="11">
    <w:name w:val="bds_more2"/>
    <w:basedOn w:val="7"/>
    <w:qFormat/>
    <w:uiPriority w:val="0"/>
  </w:style>
  <w:style w:type="character" w:customStyle="1" w:styleId="12">
    <w:name w:val="bds_more3"/>
    <w:basedOn w:val="7"/>
    <w:qFormat/>
    <w:uiPriority w:val="0"/>
  </w:style>
  <w:style w:type="character" w:customStyle="1" w:styleId="13">
    <w:name w:val="bds_more4"/>
    <w:basedOn w:val="7"/>
    <w:qFormat/>
    <w:uiPriority w:val="0"/>
    <w:rPr>
      <w:rFonts w:hint="eastAsia" w:ascii="宋体" w:hAnsi="宋体" w:eastAsia="宋体" w:cs="宋体"/>
    </w:rPr>
  </w:style>
  <w:style w:type="character" w:customStyle="1" w:styleId="14">
    <w:name w:val="bds_nopic"/>
    <w:basedOn w:val="7"/>
    <w:qFormat/>
    <w:uiPriority w:val="0"/>
  </w:style>
  <w:style w:type="character" w:customStyle="1" w:styleId="15">
    <w:name w:val="bds_nopic1"/>
    <w:basedOn w:val="7"/>
    <w:qFormat/>
    <w:uiPriority w:val="0"/>
  </w:style>
  <w:style w:type="character" w:customStyle="1" w:styleId="16">
    <w:name w:val="bds_nopic2"/>
    <w:basedOn w:val="7"/>
    <w:qFormat/>
    <w:uiPriority w:val="0"/>
  </w:style>
  <w:style w:type="character" w:customStyle="1" w:styleId="17">
    <w:name w:val="sohu-word"/>
    <w:basedOn w:val="7"/>
    <w:qFormat/>
    <w:uiPriority w:val="0"/>
    <w:rPr>
      <w:color w:val="686868"/>
    </w:rPr>
  </w:style>
  <w:style w:type="character" w:customStyle="1" w:styleId="18">
    <w:name w:val="sohu-word1"/>
    <w:basedOn w:val="7"/>
    <w:qFormat/>
    <w:uiPriority w:val="0"/>
    <w:rPr>
      <w:color w:val="68686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3984</Words>
  <Characters>4022</Characters>
  <Lines>0</Lines>
  <Paragraphs>0</Paragraphs>
  <TotalTime>26</TotalTime>
  <ScaleCrop>false</ScaleCrop>
  <LinksUpToDate>false</LinksUpToDate>
  <CharactersWithSpaces>4022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2022-09-05T01:40:00Z</dcterms:created>
  <dc:creator>喂</dc:creator>
  <cp:lastModifiedBy>喂</cp:lastModifiedBy>
  <dcterms:modified xsi:type="dcterms:W3CDTF">2022-11-07T07:13:39Z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45A2EA4C44944AF09CA3440F6B96B94E</vt:lpwstr>
  </property>
</Properties>
</file>