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600" w:lineRule="exact"/>
        <w:jc w:val="left"/>
        <w:rPr>
          <w:rFonts w:ascii="方正黑体_GBK" w:eastAsia="方正黑体_GBK"/>
          <w:sz w:val="32"/>
          <w:szCs w:val="32"/>
        </w:rPr>
      </w:pPr>
      <w:bookmarkStart w:id="0" w:name="_GoBack"/>
      <w:bookmarkEnd w:id="0"/>
      <w:r>
        <w:rPr>
          <w:rFonts w:hint="eastAsia" w:ascii="方正黑体_GBK" w:eastAsia="方正黑体_GBK"/>
          <w:sz w:val="32"/>
          <w:szCs w:val="32"/>
        </w:rPr>
        <w:t>附件1</w:t>
      </w:r>
    </w:p>
    <w:p>
      <w:pPr>
        <w:widowControl/>
        <w:snapToGrid w:val="0"/>
        <w:spacing w:line="600" w:lineRule="exact"/>
        <w:jc w:val="left"/>
        <w:rPr>
          <w:rFonts w:ascii="方正黑体_GBK" w:eastAsia="方正黑体_GBK"/>
          <w:sz w:val="32"/>
          <w:szCs w:val="32"/>
        </w:rPr>
      </w:pPr>
    </w:p>
    <w:p>
      <w:pPr>
        <w:snapToGrid w:val="0"/>
        <w:spacing w:line="600" w:lineRule="exact"/>
        <w:jc w:val="center"/>
        <w:rPr>
          <w:rFonts w:ascii="方正小标宋_GBK" w:eastAsia="方正小标宋_GBK"/>
          <w:sz w:val="44"/>
          <w:szCs w:val="44"/>
        </w:rPr>
      </w:pPr>
      <w:r>
        <w:rPr>
          <w:rFonts w:hint="eastAsia" w:ascii="方正小标宋_GBK" w:eastAsia="方正小标宋_GBK"/>
          <w:sz w:val="44"/>
          <w:szCs w:val="44"/>
        </w:rPr>
        <w:t>重庆市药品、医疗器械产品</w:t>
      </w:r>
    </w:p>
    <w:p>
      <w:pPr>
        <w:snapToGrid w:val="0"/>
        <w:spacing w:line="600" w:lineRule="exact"/>
        <w:jc w:val="center"/>
        <w:rPr>
          <w:rFonts w:ascii="方正小标宋_GBK" w:eastAsia="方正小标宋_GBK"/>
          <w:sz w:val="44"/>
          <w:szCs w:val="44"/>
        </w:rPr>
      </w:pPr>
      <w:r>
        <w:rPr>
          <w:rFonts w:hint="eastAsia" w:ascii="方正小标宋_GBK" w:eastAsia="方正小标宋_GBK"/>
          <w:sz w:val="44"/>
          <w:szCs w:val="44"/>
        </w:rPr>
        <w:t>注册收费标准（试行）</w:t>
      </w:r>
    </w:p>
    <w:p>
      <w:pPr>
        <w:snapToGrid w:val="0"/>
        <w:spacing w:line="600" w:lineRule="exact"/>
        <w:jc w:val="center"/>
        <w:rPr>
          <w:rFonts w:ascii="方正小标宋_GBK" w:eastAsia="方正小标宋_GBK"/>
          <w:sz w:val="44"/>
          <w:szCs w:val="44"/>
        </w:rPr>
      </w:pPr>
    </w:p>
    <w:p>
      <w:pPr>
        <w:snapToGrid w:val="0"/>
        <w:spacing w:line="600" w:lineRule="exact"/>
        <w:ind w:firstLine="640" w:firstLineChars="200"/>
        <w:rPr>
          <w:rFonts w:ascii="方正黑体_GBK" w:eastAsia="方正黑体_GBK"/>
          <w:sz w:val="32"/>
          <w:szCs w:val="32"/>
        </w:rPr>
      </w:pPr>
      <w:r>
        <w:rPr>
          <w:rFonts w:hint="eastAsia" w:ascii="方正黑体_GBK" w:eastAsia="方正黑体_GBK"/>
          <w:sz w:val="32"/>
          <w:szCs w:val="32"/>
        </w:rPr>
        <w:t>一、药品注册费</w:t>
      </w:r>
    </w:p>
    <w:p>
      <w:pPr>
        <w:snapToGrid w:val="0"/>
        <w:spacing w:line="600" w:lineRule="exact"/>
        <w:ind w:firstLine="640" w:firstLineChars="200"/>
        <w:rPr>
          <w:rFonts w:ascii="方正仿宋_GBK" w:eastAsia="方正仿宋_GBK"/>
          <w:sz w:val="32"/>
          <w:szCs w:val="32"/>
        </w:rPr>
      </w:pPr>
      <w:r>
        <w:rPr>
          <w:rFonts w:hint="eastAsia" w:ascii="方正仿宋_GBK" w:eastAsia="方正仿宋_GBK"/>
          <w:sz w:val="32"/>
          <w:szCs w:val="32"/>
        </w:rPr>
        <w:t>重庆市食品药品监督管理局依照法定职责，对新药、仿制药补充申请和再注册申请开展行政受理、现场检查/核查、技术审评等注册工作，并按标准收取有关费用。具体收费标准如下：</w:t>
      </w:r>
    </w:p>
    <w:p>
      <w:pPr>
        <w:snapToGrid w:val="0"/>
        <w:spacing w:line="600" w:lineRule="exact"/>
        <w:jc w:val="center"/>
        <w:rPr>
          <w:rFonts w:ascii="方正黑体_GBK" w:eastAsia="方正黑体_GBK"/>
          <w:sz w:val="32"/>
          <w:szCs w:val="32"/>
        </w:rPr>
      </w:pPr>
      <w:r>
        <w:rPr>
          <w:rFonts w:hint="eastAsia" w:ascii="方正黑体_GBK" w:eastAsia="方正黑体_GBK"/>
          <w:sz w:val="32"/>
          <w:szCs w:val="32"/>
        </w:rPr>
        <w:t>药品注册费收费标准</w:t>
      </w:r>
    </w:p>
    <w:p>
      <w:pPr>
        <w:spacing w:line="590" w:lineRule="exact"/>
        <w:ind w:firstLine="7360" w:firstLineChars="2300"/>
        <w:rPr>
          <w:rFonts w:ascii="方正仿宋_GBK" w:eastAsia="方正仿宋_GBK"/>
          <w:sz w:val="32"/>
          <w:szCs w:val="32"/>
        </w:rPr>
      </w:pPr>
      <w:r>
        <w:rPr>
          <w:rFonts w:hint="eastAsia" w:ascii="方正仿宋_GBK" w:eastAsia="方正仿宋_GBK"/>
          <w:sz w:val="32"/>
          <w:szCs w:val="32"/>
        </w:rPr>
        <w:t>单位：元</w:t>
      </w:r>
    </w:p>
    <w:tbl>
      <w:tblPr>
        <w:tblStyle w:val="9"/>
        <w:tblW w:w="90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8"/>
        <w:gridCol w:w="1984"/>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6202" w:type="dxa"/>
            <w:gridSpan w:val="2"/>
            <w:tcBorders>
              <w:top w:val="single" w:color="auto" w:sz="4" w:space="0"/>
              <w:left w:val="single" w:color="auto" w:sz="4" w:space="0"/>
              <w:bottom w:val="single" w:color="auto" w:sz="4" w:space="0"/>
              <w:right w:val="single" w:color="auto" w:sz="4" w:space="0"/>
            </w:tcBorders>
            <w:vAlign w:val="center"/>
          </w:tcPr>
          <w:p>
            <w:pPr>
              <w:spacing w:line="590" w:lineRule="exact"/>
              <w:jc w:val="center"/>
              <w:rPr>
                <w:rFonts w:ascii="方正黑体_GBK" w:eastAsia="方正黑体_GBK"/>
                <w:sz w:val="28"/>
                <w:szCs w:val="28"/>
              </w:rPr>
            </w:pPr>
            <w:r>
              <w:rPr>
                <w:rFonts w:hint="eastAsia" w:ascii="方正黑体_GBK" w:eastAsia="方正黑体_GBK"/>
                <w:sz w:val="28"/>
                <w:szCs w:val="28"/>
              </w:rPr>
              <w:t>项目分类</w:t>
            </w:r>
          </w:p>
        </w:tc>
        <w:tc>
          <w:tcPr>
            <w:tcW w:w="2834" w:type="dxa"/>
            <w:tcBorders>
              <w:top w:val="single" w:color="auto" w:sz="4" w:space="0"/>
              <w:left w:val="single" w:color="auto" w:sz="4" w:space="0"/>
              <w:bottom w:val="single" w:color="auto" w:sz="4" w:space="0"/>
              <w:right w:val="single" w:color="auto" w:sz="4" w:space="0"/>
            </w:tcBorders>
            <w:vAlign w:val="center"/>
          </w:tcPr>
          <w:p>
            <w:pPr>
              <w:spacing w:line="590" w:lineRule="exact"/>
              <w:jc w:val="center"/>
              <w:rPr>
                <w:rFonts w:ascii="方正黑体_GBK" w:eastAsia="方正黑体_GBK"/>
                <w:sz w:val="28"/>
                <w:szCs w:val="28"/>
              </w:rPr>
            </w:pPr>
            <w:r>
              <w:rPr>
                <w:rFonts w:hint="eastAsia" w:ascii="方正黑体_GBK" w:eastAsia="方正黑体_GBK"/>
                <w:sz w:val="28"/>
                <w:szCs w:val="28"/>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8" w:type="dxa"/>
            <w:vMerge w:val="restart"/>
            <w:tcBorders>
              <w:top w:val="single" w:color="auto" w:sz="4" w:space="0"/>
              <w:left w:val="single" w:color="auto" w:sz="4" w:space="0"/>
              <w:bottom w:val="single" w:color="auto" w:sz="4" w:space="0"/>
              <w:right w:val="single" w:color="auto" w:sz="4" w:space="0"/>
            </w:tcBorders>
            <w:vAlign w:val="center"/>
          </w:tcPr>
          <w:p>
            <w:pPr>
              <w:spacing w:line="590" w:lineRule="exact"/>
              <w:rPr>
                <w:rFonts w:ascii="方正仿宋_GBK" w:eastAsia="方正仿宋_GBK"/>
                <w:sz w:val="28"/>
                <w:szCs w:val="28"/>
              </w:rPr>
            </w:pPr>
            <w:r>
              <w:rPr>
                <w:rFonts w:hint="eastAsia" w:ascii="方正仿宋_GBK" w:eastAsia="方正仿宋_GBK" w:cs="方正仿宋_GBK"/>
                <w:sz w:val="28"/>
                <w:szCs w:val="28"/>
              </w:rPr>
              <w:t>补充申请注册费</w:t>
            </w:r>
          </w:p>
        </w:tc>
        <w:tc>
          <w:tcPr>
            <w:tcW w:w="1984" w:type="dxa"/>
            <w:tcBorders>
              <w:top w:val="single" w:color="auto" w:sz="4" w:space="0"/>
              <w:left w:val="single" w:color="auto" w:sz="4" w:space="0"/>
              <w:bottom w:val="single" w:color="auto" w:sz="4" w:space="0"/>
              <w:right w:val="single" w:color="auto" w:sz="4" w:space="0"/>
            </w:tcBorders>
            <w:vAlign w:val="center"/>
          </w:tcPr>
          <w:p>
            <w:pPr>
              <w:spacing w:line="590" w:lineRule="exact"/>
              <w:rPr>
                <w:rFonts w:ascii="方正仿宋_GBK" w:eastAsia="方正仿宋_GBK"/>
                <w:sz w:val="28"/>
                <w:szCs w:val="28"/>
              </w:rPr>
            </w:pPr>
            <w:r>
              <w:rPr>
                <w:rFonts w:hint="eastAsia" w:ascii="方正仿宋_GBK" w:eastAsia="方正仿宋_GBK" w:cs="方正仿宋_GBK"/>
                <w:sz w:val="28"/>
                <w:szCs w:val="28"/>
              </w:rPr>
              <w:t>常规项</w:t>
            </w:r>
          </w:p>
        </w:tc>
        <w:tc>
          <w:tcPr>
            <w:tcW w:w="2834" w:type="dxa"/>
            <w:tcBorders>
              <w:top w:val="single" w:color="auto" w:sz="4" w:space="0"/>
              <w:left w:val="single" w:color="auto" w:sz="4" w:space="0"/>
              <w:bottom w:val="single" w:color="auto" w:sz="4" w:space="0"/>
              <w:right w:val="single" w:color="auto" w:sz="4" w:space="0"/>
            </w:tcBorders>
            <w:vAlign w:val="center"/>
          </w:tcPr>
          <w:p>
            <w:pPr>
              <w:spacing w:line="590" w:lineRule="exact"/>
              <w:ind w:firstLine="910" w:firstLineChars="325"/>
              <w:rPr>
                <w:rFonts w:ascii="方正仿宋_GBK" w:eastAsia="方正仿宋_GBK"/>
                <w:sz w:val="28"/>
                <w:szCs w:val="28"/>
              </w:rPr>
            </w:pPr>
            <w:r>
              <w:rPr>
                <w:rFonts w:hint="eastAsia" w:ascii="方正仿宋_GBK" w:eastAsia="方正仿宋_GBK" w:cs="方正仿宋_GBK"/>
                <w:sz w:val="28"/>
                <w:szCs w:val="28"/>
              </w:rPr>
              <w:t>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eastAsia="方正仿宋_GBK"/>
                <w:sz w:val="28"/>
                <w:szCs w:val="28"/>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90" w:lineRule="exact"/>
              <w:rPr>
                <w:rFonts w:ascii="方正仿宋_GBK" w:eastAsia="方正仿宋_GBK"/>
                <w:sz w:val="28"/>
                <w:szCs w:val="28"/>
              </w:rPr>
            </w:pPr>
            <w:r>
              <w:rPr>
                <w:rFonts w:hint="eastAsia" w:ascii="方正仿宋_GBK" w:eastAsia="方正仿宋_GBK" w:cs="方正仿宋_GBK"/>
                <w:sz w:val="28"/>
                <w:szCs w:val="28"/>
              </w:rPr>
              <w:t>需技术审评的</w:t>
            </w:r>
          </w:p>
        </w:tc>
        <w:tc>
          <w:tcPr>
            <w:tcW w:w="2834" w:type="dxa"/>
            <w:tcBorders>
              <w:top w:val="single" w:color="auto" w:sz="4" w:space="0"/>
              <w:left w:val="single" w:color="auto" w:sz="4" w:space="0"/>
              <w:bottom w:val="single" w:color="auto" w:sz="4" w:space="0"/>
              <w:right w:val="single" w:color="auto" w:sz="4" w:space="0"/>
            </w:tcBorders>
            <w:vAlign w:val="center"/>
          </w:tcPr>
          <w:p>
            <w:pPr>
              <w:spacing w:line="590" w:lineRule="exact"/>
              <w:ind w:firstLine="910" w:firstLineChars="325"/>
              <w:rPr>
                <w:rFonts w:ascii="方正仿宋_GBK" w:eastAsia="方正仿宋_GBK"/>
                <w:sz w:val="28"/>
                <w:szCs w:val="28"/>
              </w:rPr>
            </w:pPr>
            <w:r>
              <w:rPr>
                <w:rFonts w:hint="eastAsia" w:ascii="方正仿宋_GBK" w:eastAsia="方正仿宋_GBK" w:cs="方正仿宋_GBK"/>
                <w:sz w:val="28"/>
                <w:szCs w:val="28"/>
              </w:rPr>
              <w:t>26300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02" w:type="dxa"/>
            <w:gridSpan w:val="2"/>
            <w:tcBorders>
              <w:top w:val="single" w:color="auto" w:sz="4" w:space="0"/>
              <w:left w:val="single" w:color="auto" w:sz="4" w:space="0"/>
              <w:bottom w:val="single" w:color="auto" w:sz="4" w:space="0"/>
              <w:right w:val="single" w:color="auto" w:sz="4" w:space="0"/>
            </w:tcBorders>
            <w:vAlign w:val="center"/>
          </w:tcPr>
          <w:p>
            <w:pPr>
              <w:spacing w:line="590" w:lineRule="exact"/>
              <w:ind w:firstLine="630"/>
              <w:jc w:val="center"/>
              <w:rPr>
                <w:rFonts w:ascii="方正仿宋_GBK" w:eastAsia="方正仿宋_GBK"/>
                <w:sz w:val="28"/>
                <w:szCs w:val="28"/>
              </w:rPr>
            </w:pPr>
            <w:r>
              <w:rPr>
                <w:rFonts w:hint="eastAsia" w:ascii="方正仿宋_GBK" w:eastAsia="方正仿宋_GBK" w:cs="方正仿宋_GBK"/>
                <w:sz w:val="28"/>
                <w:szCs w:val="28"/>
              </w:rPr>
              <w:t>药品再注册费（五年一次）</w:t>
            </w:r>
          </w:p>
        </w:tc>
        <w:tc>
          <w:tcPr>
            <w:tcW w:w="2834" w:type="dxa"/>
            <w:tcBorders>
              <w:top w:val="single" w:color="auto" w:sz="4" w:space="0"/>
              <w:left w:val="single" w:color="auto" w:sz="4" w:space="0"/>
              <w:bottom w:val="single" w:color="auto" w:sz="4" w:space="0"/>
              <w:right w:val="single" w:color="auto" w:sz="4" w:space="0"/>
            </w:tcBorders>
            <w:vAlign w:val="center"/>
          </w:tcPr>
          <w:p>
            <w:pPr>
              <w:spacing w:line="590" w:lineRule="exact"/>
              <w:ind w:firstLine="910" w:firstLineChars="325"/>
              <w:rPr>
                <w:rFonts w:ascii="方正仿宋_GBK" w:eastAsia="方正仿宋_GBK"/>
                <w:sz w:val="28"/>
                <w:szCs w:val="28"/>
              </w:rPr>
            </w:pPr>
            <w:r>
              <w:rPr>
                <w:rFonts w:hint="eastAsia" w:ascii="方正仿宋_GBK" w:eastAsia="方正仿宋_GBK" w:cs="方正仿宋_GBK"/>
                <w:sz w:val="28"/>
                <w:szCs w:val="28"/>
              </w:rPr>
              <w:t>24800</w:t>
            </w:r>
          </w:p>
        </w:tc>
      </w:tr>
    </w:tbl>
    <w:p>
      <w:pPr>
        <w:tabs>
          <w:tab w:val="left" w:pos="6466"/>
        </w:tabs>
        <w:adjustRightInd w:val="0"/>
        <w:snapToGrid w:val="0"/>
        <w:spacing w:line="560" w:lineRule="exact"/>
        <w:ind w:left="103" w:leftChars="49" w:firstLine="480" w:firstLineChars="150"/>
        <w:rPr>
          <w:rFonts w:ascii="方正仿宋_GBK" w:eastAsia="方正仿宋_GBK" w:cs="方正仿宋_GBK"/>
          <w:sz w:val="32"/>
          <w:szCs w:val="32"/>
        </w:rPr>
      </w:pPr>
      <w:r>
        <w:rPr>
          <w:rFonts w:hint="eastAsia" w:ascii="方正仿宋_GBK" w:eastAsia="方正仿宋_GBK" w:cs="方正仿宋_GBK"/>
          <w:sz w:val="32"/>
          <w:szCs w:val="32"/>
        </w:rPr>
        <w:t>注：（1）药品注册收费按一个原料药或一个制剂为一个品种计收，如再增加一种规格，则按相应类别增收20%注册费。</w:t>
      </w:r>
    </w:p>
    <w:p>
      <w:pPr>
        <w:tabs>
          <w:tab w:val="left" w:pos="6466"/>
        </w:tabs>
        <w:adjustRightInd w:val="0"/>
        <w:snapToGrid w:val="0"/>
        <w:spacing w:line="560" w:lineRule="exact"/>
        <w:ind w:left="103" w:leftChars="49" w:firstLine="480" w:firstLineChars="150"/>
        <w:rPr>
          <w:rFonts w:ascii="方正仿宋_GBK" w:eastAsia="方正仿宋_GBK" w:cs="方正仿宋_GBK"/>
          <w:sz w:val="32"/>
          <w:szCs w:val="32"/>
        </w:rPr>
      </w:pPr>
      <w:r>
        <w:rPr>
          <w:rFonts w:hint="eastAsia" w:ascii="方正仿宋_GBK" w:eastAsia="方正仿宋_GBK" w:cs="方正仿宋_GBK"/>
          <w:sz w:val="32"/>
          <w:szCs w:val="32"/>
        </w:rPr>
        <w:t>（2）《药品注册管理办法》中属于省级食品药品监管部门备案的药品补充申请事项，不收取注册费，如此类申请经审核认定为申请内容需要技术审评的，申请人应按照需要技术审评的补充申请的收费标准补交费用。</w:t>
      </w:r>
    </w:p>
    <w:p>
      <w:pPr>
        <w:tabs>
          <w:tab w:val="left" w:pos="6466"/>
        </w:tabs>
        <w:adjustRightInd w:val="0"/>
        <w:snapToGrid w:val="0"/>
        <w:spacing w:line="560" w:lineRule="exact"/>
        <w:ind w:left="103" w:leftChars="49" w:firstLine="480" w:firstLineChars="150"/>
        <w:rPr>
          <w:rFonts w:ascii="方正仿宋_GBK" w:eastAsia="方正仿宋_GBK"/>
          <w:color w:val="000000"/>
          <w:sz w:val="32"/>
          <w:szCs w:val="32"/>
        </w:rPr>
      </w:pPr>
      <w:r>
        <w:rPr>
          <w:rFonts w:hint="eastAsia" w:ascii="方正仿宋_GBK" w:eastAsia="方正仿宋_GBK" w:cs="方正仿宋_GBK"/>
          <w:sz w:val="32"/>
          <w:szCs w:val="32"/>
        </w:rPr>
        <w:t>（3）</w:t>
      </w:r>
      <w:r>
        <w:rPr>
          <w:rFonts w:hint="eastAsia" w:ascii="方正仿宋_GBK" w:eastAsia="方正仿宋_GBK"/>
          <w:color w:val="000000"/>
          <w:sz w:val="32"/>
          <w:szCs w:val="32"/>
        </w:rPr>
        <w:t>注册申请受理后，申请人主动提出撤回注册申请的</w:t>
      </w:r>
      <w:r>
        <w:rPr>
          <w:rFonts w:hint="eastAsia" w:ascii="方正仿宋_GBK" w:eastAsia="方正仿宋_GBK"/>
          <w:sz w:val="32"/>
          <w:szCs w:val="32"/>
        </w:rPr>
        <w:t>，或市食品药品监督管理局依法做出不予许可决定的，已缴纳的注册费不予退回。再次</w:t>
      </w:r>
      <w:r>
        <w:rPr>
          <w:rFonts w:hint="eastAsia" w:ascii="方正仿宋_GBK" w:eastAsia="方正仿宋_GBK"/>
          <w:color w:val="000000"/>
          <w:sz w:val="32"/>
          <w:szCs w:val="32"/>
        </w:rPr>
        <w:t>提出注册申请的，应当重新缴纳费用。</w:t>
      </w:r>
    </w:p>
    <w:p>
      <w:pPr>
        <w:tabs>
          <w:tab w:val="left" w:pos="6466"/>
        </w:tabs>
        <w:adjustRightInd w:val="0"/>
        <w:snapToGrid w:val="0"/>
        <w:spacing w:line="560" w:lineRule="exact"/>
        <w:ind w:left="103" w:leftChars="49" w:firstLine="480" w:firstLineChars="150"/>
        <w:rPr>
          <w:rFonts w:ascii="方正仿宋_GBK" w:eastAsia="方正仿宋_GBK" w:cs="方正仿宋_GBK"/>
          <w:sz w:val="32"/>
          <w:szCs w:val="32"/>
        </w:rPr>
      </w:pPr>
      <w:r>
        <w:rPr>
          <w:rFonts w:hint="eastAsia" w:ascii="方正仿宋_GBK" w:eastAsia="方正仿宋_GBK" w:cs="方正仿宋_GBK"/>
          <w:sz w:val="32"/>
          <w:szCs w:val="32"/>
        </w:rPr>
        <w:t>（4）药品注册加急费收费标准另行制定。</w:t>
      </w:r>
    </w:p>
    <w:p>
      <w:pPr>
        <w:tabs>
          <w:tab w:val="left" w:pos="6466"/>
        </w:tabs>
        <w:adjustRightInd w:val="0"/>
        <w:snapToGrid w:val="0"/>
        <w:spacing w:line="560" w:lineRule="exact"/>
        <w:ind w:left="103" w:leftChars="49" w:firstLine="480" w:firstLineChars="150"/>
        <w:rPr>
          <w:rFonts w:ascii="方正黑体_GBK" w:eastAsia="方正黑体_GBK"/>
          <w:sz w:val="32"/>
          <w:szCs w:val="32"/>
        </w:rPr>
      </w:pPr>
      <w:r>
        <w:rPr>
          <w:rFonts w:hint="eastAsia" w:ascii="方正黑体_GBK" w:eastAsia="方正黑体_GBK"/>
          <w:sz w:val="32"/>
          <w:szCs w:val="32"/>
        </w:rPr>
        <w:t>二、境内第二类医疗器械产品注册费</w:t>
      </w:r>
    </w:p>
    <w:p>
      <w:pPr>
        <w:tabs>
          <w:tab w:val="left" w:pos="6466"/>
        </w:tabs>
        <w:adjustRightInd w:val="0"/>
        <w:snapToGrid w:val="0"/>
        <w:spacing w:line="560" w:lineRule="exact"/>
        <w:ind w:left="103" w:leftChars="49" w:firstLine="480" w:firstLineChars="150"/>
        <w:rPr>
          <w:rFonts w:ascii="方正仿宋_GBK" w:hAnsi="宋体" w:eastAsia="方正仿宋_GBK" w:cs="宋体"/>
          <w:bCs/>
          <w:kern w:val="0"/>
          <w:sz w:val="32"/>
          <w:szCs w:val="32"/>
        </w:rPr>
      </w:pPr>
      <w:r>
        <w:rPr>
          <w:rFonts w:hint="eastAsia" w:ascii="方正仿宋_GBK" w:hAnsi="宋体" w:eastAsia="方正仿宋_GBK"/>
          <w:sz w:val="32"/>
          <w:szCs w:val="32"/>
        </w:rPr>
        <w:t>重庆市食品药品监督管理局依照法定职责，对辖区内第二类医疗器械（包括体外诊断试剂）产品首次注册、变更注册、延续注册申请开展行政受理、质量管理体系核查、技术审评等注册工作，并按标准收取有关费用。具体标准如下：</w:t>
      </w:r>
    </w:p>
    <w:p>
      <w:pPr>
        <w:widowControl/>
        <w:shd w:val="clear" w:color="auto" w:fill="FFFFFF"/>
        <w:adjustRightInd w:val="0"/>
        <w:snapToGrid w:val="0"/>
        <w:spacing w:line="600" w:lineRule="exact"/>
        <w:jc w:val="center"/>
        <w:rPr>
          <w:rFonts w:ascii="方正黑体_GBK" w:hAnsi="宋体" w:eastAsia="方正黑体_GBK" w:cs="宋体"/>
          <w:bCs/>
          <w:kern w:val="0"/>
          <w:sz w:val="32"/>
          <w:szCs w:val="32"/>
        </w:rPr>
      </w:pPr>
      <w:r>
        <w:rPr>
          <w:rFonts w:hint="eastAsia" w:ascii="方正黑体_GBK" w:hAnsi="宋体" w:eastAsia="方正黑体_GBK" w:cs="宋体"/>
          <w:bCs/>
          <w:kern w:val="0"/>
          <w:sz w:val="32"/>
          <w:szCs w:val="32"/>
        </w:rPr>
        <w:t>第二类医疗器械产品注册收费标准</w:t>
      </w:r>
    </w:p>
    <w:p>
      <w:pPr>
        <w:widowControl/>
        <w:shd w:val="clear" w:color="auto" w:fill="FFFFFF"/>
        <w:adjustRightInd w:val="0"/>
        <w:spacing w:line="590" w:lineRule="exact"/>
        <w:jc w:val="center"/>
        <w:rPr>
          <w:rFonts w:ascii="方正仿宋_GBK" w:hAnsi="宋体" w:eastAsia="方正仿宋_GBK" w:cs="宋体"/>
          <w:bCs/>
          <w:kern w:val="0"/>
          <w:sz w:val="32"/>
          <w:szCs w:val="32"/>
        </w:rPr>
      </w:pPr>
      <w:r>
        <w:rPr>
          <w:rFonts w:hint="eastAsia" w:ascii="方正仿宋_GBK" w:hAnsi="宋体" w:eastAsia="方正仿宋_GBK" w:cs="宋体"/>
          <w:bCs/>
          <w:kern w:val="0"/>
          <w:sz w:val="32"/>
          <w:szCs w:val="32"/>
        </w:rPr>
        <w:t xml:space="preserve">                                 单位：元</w:t>
      </w:r>
    </w:p>
    <w:tbl>
      <w:tblPr>
        <w:tblStyle w:val="9"/>
        <w:tblW w:w="8401" w:type="dxa"/>
        <w:jc w:val="center"/>
        <w:tblInd w:w="153"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432"/>
        <w:gridCol w:w="396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55" w:hRule="atLeast"/>
          <w:jc w:val="center"/>
        </w:trPr>
        <w:tc>
          <w:tcPr>
            <w:tcW w:w="4432" w:type="dxa"/>
            <w:tcBorders>
              <w:top w:val="outset" w:color="auto" w:sz="6" w:space="0"/>
              <w:left w:val="outset" w:color="auto" w:sz="6" w:space="0"/>
              <w:bottom w:val="outset" w:color="auto" w:sz="6" w:space="0"/>
              <w:right w:val="outset" w:color="auto" w:sz="6" w:space="0"/>
            </w:tcBorders>
            <w:vAlign w:val="center"/>
          </w:tcPr>
          <w:p>
            <w:pPr>
              <w:pStyle w:val="13"/>
              <w:widowControl/>
              <w:shd w:val="clear" w:color="auto" w:fill="FFFFFF"/>
              <w:adjustRightInd w:val="0"/>
              <w:spacing w:line="590" w:lineRule="exact"/>
              <w:ind w:firstLine="211" w:firstLineChars="66"/>
              <w:jc w:val="center"/>
              <w:rPr>
                <w:rFonts w:ascii="方正黑体_GBK" w:hAnsi="宋体" w:eastAsia="方正黑体_GBK"/>
                <w:sz w:val="32"/>
                <w:szCs w:val="32"/>
              </w:rPr>
            </w:pPr>
            <w:r>
              <w:rPr>
                <w:rFonts w:hint="eastAsia" w:ascii="方正黑体_GBK" w:hAnsi="宋体" w:eastAsia="方正黑体_GBK"/>
                <w:sz w:val="32"/>
                <w:szCs w:val="32"/>
              </w:rPr>
              <w:t>项  目</w:t>
            </w:r>
          </w:p>
        </w:tc>
        <w:tc>
          <w:tcPr>
            <w:tcW w:w="3969" w:type="dxa"/>
            <w:tcBorders>
              <w:top w:val="outset" w:color="auto" w:sz="6" w:space="0"/>
              <w:left w:val="outset" w:color="auto" w:sz="6" w:space="0"/>
              <w:bottom w:val="outset" w:color="auto" w:sz="6" w:space="0"/>
              <w:right w:val="outset" w:color="auto" w:sz="6" w:space="0"/>
            </w:tcBorders>
            <w:vAlign w:val="center"/>
          </w:tcPr>
          <w:p>
            <w:pPr>
              <w:pStyle w:val="13"/>
              <w:widowControl/>
              <w:shd w:val="clear" w:color="auto" w:fill="FFFFFF"/>
              <w:adjustRightInd w:val="0"/>
              <w:spacing w:line="590" w:lineRule="exact"/>
              <w:ind w:firstLine="640"/>
              <w:jc w:val="center"/>
              <w:rPr>
                <w:rFonts w:ascii="方正黑体_GBK" w:hAnsi="宋体" w:eastAsia="方正黑体_GBK"/>
                <w:sz w:val="32"/>
                <w:szCs w:val="32"/>
              </w:rPr>
            </w:pPr>
            <w:r>
              <w:rPr>
                <w:rFonts w:hint="eastAsia" w:ascii="方正黑体_GBK" w:hAnsi="宋体" w:eastAsia="方正黑体_GBK"/>
                <w:sz w:val="32"/>
                <w:szCs w:val="32"/>
              </w:rPr>
              <w:t>收费标准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40" w:hRule="atLeast"/>
          <w:jc w:val="center"/>
        </w:trPr>
        <w:tc>
          <w:tcPr>
            <w:tcW w:w="4432" w:type="dxa"/>
            <w:tcBorders>
              <w:top w:val="outset" w:color="auto" w:sz="6" w:space="0"/>
              <w:left w:val="outset" w:color="auto" w:sz="6" w:space="0"/>
              <w:bottom w:val="outset" w:color="auto" w:sz="6" w:space="0"/>
              <w:right w:val="outset" w:color="auto" w:sz="6" w:space="0"/>
            </w:tcBorders>
            <w:vAlign w:val="center"/>
          </w:tcPr>
          <w:p>
            <w:pPr>
              <w:pStyle w:val="13"/>
              <w:widowControl/>
              <w:shd w:val="clear" w:color="auto" w:fill="FFFFFF"/>
              <w:adjustRightInd w:val="0"/>
              <w:spacing w:line="590" w:lineRule="exact"/>
              <w:ind w:firstLine="211" w:firstLineChars="66"/>
              <w:rPr>
                <w:rFonts w:ascii="方正仿宋_GBK" w:hAnsi="宋体" w:eastAsia="方正仿宋_GBK"/>
                <w:sz w:val="32"/>
                <w:szCs w:val="32"/>
              </w:rPr>
            </w:pPr>
            <w:r>
              <w:rPr>
                <w:rFonts w:hint="eastAsia" w:ascii="方正仿宋_GBK" w:hAnsi="宋体" w:eastAsia="方正仿宋_GBK"/>
                <w:sz w:val="32"/>
                <w:szCs w:val="32"/>
              </w:rPr>
              <w:t>首次注册费</w:t>
            </w:r>
          </w:p>
        </w:tc>
        <w:tc>
          <w:tcPr>
            <w:tcW w:w="3969" w:type="dxa"/>
            <w:tcBorders>
              <w:top w:val="outset" w:color="auto" w:sz="6" w:space="0"/>
              <w:left w:val="outset" w:color="auto" w:sz="6" w:space="0"/>
              <w:bottom w:val="outset" w:color="auto" w:sz="6" w:space="0"/>
              <w:right w:val="outset" w:color="auto" w:sz="6" w:space="0"/>
            </w:tcBorders>
            <w:vAlign w:val="center"/>
          </w:tcPr>
          <w:p>
            <w:pPr>
              <w:pStyle w:val="13"/>
              <w:widowControl/>
              <w:shd w:val="clear" w:color="auto" w:fill="FFFFFF"/>
              <w:adjustRightInd w:val="0"/>
              <w:spacing w:line="590" w:lineRule="exact"/>
              <w:ind w:firstLine="640"/>
              <w:jc w:val="center"/>
              <w:rPr>
                <w:rFonts w:ascii="方正仿宋_GBK" w:hAnsi="宋体" w:eastAsia="方正仿宋_GBK"/>
                <w:sz w:val="32"/>
                <w:szCs w:val="32"/>
              </w:rPr>
            </w:pPr>
            <w:r>
              <w:rPr>
                <w:rFonts w:hint="eastAsia" w:ascii="方正仿宋_GBK" w:hAnsi="宋体" w:eastAsia="方正仿宋_GBK"/>
                <w:sz w:val="32"/>
                <w:szCs w:val="32"/>
              </w:rPr>
              <w:t>74300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55" w:hRule="atLeast"/>
          <w:jc w:val="center"/>
        </w:trPr>
        <w:tc>
          <w:tcPr>
            <w:tcW w:w="4432" w:type="dxa"/>
            <w:tcBorders>
              <w:top w:val="outset" w:color="auto" w:sz="6" w:space="0"/>
              <w:left w:val="outset" w:color="auto" w:sz="6" w:space="0"/>
              <w:bottom w:val="outset" w:color="auto" w:sz="6" w:space="0"/>
              <w:right w:val="outset" w:color="auto" w:sz="6" w:space="0"/>
            </w:tcBorders>
            <w:vAlign w:val="center"/>
          </w:tcPr>
          <w:p>
            <w:pPr>
              <w:pStyle w:val="13"/>
              <w:widowControl/>
              <w:shd w:val="clear" w:color="auto" w:fill="FFFFFF"/>
              <w:adjustRightInd w:val="0"/>
              <w:spacing w:line="590" w:lineRule="exact"/>
              <w:ind w:firstLine="211" w:firstLineChars="66"/>
              <w:rPr>
                <w:rFonts w:ascii="方正仿宋_GBK" w:hAnsi="宋体" w:eastAsia="方正仿宋_GBK"/>
                <w:sz w:val="32"/>
                <w:szCs w:val="32"/>
              </w:rPr>
            </w:pPr>
            <w:r>
              <w:rPr>
                <w:rFonts w:hint="eastAsia" w:ascii="方正仿宋_GBK" w:hAnsi="宋体" w:eastAsia="方正仿宋_GBK"/>
                <w:sz w:val="32"/>
                <w:szCs w:val="32"/>
              </w:rPr>
              <w:t>变更注册费</w:t>
            </w:r>
          </w:p>
        </w:tc>
        <w:tc>
          <w:tcPr>
            <w:tcW w:w="3969" w:type="dxa"/>
            <w:tcBorders>
              <w:top w:val="outset" w:color="auto" w:sz="6" w:space="0"/>
              <w:left w:val="outset" w:color="auto" w:sz="6" w:space="0"/>
              <w:bottom w:val="outset" w:color="auto" w:sz="6" w:space="0"/>
              <w:right w:val="outset" w:color="auto" w:sz="6" w:space="0"/>
            </w:tcBorders>
            <w:vAlign w:val="center"/>
          </w:tcPr>
          <w:p>
            <w:pPr>
              <w:pStyle w:val="13"/>
              <w:widowControl/>
              <w:shd w:val="clear" w:color="auto" w:fill="FFFFFF"/>
              <w:adjustRightInd w:val="0"/>
              <w:spacing w:line="590" w:lineRule="exact"/>
              <w:ind w:firstLine="640"/>
              <w:jc w:val="center"/>
              <w:rPr>
                <w:rFonts w:ascii="方正仿宋_GBK" w:hAnsi="宋体" w:eastAsia="方正仿宋_GBK"/>
                <w:sz w:val="32"/>
                <w:szCs w:val="32"/>
              </w:rPr>
            </w:pPr>
            <w:r>
              <w:rPr>
                <w:rFonts w:hint="eastAsia" w:ascii="方正仿宋_GBK" w:hAnsi="宋体" w:eastAsia="方正仿宋_GBK"/>
                <w:sz w:val="32"/>
                <w:szCs w:val="32"/>
              </w:rPr>
              <w:t>31100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55" w:hRule="atLeast"/>
          <w:jc w:val="center"/>
        </w:trPr>
        <w:tc>
          <w:tcPr>
            <w:tcW w:w="4432" w:type="dxa"/>
            <w:tcBorders>
              <w:top w:val="outset" w:color="auto" w:sz="6" w:space="0"/>
              <w:left w:val="outset" w:color="auto" w:sz="6" w:space="0"/>
              <w:bottom w:val="outset" w:color="auto" w:sz="6" w:space="0"/>
              <w:right w:val="outset" w:color="auto" w:sz="6" w:space="0"/>
            </w:tcBorders>
            <w:vAlign w:val="center"/>
          </w:tcPr>
          <w:p>
            <w:pPr>
              <w:pStyle w:val="13"/>
              <w:widowControl/>
              <w:shd w:val="clear" w:color="auto" w:fill="FFFFFF"/>
              <w:adjustRightInd w:val="0"/>
              <w:spacing w:line="590" w:lineRule="exact"/>
              <w:ind w:firstLine="211" w:firstLineChars="66"/>
              <w:rPr>
                <w:rFonts w:ascii="方正仿宋_GBK" w:hAnsi="宋体" w:eastAsia="方正仿宋_GBK"/>
                <w:sz w:val="32"/>
                <w:szCs w:val="32"/>
              </w:rPr>
            </w:pPr>
            <w:r>
              <w:rPr>
                <w:rFonts w:hint="eastAsia" w:ascii="方正仿宋_GBK" w:hAnsi="宋体" w:eastAsia="方正仿宋_GBK"/>
                <w:sz w:val="32"/>
                <w:szCs w:val="32"/>
              </w:rPr>
              <w:t>延续注册费（五年一次）</w:t>
            </w:r>
          </w:p>
        </w:tc>
        <w:tc>
          <w:tcPr>
            <w:tcW w:w="3969" w:type="dxa"/>
            <w:tcBorders>
              <w:top w:val="outset" w:color="auto" w:sz="6" w:space="0"/>
              <w:left w:val="outset" w:color="auto" w:sz="6" w:space="0"/>
              <w:bottom w:val="outset" w:color="auto" w:sz="6" w:space="0"/>
              <w:right w:val="outset" w:color="auto" w:sz="6" w:space="0"/>
            </w:tcBorders>
            <w:vAlign w:val="center"/>
          </w:tcPr>
          <w:p>
            <w:pPr>
              <w:pStyle w:val="13"/>
              <w:widowControl/>
              <w:shd w:val="clear" w:color="auto" w:fill="FFFFFF"/>
              <w:adjustRightInd w:val="0"/>
              <w:spacing w:line="590" w:lineRule="exact"/>
              <w:ind w:firstLine="640"/>
              <w:jc w:val="center"/>
              <w:rPr>
                <w:rFonts w:ascii="方正仿宋_GBK" w:hAnsi="宋体" w:eastAsia="方正仿宋_GBK"/>
                <w:sz w:val="32"/>
                <w:szCs w:val="32"/>
              </w:rPr>
            </w:pPr>
            <w:r>
              <w:rPr>
                <w:rFonts w:hint="eastAsia" w:ascii="方正仿宋_GBK" w:hAnsi="宋体" w:eastAsia="方正仿宋_GBK"/>
                <w:sz w:val="32"/>
                <w:szCs w:val="32"/>
              </w:rPr>
              <w:t>30900</w:t>
            </w:r>
          </w:p>
        </w:tc>
      </w:tr>
    </w:tbl>
    <w:p>
      <w:pPr>
        <w:tabs>
          <w:tab w:val="left" w:pos="6466"/>
        </w:tabs>
        <w:snapToGrid w:val="0"/>
        <w:spacing w:line="566" w:lineRule="exact"/>
        <w:ind w:firstLine="640" w:firstLineChars="200"/>
        <w:rPr>
          <w:rFonts w:ascii="方正仿宋_GBK" w:hAnsi="宋体" w:eastAsia="方正仿宋_GBK"/>
          <w:sz w:val="32"/>
          <w:szCs w:val="32"/>
        </w:rPr>
      </w:pPr>
      <w:r>
        <w:rPr>
          <w:rFonts w:hint="eastAsia" w:ascii="方正仿宋_GBK" w:eastAsia="方正仿宋_GBK" w:cs="方正仿宋_GBK"/>
          <w:sz w:val="32"/>
          <w:szCs w:val="32"/>
        </w:rPr>
        <w:t>注：（1）医疗器械产品注册收费按《医疗器械注册管理办法》、《体外诊断试剂注册管理办法》确定的注册单元计收。</w:t>
      </w:r>
      <w:r>
        <w:rPr>
          <w:rFonts w:hint="eastAsia" w:ascii="方正仿宋_GBK" w:hAnsi="宋体" w:eastAsia="方正仿宋_GBK"/>
          <w:sz w:val="32"/>
          <w:szCs w:val="32"/>
        </w:rPr>
        <w:t>注册申请人应当按第二类医疗器械注册单元提出产品注册申请并按规定缴纳费用，对于根据相关要求需拆分注册单元的，被拆分出的注册单元应当另行申报。</w:t>
      </w:r>
    </w:p>
    <w:p>
      <w:pPr>
        <w:tabs>
          <w:tab w:val="left" w:pos="6466"/>
        </w:tabs>
        <w:snapToGrid w:val="0"/>
        <w:spacing w:line="566" w:lineRule="exact"/>
        <w:ind w:firstLine="640" w:firstLineChars="200"/>
        <w:rPr>
          <w:rFonts w:ascii="方正仿宋_GBK" w:eastAsia="方正仿宋_GBK" w:cs="方正仿宋_GBK"/>
          <w:spacing w:val="-8"/>
          <w:sz w:val="32"/>
          <w:szCs w:val="32"/>
        </w:rPr>
      </w:pPr>
      <w:r>
        <w:rPr>
          <w:rFonts w:hint="eastAsia" w:ascii="方正仿宋_GBK" w:eastAsia="方正仿宋_GBK" w:cs="方正仿宋_GBK"/>
          <w:sz w:val="32"/>
          <w:szCs w:val="32"/>
        </w:rPr>
        <w:t>（2）《医疗器械注册管理办法》、《体外诊断试剂注册管理</w:t>
      </w:r>
      <w:r>
        <w:rPr>
          <w:rFonts w:hint="eastAsia" w:ascii="方正仿宋_GBK" w:eastAsia="方正仿宋_GBK" w:cs="方正仿宋_GBK"/>
          <w:spacing w:val="-8"/>
          <w:sz w:val="32"/>
          <w:szCs w:val="32"/>
        </w:rPr>
        <w:t>办法》中属于备案的登记事项变更申请，不收取变更注册申请费。</w:t>
      </w:r>
    </w:p>
    <w:p>
      <w:pPr>
        <w:tabs>
          <w:tab w:val="left" w:pos="6466"/>
        </w:tabs>
        <w:snapToGrid w:val="0"/>
        <w:spacing w:line="600" w:lineRule="exact"/>
        <w:ind w:firstLine="640" w:firstLineChars="200"/>
        <w:rPr>
          <w:rFonts w:ascii="方正仿宋_GBK" w:hAnsi="宋体" w:eastAsia="方正仿宋_GBK"/>
          <w:sz w:val="32"/>
          <w:szCs w:val="32"/>
        </w:rPr>
      </w:pPr>
      <w:r>
        <w:rPr>
          <w:rFonts w:hint="eastAsia" w:ascii="方正仿宋_GBK" w:eastAsia="方正仿宋_GBK" w:cs="方正仿宋_GBK"/>
          <w:sz w:val="32"/>
          <w:szCs w:val="32"/>
        </w:rPr>
        <w:t>（3）</w:t>
      </w:r>
      <w:r>
        <w:rPr>
          <w:rFonts w:hint="eastAsia" w:ascii="方正仿宋_GBK" w:hAnsi="宋体" w:eastAsia="方正仿宋_GBK"/>
          <w:sz w:val="32"/>
          <w:szCs w:val="32"/>
        </w:rPr>
        <w:t>注册申请受理后，申请人主动提出撤回注册申请的，或重庆市食品药品监督管理局依法做出不予许可决定的，已缴纳的注册费不予退回。再次提出注册申请的，应当重新缴纳费用。</w:t>
      </w:r>
    </w:p>
    <w:p>
      <w:pPr>
        <w:tabs>
          <w:tab w:val="left" w:pos="6466"/>
        </w:tabs>
        <w:snapToGrid w:val="0"/>
        <w:spacing w:line="600" w:lineRule="exact"/>
        <w:ind w:firstLine="640" w:firstLineChars="200"/>
        <w:rPr>
          <w:rFonts w:ascii="方正仿宋_GBK" w:eastAsia="方正仿宋_GBK"/>
          <w:color w:val="000000"/>
          <w:sz w:val="32"/>
          <w:szCs w:val="32"/>
        </w:rPr>
      </w:pPr>
      <w:r>
        <w:rPr>
          <w:rFonts w:hint="eastAsia" w:ascii="方正仿宋_GBK" w:hAnsi="宋体" w:eastAsia="方正仿宋_GBK"/>
          <w:sz w:val="32"/>
          <w:szCs w:val="32"/>
        </w:rPr>
        <w:t>（4）</w:t>
      </w:r>
      <w:r>
        <w:rPr>
          <w:rFonts w:hint="eastAsia" w:ascii="方正仿宋_GBK" w:eastAsia="方正仿宋_GBK"/>
          <w:color w:val="000000"/>
          <w:sz w:val="32"/>
          <w:szCs w:val="32"/>
        </w:rPr>
        <w:t>小微企业提出的第二类创新医疗器械产品首次注册申请，免收首次注册费。创新医疗器械产品是指由国家食品药品监督管理总局创新医疗器械审查办公室确定的产品。</w:t>
      </w:r>
    </w:p>
    <w:p>
      <w:pPr>
        <w:tabs>
          <w:tab w:val="left" w:pos="6466"/>
        </w:tabs>
        <w:snapToGrid w:val="0"/>
        <w:spacing w:line="600" w:lineRule="exact"/>
        <w:ind w:firstLine="640" w:firstLineChars="200"/>
        <w:rPr>
          <w:rFonts w:ascii="方正仿宋_GBK" w:eastAsia="方正仿宋_GBK" w:cs="方正仿宋_GBK"/>
          <w:sz w:val="32"/>
          <w:szCs w:val="32"/>
        </w:rPr>
      </w:pPr>
      <w:r>
        <w:rPr>
          <w:rFonts w:hint="eastAsia" w:ascii="方正仿宋_GBK" w:eastAsia="方正仿宋_GBK" w:cs="方正仿宋_GBK"/>
          <w:sz w:val="32"/>
          <w:szCs w:val="32"/>
        </w:rPr>
        <w:t>（5）医疗器械产品注册加急费收费标准另行制定。</w:t>
      </w:r>
    </w:p>
    <w:p>
      <w:pPr>
        <w:tabs>
          <w:tab w:val="left" w:pos="6466"/>
        </w:tabs>
        <w:snapToGrid w:val="0"/>
        <w:spacing w:line="600" w:lineRule="exact"/>
        <w:ind w:firstLine="640" w:firstLineChars="200"/>
        <w:rPr>
          <w:rFonts w:ascii="方正黑体_GBK" w:eastAsia="方正黑体_GBK"/>
          <w:sz w:val="32"/>
          <w:szCs w:val="32"/>
        </w:rPr>
      </w:pPr>
      <w:r>
        <w:rPr>
          <w:rFonts w:hint="eastAsia" w:ascii="方正黑体_GBK" w:eastAsia="方正黑体_GBK"/>
          <w:sz w:val="32"/>
          <w:szCs w:val="32"/>
        </w:rPr>
        <w:t>三、其它事项</w:t>
      </w:r>
    </w:p>
    <w:p>
      <w:pPr>
        <w:tabs>
          <w:tab w:val="left" w:pos="6466"/>
        </w:tabs>
        <w:snapToGrid w:val="0"/>
        <w:spacing w:line="600" w:lineRule="exact"/>
        <w:ind w:firstLine="640" w:firstLineChars="200"/>
        <w:rPr>
          <w:rFonts w:ascii="方正仿宋_GBK" w:eastAsia="方正仿宋_GBK"/>
          <w:sz w:val="32"/>
          <w:szCs w:val="32"/>
        </w:rPr>
      </w:pPr>
      <w:r>
        <w:rPr>
          <w:rFonts w:hint="eastAsia" w:ascii="方正仿宋_GBK" w:eastAsia="方正仿宋_GBK"/>
          <w:sz w:val="32"/>
          <w:szCs w:val="32"/>
        </w:rPr>
        <w:t>对符合《重庆市财政局关于市级非税收入退付程序的通知》</w:t>
      </w:r>
      <w:r>
        <w:rPr>
          <w:rFonts w:hint="eastAsia" w:ascii="方正仿宋_GBK" w:eastAsia="方正仿宋_GBK"/>
          <w:color w:val="000000"/>
          <w:sz w:val="32"/>
          <w:szCs w:val="32"/>
        </w:rPr>
        <w:t>（渝财库</w:t>
      </w:r>
      <w:r>
        <w:rPr>
          <w:rFonts w:hint="eastAsia" w:ascii="方正仿宋_GBK" w:eastAsia="方正仿宋_GBK"/>
          <w:sz w:val="32"/>
          <w:szCs w:val="32"/>
        </w:rPr>
        <w:t>〔2003〕41号</w:t>
      </w:r>
      <w:r>
        <w:rPr>
          <w:rFonts w:hint="eastAsia" w:ascii="方正仿宋_GBK" w:eastAsia="方正仿宋_GBK"/>
          <w:color w:val="000000"/>
          <w:sz w:val="32"/>
          <w:szCs w:val="32"/>
        </w:rPr>
        <w:t>）退付范围的注册费，由申请人向受理部门提交退付申请、汇缴款凭据、《非税收入一般缴款书》（收据联）复印件等有关材料（所有材料均需加盖申请单位印章）。退付程序每季度办理一次。</w:t>
      </w:r>
    </w:p>
    <w:sectPr>
      <w:footerReference r:id="rId3" w:type="default"/>
      <w:footerReference r:id="rId4" w:type="even"/>
      <w:pgSz w:w="11906" w:h="16838"/>
      <w:pgMar w:top="2098" w:right="1531" w:bottom="1985" w:left="1531"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- 2 -</w:t>
    </w:r>
    <w:r>
      <w:rPr>
        <w:rStyle w:val="7"/>
        <w:rFonts w:ascii="宋体" w:hAnsi="宋体"/>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79C"/>
    <w:rsid w:val="00006A43"/>
    <w:rsid w:val="00006EE4"/>
    <w:rsid w:val="00006F7D"/>
    <w:rsid w:val="00016DFF"/>
    <w:rsid w:val="0002499B"/>
    <w:rsid w:val="000348CD"/>
    <w:rsid w:val="000350DD"/>
    <w:rsid w:val="0005141F"/>
    <w:rsid w:val="00054481"/>
    <w:rsid w:val="00064D54"/>
    <w:rsid w:val="00072F57"/>
    <w:rsid w:val="000763E6"/>
    <w:rsid w:val="000904CA"/>
    <w:rsid w:val="000904D4"/>
    <w:rsid w:val="00092C8C"/>
    <w:rsid w:val="0009471B"/>
    <w:rsid w:val="00096720"/>
    <w:rsid w:val="000A2BA1"/>
    <w:rsid w:val="000A616D"/>
    <w:rsid w:val="000A6CD8"/>
    <w:rsid w:val="000C02EE"/>
    <w:rsid w:val="000C1B8D"/>
    <w:rsid w:val="000D4993"/>
    <w:rsid w:val="000D5E62"/>
    <w:rsid w:val="000D6A6D"/>
    <w:rsid w:val="000E5673"/>
    <w:rsid w:val="000E7A37"/>
    <w:rsid w:val="00101A8A"/>
    <w:rsid w:val="00106A2C"/>
    <w:rsid w:val="00107DBF"/>
    <w:rsid w:val="001130B5"/>
    <w:rsid w:val="00125E0D"/>
    <w:rsid w:val="00131E72"/>
    <w:rsid w:val="001372E6"/>
    <w:rsid w:val="0014513F"/>
    <w:rsid w:val="00160055"/>
    <w:rsid w:val="00160E9D"/>
    <w:rsid w:val="001632F3"/>
    <w:rsid w:val="001746DE"/>
    <w:rsid w:val="0018045D"/>
    <w:rsid w:val="0018138A"/>
    <w:rsid w:val="001874A7"/>
    <w:rsid w:val="0019118B"/>
    <w:rsid w:val="00191861"/>
    <w:rsid w:val="00197081"/>
    <w:rsid w:val="001A0754"/>
    <w:rsid w:val="001A43DC"/>
    <w:rsid w:val="001B3B97"/>
    <w:rsid w:val="001B4F31"/>
    <w:rsid w:val="001C3561"/>
    <w:rsid w:val="001C46C6"/>
    <w:rsid w:val="001E098C"/>
    <w:rsid w:val="001E4470"/>
    <w:rsid w:val="00210DE1"/>
    <w:rsid w:val="0021165A"/>
    <w:rsid w:val="00231476"/>
    <w:rsid w:val="002322A4"/>
    <w:rsid w:val="00232C68"/>
    <w:rsid w:val="0023411F"/>
    <w:rsid w:val="00241331"/>
    <w:rsid w:val="00245E59"/>
    <w:rsid w:val="002509C3"/>
    <w:rsid w:val="002627E7"/>
    <w:rsid w:val="00263240"/>
    <w:rsid w:val="002724A5"/>
    <w:rsid w:val="00274056"/>
    <w:rsid w:val="00277870"/>
    <w:rsid w:val="00286FA7"/>
    <w:rsid w:val="00287FEA"/>
    <w:rsid w:val="00295CA3"/>
    <w:rsid w:val="002A318D"/>
    <w:rsid w:val="002A7AAE"/>
    <w:rsid w:val="002B42D2"/>
    <w:rsid w:val="002B7914"/>
    <w:rsid w:val="002B7C8E"/>
    <w:rsid w:val="002C1B82"/>
    <w:rsid w:val="002D6039"/>
    <w:rsid w:val="002F3861"/>
    <w:rsid w:val="00304919"/>
    <w:rsid w:val="0030618B"/>
    <w:rsid w:val="00307F2D"/>
    <w:rsid w:val="00312696"/>
    <w:rsid w:val="003159CF"/>
    <w:rsid w:val="0032504D"/>
    <w:rsid w:val="00325B6D"/>
    <w:rsid w:val="003351A4"/>
    <w:rsid w:val="00335F59"/>
    <w:rsid w:val="00337B8A"/>
    <w:rsid w:val="003417A5"/>
    <w:rsid w:val="0034396B"/>
    <w:rsid w:val="00351F27"/>
    <w:rsid w:val="00355EA5"/>
    <w:rsid w:val="00362D76"/>
    <w:rsid w:val="00364296"/>
    <w:rsid w:val="003658D1"/>
    <w:rsid w:val="003665BD"/>
    <w:rsid w:val="003674E2"/>
    <w:rsid w:val="00374798"/>
    <w:rsid w:val="003756B3"/>
    <w:rsid w:val="0038266A"/>
    <w:rsid w:val="003848E6"/>
    <w:rsid w:val="003871E7"/>
    <w:rsid w:val="00392B06"/>
    <w:rsid w:val="003A0437"/>
    <w:rsid w:val="003A3623"/>
    <w:rsid w:val="003A40BD"/>
    <w:rsid w:val="003A7D4C"/>
    <w:rsid w:val="003B31CF"/>
    <w:rsid w:val="003B5C7D"/>
    <w:rsid w:val="003C231B"/>
    <w:rsid w:val="003C577C"/>
    <w:rsid w:val="003D179E"/>
    <w:rsid w:val="003D20AB"/>
    <w:rsid w:val="003E299A"/>
    <w:rsid w:val="003F0999"/>
    <w:rsid w:val="003F28F7"/>
    <w:rsid w:val="003F2EC8"/>
    <w:rsid w:val="0040128B"/>
    <w:rsid w:val="00401AB6"/>
    <w:rsid w:val="004024DB"/>
    <w:rsid w:val="00402E91"/>
    <w:rsid w:val="00406796"/>
    <w:rsid w:val="00413394"/>
    <w:rsid w:val="00417E46"/>
    <w:rsid w:val="00426623"/>
    <w:rsid w:val="00430506"/>
    <w:rsid w:val="00430992"/>
    <w:rsid w:val="004435BE"/>
    <w:rsid w:val="00447FB3"/>
    <w:rsid w:val="0045778F"/>
    <w:rsid w:val="00461CC7"/>
    <w:rsid w:val="00462465"/>
    <w:rsid w:val="004624CA"/>
    <w:rsid w:val="00464834"/>
    <w:rsid w:val="00467CC1"/>
    <w:rsid w:val="00481141"/>
    <w:rsid w:val="004876DE"/>
    <w:rsid w:val="00494D5D"/>
    <w:rsid w:val="004A0623"/>
    <w:rsid w:val="004B0624"/>
    <w:rsid w:val="004B5B7A"/>
    <w:rsid w:val="004B61C5"/>
    <w:rsid w:val="004C242C"/>
    <w:rsid w:val="004D3810"/>
    <w:rsid w:val="004D4041"/>
    <w:rsid w:val="005157CB"/>
    <w:rsid w:val="00524BC4"/>
    <w:rsid w:val="005271B2"/>
    <w:rsid w:val="00527537"/>
    <w:rsid w:val="00530193"/>
    <w:rsid w:val="00530565"/>
    <w:rsid w:val="00533F18"/>
    <w:rsid w:val="0054289A"/>
    <w:rsid w:val="00543C88"/>
    <w:rsid w:val="00544868"/>
    <w:rsid w:val="00555204"/>
    <w:rsid w:val="00560923"/>
    <w:rsid w:val="005817E7"/>
    <w:rsid w:val="0058207F"/>
    <w:rsid w:val="00587CCD"/>
    <w:rsid w:val="005901D3"/>
    <w:rsid w:val="005902F5"/>
    <w:rsid w:val="00591D3A"/>
    <w:rsid w:val="00592A62"/>
    <w:rsid w:val="00595224"/>
    <w:rsid w:val="005A0259"/>
    <w:rsid w:val="005A0789"/>
    <w:rsid w:val="005B2FA8"/>
    <w:rsid w:val="005B5D9F"/>
    <w:rsid w:val="005D16DF"/>
    <w:rsid w:val="005D3376"/>
    <w:rsid w:val="005F75BC"/>
    <w:rsid w:val="00603748"/>
    <w:rsid w:val="00604FD6"/>
    <w:rsid w:val="006124E1"/>
    <w:rsid w:val="006201E3"/>
    <w:rsid w:val="0062082D"/>
    <w:rsid w:val="006210E2"/>
    <w:rsid w:val="00623435"/>
    <w:rsid w:val="00623EFF"/>
    <w:rsid w:val="00632E46"/>
    <w:rsid w:val="006337EB"/>
    <w:rsid w:val="00635E5D"/>
    <w:rsid w:val="0063641A"/>
    <w:rsid w:val="00636459"/>
    <w:rsid w:val="00640B87"/>
    <w:rsid w:val="00646E5F"/>
    <w:rsid w:val="006525B3"/>
    <w:rsid w:val="00655662"/>
    <w:rsid w:val="006576DC"/>
    <w:rsid w:val="00677246"/>
    <w:rsid w:val="006772FF"/>
    <w:rsid w:val="00680A51"/>
    <w:rsid w:val="006830B0"/>
    <w:rsid w:val="006B211C"/>
    <w:rsid w:val="006B3FCF"/>
    <w:rsid w:val="006B45B7"/>
    <w:rsid w:val="006B7F57"/>
    <w:rsid w:val="006C00B2"/>
    <w:rsid w:val="006C5860"/>
    <w:rsid w:val="006E0DAB"/>
    <w:rsid w:val="006E47AC"/>
    <w:rsid w:val="006F08C8"/>
    <w:rsid w:val="007001E0"/>
    <w:rsid w:val="00706D7A"/>
    <w:rsid w:val="00707B7D"/>
    <w:rsid w:val="00710219"/>
    <w:rsid w:val="007178E3"/>
    <w:rsid w:val="00720374"/>
    <w:rsid w:val="00727C2C"/>
    <w:rsid w:val="00730DCD"/>
    <w:rsid w:val="007335BA"/>
    <w:rsid w:val="00736654"/>
    <w:rsid w:val="007420C9"/>
    <w:rsid w:val="007420EA"/>
    <w:rsid w:val="00750C6C"/>
    <w:rsid w:val="00750FA2"/>
    <w:rsid w:val="00751BD6"/>
    <w:rsid w:val="00753CE9"/>
    <w:rsid w:val="007606A7"/>
    <w:rsid w:val="0076200D"/>
    <w:rsid w:val="0076482D"/>
    <w:rsid w:val="00776FBD"/>
    <w:rsid w:val="007772D1"/>
    <w:rsid w:val="00781BCB"/>
    <w:rsid w:val="007971E0"/>
    <w:rsid w:val="007B00F1"/>
    <w:rsid w:val="007B0527"/>
    <w:rsid w:val="007C37C5"/>
    <w:rsid w:val="007D21EE"/>
    <w:rsid w:val="007D42C8"/>
    <w:rsid w:val="007F4E11"/>
    <w:rsid w:val="008021D5"/>
    <w:rsid w:val="00811274"/>
    <w:rsid w:val="00813390"/>
    <w:rsid w:val="00820EF0"/>
    <w:rsid w:val="008368A4"/>
    <w:rsid w:val="00837C06"/>
    <w:rsid w:val="00843DD5"/>
    <w:rsid w:val="00846403"/>
    <w:rsid w:val="00851966"/>
    <w:rsid w:val="00852A09"/>
    <w:rsid w:val="00853E5D"/>
    <w:rsid w:val="0085762C"/>
    <w:rsid w:val="00864BD2"/>
    <w:rsid w:val="00872F02"/>
    <w:rsid w:val="00876C77"/>
    <w:rsid w:val="008820AC"/>
    <w:rsid w:val="0088247D"/>
    <w:rsid w:val="00884B75"/>
    <w:rsid w:val="00893E2A"/>
    <w:rsid w:val="0089437D"/>
    <w:rsid w:val="008A2329"/>
    <w:rsid w:val="008B1597"/>
    <w:rsid w:val="008C0244"/>
    <w:rsid w:val="008C2FB6"/>
    <w:rsid w:val="008C678A"/>
    <w:rsid w:val="008D0340"/>
    <w:rsid w:val="008D6516"/>
    <w:rsid w:val="008E622C"/>
    <w:rsid w:val="008F1984"/>
    <w:rsid w:val="00900FE8"/>
    <w:rsid w:val="00905CE2"/>
    <w:rsid w:val="0090721B"/>
    <w:rsid w:val="009122E3"/>
    <w:rsid w:val="00914B43"/>
    <w:rsid w:val="0091663A"/>
    <w:rsid w:val="00916C23"/>
    <w:rsid w:val="009269B8"/>
    <w:rsid w:val="00930CFC"/>
    <w:rsid w:val="009343CA"/>
    <w:rsid w:val="0096324A"/>
    <w:rsid w:val="00964A65"/>
    <w:rsid w:val="00983729"/>
    <w:rsid w:val="00983750"/>
    <w:rsid w:val="0098498B"/>
    <w:rsid w:val="00986E45"/>
    <w:rsid w:val="0098707C"/>
    <w:rsid w:val="00996594"/>
    <w:rsid w:val="009A1AAD"/>
    <w:rsid w:val="009A48AB"/>
    <w:rsid w:val="009A6F01"/>
    <w:rsid w:val="009B0733"/>
    <w:rsid w:val="009B2D24"/>
    <w:rsid w:val="009C249A"/>
    <w:rsid w:val="009C4E96"/>
    <w:rsid w:val="009D70FB"/>
    <w:rsid w:val="009E78BB"/>
    <w:rsid w:val="009F7F76"/>
    <w:rsid w:val="00A0421A"/>
    <w:rsid w:val="00A10741"/>
    <w:rsid w:val="00A16E5C"/>
    <w:rsid w:val="00A17D48"/>
    <w:rsid w:val="00A21F38"/>
    <w:rsid w:val="00A253DD"/>
    <w:rsid w:val="00A25D8A"/>
    <w:rsid w:val="00A270B9"/>
    <w:rsid w:val="00A2774D"/>
    <w:rsid w:val="00A27D51"/>
    <w:rsid w:val="00A36575"/>
    <w:rsid w:val="00A36DD6"/>
    <w:rsid w:val="00A42244"/>
    <w:rsid w:val="00A4630C"/>
    <w:rsid w:val="00A4686D"/>
    <w:rsid w:val="00A50863"/>
    <w:rsid w:val="00A525B7"/>
    <w:rsid w:val="00A611CD"/>
    <w:rsid w:val="00A61716"/>
    <w:rsid w:val="00A72EBD"/>
    <w:rsid w:val="00A75D40"/>
    <w:rsid w:val="00A947FA"/>
    <w:rsid w:val="00AA0706"/>
    <w:rsid w:val="00AA633B"/>
    <w:rsid w:val="00AB16D5"/>
    <w:rsid w:val="00AB1ACA"/>
    <w:rsid w:val="00AC5A4B"/>
    <w:rsid w:val="00AD2302"/>
    <w:rsid w:val="00AD295F"/>
    <w:rsid w:val="00AD3233"/>
    <w:rsid w:val="00AD7F02"/>
    <w:rsid w:val="00AE250A"/>
    <w:rsid w:val="00AE2D1B"/>
    <w:rsid w:val="00AF191D"/>
    <w:rsid w:val="00AF5803"/>
    <w:rsid w:val="00AF77E6"/>
    <w:rsid w:val="00B02643"/>
    <w:rsid w:val="00B07F89"/>
    <w:rsid w:val="00B1487B"/>
    <w:rsid w:val="00B20C73"/>
    <w:rsid w:val="00B21595"/>
    <w:rsid w:val="00B267B5"/>
    <w:rsid w:val="00B27669"/>
    <w:rsid w:val="00B32090"/>
    <w:rsid w:val="00B4362B"/>
    <w:rsid w:val="00B52F05"/>
    <w:rsid w:val="00B6769F"/>
    <w:rsid w:val="00B70BE4"/>
    <w:rsid w:val="00B71768"/>
    <w:rsid w:val="00B73171"/>
    <w:rsid w:val="00B81ED7"/>
    <w:rsid w:val="00B877AA"/>
    <w:rsid w:val="00B92FB8"/>
    <w:rsid w:val="00B96DB7"/>
    <w:rsid w:val="00BA261F"/>
    <w:rsid w:val="00BB0D8C"/>
    <w:rsid w:val="00BB57F5"/>
    <w:rsid w:val="00BC299C"/>
    <w:rsid w:val="00BD2ABD"/>
    <w:rsid w:val="00BD5900"/>
    <w:rsid w:val="00BE037B"/>
    <w:rsid w:val="00BE7107"/>
    <w:rsid w:val="00BE7BC0"/>
    <w:rsid w:val="00BF6ECC"/>
    <w:rsid w:val="00C032B1"/>
    <w:rsid w:val="00C0545E"/>
    <w:rsid w:val="00C05E40"/>
    <w:rsid w:val="00C13BB2"/>
    <w:rsid w:val="00C1521C"/>
    <w:rsid w:val="00C16918"/>
    <w:rsid w:val="00C2028F"/>
    <w:rsid w:val="00C254D6"/>
    <w:rsid w:val="00C25D6E"/>
    <w:rsid w:val="00C3428B"/>
    <w:rsid w:val="00C34D6D"/>
    <w:rsid w:val="00C444A4"/>
    <w:rsid w:val="00C46BC2"/>
    <w:rsid w:val="00C5346B"/>
    <w:rsid w:val="00C55475"/>
    <w:rsid w:val="00C56308"/>
    <w:rsid w:val="00C619B4"/>
    <w:rsid w:val="00C61D8D"/>
    <w:rsid w:val="00C63435"/>
    <w:rsid w:val="00C66181"/>
    <w:rsid w:val="00C671CE"/>
    <w:rsid w:val="00C70193"/>
    <w:rsid w:val="00C74BE8"/>
    <w:rsid w:val="00C8097B"/>
    <w:rsid w:val="00C81A40"/>
    <w:rsid w:val="00CA0EE6"/>
    <w:rsid w:val="00CC15BA"/>
    <w:rsid w:val="00CC2721"/>
    <w:rsid w:val="00CC2ACF"/>
    <w:rsid w:val="00CC3208"/>
    <w:rsid w:val="00CC65DB"/>
    <w:rsid w:val="00CD05AB"/>
    <w:rsid w:val="00CD2DE9"/>
    <w:rsid w:val="00CD4EF3"/>
    <w:rsid w:val="00CE1802"/>
    <w:rsid w:val="00CE2622"/>
    <w:rsid w:val="00CF18C5"/>
    <w:rsid w:val="00CF239B"/>
    <w:rsid w:val="00D017F1"/>
    <w:rsid w:val="00D0456B"/>
    <w:rsid w:val="00D1179E"/>
    <w:rsid w:val="00D20BFE"/>
    <w:rsid w:val="00D237B8"/>
    <w:rsid w:val="00D240B1"/>
    <w:rsid w:val="00D257D0"/>
    <w:rsid w:val="00D34B18"/>
    <w:rsid w:val="00D3785F"/>
    <w:rsid w:val="00D421BE"/>
    <w:rsid w:val="00D45D65"/>
    <w:rsid w:val="00D47B38"/>
    <w:rsid w:val="00D50B88"/>
    <w:rsid w:val="00D54E40"/>
    <w:rsid w:val="00D56357"/>
    <w:rsid w:val="00D61B9B"/>
    <w:rsid w:val="00D63158"/>
    <w:rsid w:val="00D651AE"/>
    <w:rsid w:val="00D710C1"/>
    <w:rsid w:val="00D73D47"/>
    <w:rsid w:val="00D7606B"/>
    <w:rsid w:val="00D76DD1"/>
    <w:rsid w:val="00D83EA5"/>
    <w:rsid w:val="00D86DA6"/>
    <w:rsid w:val="00D94518"/>
    <w:rsid w:val="00D960A4"/>
    <w:rsid w:val="00DA1B5D"/>
    <w:rsid w:val="00DB320E"/>
    <w:rsid w:val="00DC2167"/>
    <w:rsid w:val="00DC39BA"/>
    <w:rsid w:val="00DC51C6"/>
    <w:rsid w:val="00DD1175"/>
    <w:rsid w:val="00DD7BC7"/>
    <w:rsid w:val="00DE6085"/>
    <w:rsid w:val="00DE7F7B"/>
    <w:rsid w:val="00DF236B"/>
    <w:rsid w:val="00DF2FC2"/>
    <w:rsid w:val="00E07E70"/>
    <w:rsid w:val="00E14629"/>
    <w:rsid w:val="00E14857"/>
    <w:rsid w:val="00E270A8"/>
    <w:rsid w:val="00E27E13"/>
    <w:rsid w:val="00E317D5"/>
    <w:rsid w:val="00E41FF0"/>
    <w:rsid w:val="00E5047A"/>
    <w:rsid w:val="00E534F2"/>
    <w:rsid w:val="00E618DF"/>
    <w:rsid w:val="00E6246C"/>
    <w:rsid w:val="00E62D37"/>
    <w:rsid w:val="00E670FE"/>
    <w:rsid w:val="00E71453"/>
    <w:rsid w:val="00E87A0F"/>
    <w:rsid w:val="00E959BE"/>
    <w:rsid w:val="00EA2492"/>
    <w:rsid w:val="00EB0AF0"/>
    <w:rsid w:val="00EB3C2A"/>
    <w:rsid w:val="00EE4024"/>
    <w:rsid w:val="00EE47D3"/>
    <w:rsid w:val="00EF633D"/>
    <w:rsid w:val="00EF7A96"/>
    <w:rsid w:val="00F02C45"/>
    <w:rsid w:val="00F12921"/>
    <w:rsid w:val="00F145CD"/>
    <w:rsid w:val="00F1666A"/>
    <w:rsid w:val="00F17331"/>
    <w:rsid w:val="00F24CDE"/>
    <w:rsid w:val="00F26759"/>
    <w:rsid w:val="00F31954"/>
    <w:rsid w:val="00F341E3"/>
    <w:rsid w:val="00F3679C"/>
    <w:rsid w:val="00F43C51"/>
    <w:rsid w:val="00F45038"/>
    <w:rsid w:val="00F51A5D"/>
    <w:rsid w:val="00F573DF"/>
    <w:rsid w:val="00F60483"/>
    <w:rsid w:val="00F605E8"/>
    <w:rsid w:val="00F61939"/>
    <w:rsid w:val="00F62C0E"/>
    <w:rsid w:val="00F645FE"/>
    <w:rsid w:val="00F64861"/>
    <w:rsid w:val="00F831FE"/>
    <w:rsid w:val="00F90120"/>
    <w:rsid w:val="00F91F5C"/>
    <w:rsid w:val="00F9263C"/>
    <w:rsid w:val="00F92C7D"/>
    <w:rsid w:val="00F93EC8"/>
    <w:rsid w:val="00F94080"/>
    <w:rsid w:val="00F95D60"/>
    <w:rsid w:val="00F97428"/>
    <w:rsid w:val="00FA39AE"/>
    <w:rsid w:val="00FA4E9B"/>
    <w:rsid w:val="00FB0697"/>
    <w:rsid w:val="00FB4BCC"/>
    <w:rsid w:val="00FB65D4"/>
    <w:rsid w:val="00FC2123"/>
    <w:rsid w:val="00FC254B"/>
    <w:rsid w:val="00FE1F28"/>
    <w:rsid w:val="00FE77F7"/>
    <w:rsid w:val="00FF0D22"/>
    <w:rsid w:val="00FF4200"/>
    <w:rsid w:val="00FF4C3E"/>
    <w:rsid w:val="00FF4F05"/>
    <w:rsid w:val="00FF64B8"/>
    <w:rsid w:val="00FF75D6"/>
    <w:rsid w:val="1B371C99"/>
    <w:rsid w:val="1E3C40C6"/>
    <w:rsid w:val="429932A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widowControl/>
      <w:spacing w:before="100" w:beforeAutospacing="1" w:after="100" w:afterAutospacing="1"/>
      <w:jc w:val="left"/>
      <w:outlineLvl w:val="3"/>
    </w:pPr>
    <w:rPr>
      <w:rFonts w:ascii="宋体" w:hAnsi="宋体" w:cs="宋体"/>
      <w:b/>
      <w:bCs/>
      <w:kern w:val="0"/>
      <w:sz w:val="24"/>
    </w:rPr>
  </w:style>
  <w:style w:type="character" w:default="1" w:styleId="6">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7">
    <w:name w:val="page number"/>
    <w:basedOn w:val="6"/>
    <w:uiPriority w:val="0"/>
  </w:style>
  <w:style w:type="character" w:styleId="8">
    <w:name w:val="Hyperlink"/>
    <w:uiPriority w:val="0"/>
    <w:rPr>
      <w:color w:val="0000FF"/>
      <w:u w:val="single"/>
    </w:rPr>
  </w:style>
  <w:style w:type="paragraph" w:customStyle="1" w:styleId="10">
    <w:name w:val="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11">
    <w:name w:val="列出段落1"/>
    <w:basedOn w:val="1"/>
    <w:qFormat/>
    <w:uiPriority w:val="0"/>
    <w:pPr>
      <w:ind w:firstLine="420" w:firstLineChars="200"/>
    </w:pPr>
    <w:rPr>
      <w:rFonts w:ascii="Calibri" w:hAnsi="Calibri"/>
      <w:szCs w:val="22"/>
    </w:rPr>
  </w:style>
  <w:style w:type="paragraph" w:customStyle="1" w:styleId="12">
    <w:name w:val="Char1"/>
    <w:basedOn w:val="1"/>
    <w:uiPriority w:val="0"/>
    <w:pPr>
      <w:spacing w:line="240" w:lineRule="exact"/>
    </w:pPr>
    <w:rPr>
      <w:rFonts w:ascii="仿宋_GB2312" w:hAnsi="宋体" w:eastAsia="仿宋_GB2312"/>
      <w:szCs w:val="21"/>
    </w:rPr>
  </w:style>
  <w:style w:type="paragraph" w:customStyle="1" w:styleId="13">
    <w:name w:val="列出段落11"/>
    <w:basedOn w:val="1"/>
    <w:uiPriority w:val="0"/>
    <w:pPr>
      <w:ind w:firstLine="20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175</Words>
  <Characters>1002</Characters>
  <Lines>8</Lines>
  <Paragraphs>2</Paragraphs>
  <TotalTime>0</TotalTime>
  <ScaleCrop>false</ScaleCrop>
  <LinksUpToDate>false</LinksUpToDate>
  <CharactersWithSpaces>1175</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2017-07-11T08:45:00Z</dcterms:created>
  <dc:creator>hp</dc:creator>
  <cp:lastModifiedBy>冯未炜</cp:lastModifiedBy>
  <dcterms:modified xsi:type="dcterms:W3CDTF">2021-03-17T02:13:08Z</dcterms:modified>
  <dc:title>省局认证审评中心2016年上半年工作总结</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