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FF0000"/>
          <w:spacing w:val="-74"/>
          <w:w w:val="74"/>
          <w:sz w:val="100"/>
          <w:szCs w:val="100"/>
        </w:rPr>
        <w:t>重庆市</w:t>
      </w:r>
      <w:bookmarkStart w:id="0" w:name="dwmc"/>
      <w:r>
        <w:rPr>
          <w:rFonts w:hint="eastAsia" w:ascii="方正小标宋_GBK" w:hAnsi="方正小标宋_GBK" w:eastAsia="方正小标宋_GBK" w:cs="方正小标宋_GBK"/>
          <w:color w:val="FF0000"/>
          <w:spacing w:val="-74"/>
          <w:w w:val="74"/>
          <w:sz w:val="100"/>
          <w:szCs w:val="100"/>
        </w:rPr>
        <w:t>黔江区市场监督管理局</w:t>
      </w:r>
      <w:bookmarkEnd w:id="0"/>
      <w:r>
        <w:rPr>
          <w:rFonts w:hint="eastAsia" w:ascii="方正小标宋_GBK" w:hAnsi="方正小标宋_GBK" w:eastAsia="方正小标宋_GBK" w:cs="方正小标宋_GBK"/>
          <w:color w:val="FF0000"/>
          <w:spacing w:val="-74"/>
          <w:w w:val="74"/>
          <w:sz w:val="100"/>
          <w:szCs w:val="100"/>
        </w:rPr>
        <w:t>文件</w:t>
      </w:r>
    </w:p>
    <w:p>
      <w:pPr>
        <w:pStyle w:val="2"/>
        <w:rPr>
          <w:rFonts w:hint="eastAsia"/>
        </w:rPr>
      </w:pPr>
    </w:p>
    <w:p>
      <w:pPr>
        <w:jc w:val="center"/>
      </w:pPr>
      <w:r>
        <w:rPr>
          <w:rFonts w:hint="eastAsia" w:ascii="方正仿宋_GBK" w:hAnsi="方正仿宋_GBK" w:eastAsia="方正仿宋_GBK" w:cs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1129665</wp:posOffset>
                </wp:positionH>
                <wp:positionV relativeFrom="margin">
                  <wp:posOffset>3086100</wp:posOffset>
                </wp:positionV>
                <wp:extent cx="5615940" cy="0"/>
                <wp:effectExtent l="0" t="10795" r="7620" b="1206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8.95pt;margin-top:243pt;height:0pt;width:442.2pt;mso-position-horizontal-relative:page;mso-position-vertical-relative:margin;z-index:251658240;mso-width-relative:page;mso-height-relative:page;" filled="f" stroked="t" coordsize="21600,21600" o:gfxdata="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vl9aFNgAAAAMAQAA&#10;DwAAAAAAAAABACAAAAAiAAAAZHJzL2Rvd25yZXYueG1sUEsBAhQAFAAAAAgAh07iQNnSpMDgAQAA&#10;pQMAAA4AAAAAAAAAAQAgAAAAJwEAAGRycy9lMm9Eb2MueG1sUEsFBgAAAAAGAAYAWQEAAHkFAAAA&#10;AA==&#10;">
                <v:fill on="f" focussize="0,0"/>
                <v:stroke weight="1.7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黔江市监发〔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2026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〕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20" w:lineRule="exact"/>
        <w:jc w:val="center"/>
        <w:textAlignment w:val="baseline"/>
        <w:rPr>
          <w:rFonts w:hint="eastAsia" w:eastAsia="方正小标宋_GBK"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baseline"/>
        <w:rPr>
          <w:rFonts w:hint="eastAsia" w:eastAsia="方正小标宋_GBK"/>
          <w:color w:val="000000"/>
          <w:sz w:val="44"/>
          <w:szCs w:val="44"/>
        </w:rPr>
      </w:pPr>
      <w:r>
        <w:rPr>
          <w:rFonts w:hint="eastAsia" w:eastAsia="方正小标宋_GBK"/>
          <w:color w:val="000000"/>
          <w:sz w:val="44"/>
          <w:szCs w:val="44"/>
        </w:rPr>
        <w:t>重庆市黔江区市场监督管理局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t>关于印发《重庆市黔江区公平竞争审查闭环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default" w:ascii="方正仿宋_GBK" w:eastAsia="方正仿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t>管理机制》的通知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right="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  <w:lang w:val="en-US" w:eastAsia="zh-CN"/>
        </w:rPr>
        <w:t>各</w:t>
      </w:r>
      <w:r>
        <w:rPr>
          <w:rFonts w:hint="eastAsia" w:ascii="方正仿宋_GBK" w:eastAsia="方正仿宋_GBK" w:cs="Times New Roman"/>
          <w:sz w:val="32"/>
          <w:szCs w:val="32"/>
          <w:lang w:val="en-US" w:eastAsia="zh-CN"/>
        </w:rPr>
        <w:t>区级</w:t>
      </w:r>
      <w:r>
        <w:rPr>
          <w:rFonts w:hint="eastAsia" w:ascii="方正仿宋_GBK" w:hAnsi="Times New Roman" w:eastAsia="方正仿宋_GBK" w:cs="Times New Roman"/>
          <w:sz w:val="32"/>
          <w:szCs w:val="32"/>
          <w:lang w:val="en-US" w:eastAsia="zh-CN"/>
        </w:rPr>
        <w:t>有关单位</w:t>
      </w:r>
      <w:r>
        <w:rPr>
          <w:rFonts w:ascii="方正仿宋_GBK" w:hAnsi="Times New Roman" w:eastAsia="方正仿宋_GBK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为严格落实《公平竞争审查条例》《公平竞争审查条例实施办法》，健全全链条闭环管控，解决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"/>
        </w:rPr>
        <w:t>公平竞争审查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时限模糊、责任不清等问题，现对各环节硬性时限、主体责任、工作标准统一细化，印发《重庆市黔江区公平竞争审查闭环管理机制》，请大家遵照执行。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textAlignment w:val="auto"/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0" w:leftChars="0" w:right="0" w:firstLine="3520" w:firstLineChars="1100"/>
        <w:jc w:val="both"/>
        <w:textAlignment w:val="auto"/>
        <w:rPr>
          <w:rFonts w:hint="default" w:ascii="方正仿宋_GBK" w:hAnsi="Times New Roman" w:eastAsia="方正仿宋_GBK" w:cs="Times New Roman"/>
          <w:spacing w:val="0"/>
          <w:sz w:val="32"/>
          <w:szCs w:val="32"/>
          <w:lang w:val="en-US"/>
        </w:rPr>
      </w:pPr>
      <w:r>
        <w:rPr>
          <w:rFonts w:hint="eastAsia" w:ascii="方正仿宋_GBK" w:hAnsi="Times New Roman" w:eastAsia="方正仿宋_GBK" w:cs="Times New Roman"/>
          <w:spacing w:val="0"/>
          <w:sz w:val="32"/>
          <w:szCs w:val="32"/>
          <w:lang w:val="en-US" w:eastAsia="zh-CN"/>
        </w:rPr>
        <w:t>重庆市黔江区市场监督管理局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right="0" w:firstLine="4480" w:firstLineChars="1400"/>
        <w:jc w:val="both"/>
        <w:textAlignment w:val="auto"/>
        <w:rPr>
          <w:rFonts w:hint="eastAsia" w:ascii="方正仿宋_GBK" w:hAnsi="Times New Roman" w:eastAsia="方正仿宋_GBK" w:cs="Times New Roman"/>
          <w:spacing w:val="0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pacing w:val="0"/>
          <w:sz w:val="32"/>
          <w:szCs w:val="32"/>
        </w:rPr>
        <w:t>202</w:t>
      </w:r>
      <w:r>
        <w:rPr>
          <w:rFonts w:hint="eastAsia" w:ascii="方正仿宋_GBK" w:eastAsia="方正仿宋_GBK" w:cs="Times New Roman"/>
          <w:spacing w:val="0"/>
          <w:sz w:val="32"/>
          <w:szCs w:val="32"/>
          <w:lang w:val="en-US" w:eastAsia="zh-CN"/>
        </w:rPr>
        <w:t>6</w:t>
      </w:r>
      <w:r>
        <w:rPr>
          <w:rFonts w:hint="eastAsia" w:ascii="方正仿宋_GBK" w:hAnsi="Times New Roman" w:eastAsia="方正仿宋_GBK" w:cs="Times New Roman"/>
          <w:spacing w:val="0"/>
          <w:sz w:val="32"/>
          <w:szCs w:val="32"/>
        </w:rPr>
        <w:t>年</w:t>
      </w:r>
      <w:r>
        <w:rPr>
          <w:rFonts w:hint="eastAsia" w:ascii="方正仿宋_GBK" w:eastAsia="方正仿宋_GBK" w:cs="Times New Roman"/>
          <w:spacing w:val="0"/>
          <w:sz w:val="32"/>
          <w:szCs w:val="32"/>
          <w:lang w:val="en-US" w:eastAsia="zh-CN"/>
        </w:rPr>
        <w:t>5</w:t>
      </w:r>
      <w:r>
        <w:rPr>
          <w:rFonts w:hint="eastAsia" w:ascii="方正仿宋_GBK" w:hAnsi="Times New Roman" w:eastAsia="方正仿宋_GBK" w:cs="Times New Roman"/>
          <w:spacing w:val="0"/>
          <w:sz w:val="32"/>
          <w:szCs w:val="32"/>
        </w:rPr>
        <w:t>月</w:t>
      </w:r>
      <w:r>
        <w:rPr>
          <w:rFonts w:hint="eastAsia" w:ascii="方正仿宋_GBK" w:eastAsia="方正仿宋_GBK" w:cs="Times New Roman"/>
          <w:spacing w:val="0"/>
          <w:sz w:val="32"/>
          <w:szCs w:val="32"/>
          <w:lang w:val="en-US" w:eastAsia="zh-CN"/>
        </w:rPr>
        <w:t>28</w:t>
      </w:r>
      <w:r>
        <w:rPr>
          <w:rFonts w:hint="eastAsia" w:ascii="方正仿宋_GBK" w:hAnsi="Times New Roman" w:eastAsia="方正仿宋_GBK" w:cs="Times New Roman"/>
          <w:spacing w:val="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right="0"/>
        <w:jc w:val="both"/>
        <w:textAlignment w:val="auto"/>
        <w:rPr>
          <w:rFonts w:hint="eastAsia" w:eastAsia="方正仿宋_GBK"/>
          <w:b w:val="0"/>
          <w:bCs/>
          <w:lang w:eastAsia="zh-CN"/>
        </w:rPr>
      </w:pPr>
      <w:r>
        <w:rPr>
          <w:rFonts w:hint="eastAsia" w:ascii="方正仿宋_GBK" w:eastAsia="方正仿宋_GBK" w:cs="Times New Roman"/>
          <w:b w:val="0"/>
          <w:bCs/>
          <w:spacing w:val="0"/>
          <w:sz w:val="32"/>
          <w:szCs w:val="32"/>
          <w:lang w:eastAsia="zh-CN"/>
        </w:rPr>
        <w:t>（</w:t>
      </w:r>
      <w:r>
        <w:rPr>
          <w:rFonts w:hint="eastAsia" w:ascii="方正仿宋_GBK" w:eastAsia="方正仿宋_GBK" w:cs="Times New Roman"/>
          <w:b w:val="0"/>
          <w:bCs/>
          <w:spacing w:val="0"/>
          <w:sz w:val="32"/>
          <w:szCs w:val="32"/>
          <w:lang w:val="en-US" w:eastAsia="zh-CN"/>
        </w:rPr>
        <w:t>此件公开发布</w:t>
      </w:r>
      <w:r>
        <w:rPr>
          <w:rFonts w:hint="eastAsia" w:ascii="方正仿宋_GBK" w:eastAsia="方正仿宋_GBK" w:cs="Times New Roman"/>
          <w:b w:val="0"/>
          <w:bCs/>
          <w:spacing w:val="0"/>
          <w:sz w:val="32"/>
          <w:szCs w:val="32"/>
          <w:lang w:eastAsia="zh-CN"/>
        </w:rPr>
        <w:t>）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重庆市黔江区公平竞争审查闭环管理机制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jc w:val="center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一、总则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（一）制定目的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为规范本区公平竞争审查抽查、问题整改、复核销号、跟踪问效全流程管理，压实各部门公平竞争审查主体责任，建立发现—交办—整改—复核—销号—回头看闭环链条，防范政策文件排除、限制竞争风险，优化</w:t>
      </w:r>
      <w:r>
        <w:rPr>
          <w:rFonts w:hint="eastAsia" w:eastAsia="方正仿宋_GBK" w:cs="Times New Roman"/>
          <w:sz w:val="32"/>
          <w:szCs w:val="32"/>
          <w:lang w:eastAsia="zh"/>
        </w:rPr>
        <w:t>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域营商环境，结合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本区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实际，制定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该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机制。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default" w:ascii="方正楷体_GBK" w:hAnsi="方正楷体_GBK" w:eastAsia="方正楷体_GBK" w:cs="方正楷体_GBK"/>
          <w:sz w:val="32"/>
          <w:szCs w:val="32"/>
          <w:lang w:eastAsia="zh-CN"/>
        </w:rPr>
        <w:t>（二）适用范围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本机制适用于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黔江区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政府各部门、园区管委会及</w:t>
      </w:r>
      <w:r>
        <w:rPr>
          <w:rFonts w:hint="eastAsia" w:eastAsia="方正仿宋_GBK" w:cs="Times New Roman"/>
          <w:sz w:val="32"/>
          <w:szCs w:val="32"/>
          <w:lang w:eastAsia="zh"/>
        </w:rPr>
        <w:t>具有管理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公共</w:t>
      </w:r>
      <w:r>
        <w:rPr>
          <w:rFonts w:hint="eastAsia" w:eastAsia="方正仿宋_GBK" w:cs="Times New Roman"/>
          <w:sz w:val="32"/>
          <w:szCs w:val="32"/>
          <w:lang w:eastAsia="zh"/>
        </w:rPr>
        <w:t>事务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职能的</w:t>
      </w:r>
      <w:r>
        <w:rPr>
          <w:rFonts w:hint="eastAsia" w:eastAsia="方正仿宋_GBK" w:cs="Times New Roman"/>
          <w:sz w:val="32"/>
          <w:szCs w:val="32"/>
          <w:lang w:eastAsia="zh"/>
        </w:rPr>
        <w:t>组织，在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制定出台涉及市场主体经济活动的规章、规范性文件、其他政策措施的公平竞争审查抽查及整改工作。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default" w:ascii="方正楷体_GBK" w:hAnsi="方正楷体_GBK" w:eastAsia="方正楷体_GBK" w:cs="方正楷体_GBK"/>
          <w:sz w:val="32"/>
          <w:szCs w:val="32"/>
          <w:lang w:eastAsia="zh-CN"/>
        </w:rPr>
        <w:t xml:space="preserve">（三）工作原则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1.依法审查、随机抽查：严格对照公平竞争审查标准开展抽查，抽查对象、事项随机确定。​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2.问题导向、立行立改：对抽查发现问题分类处置，限期整改、限时办结。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3.闭环管理、全程留痕：实现问题台账、整改措施、整改成效、复核结论全程可追溯。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4.压实责任、长效管控：强化部门主体责任，健全常态化监管，防止问题反弹。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jc w:val="center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default" w:ascii="方正黑体_GBK" w:hAnsi="方正黑体_GBK" w:eastAsia="方正黑体_GBK" w:cs="方正黑体_GBK"/>
          <w:sz w:val="32"/>
          <w:szCs w:val="32"/>
          <w:lang w:eastAsia="zh-CN"/>
        </w:rPr>
        <w:t>二、组织架构及职责分工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default" w:ascii="方正楷体_GBK" w:hAnsi="方正楷体_GBK" w:eastAsia="方正楷体_GBK" w:cs="方正楷体_GBK"/>
          <w:sz w:val="32"/>
          <w:szCs w:val="32"/>
          <w:lang w:eastAsia="zh-CN"/>
        </w:rPr>
        <w:t>（一）牵头单位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区市场监管局：统筹组织年度公平竞争审查抽查工作，牵头建立问题整改台账，下发整改通知书，组织整改复核、验收销号，开展跟踪督办和“回头看”，汇总上报整改情况。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default" w:ascii="方正楷体_GBK" w:hAnsi="方正楷体_GBK" w:eastAsia="方正楷体_GBK" w:cs="方正楷体_GBK"/>
          <w:sz w:val="32"/>
          <w:szCs w:val="32"/>
          <w:lang w:eastAsia="zh-CN"/>
        </w:rPr>
        <w:t>（二）成员单位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各政策起草部门：履行公平竞争审查第一责任，负责本单位政策措施自查自纠，落实抽查反馈问题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核查及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整改，报送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核查、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整改材料，建立内部长效机制。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jc w:val="center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default" w:ascii="方正黑体_GBK" w:hAnsi="方正黑体_GBK" w:eastAsia="方正黑体_GBK" w:cs="方正黑体_GBK"/>
          <w:sz w:val="32"/>
          <w:szCs w:val="32"/>
          <w:lang w:eastAsia="zh-CN"/>
        </w:rPr>
        <w:t>三、闭环管理全流程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default" w:ascii="方正楷体_GBK" w:hAnsi="方正楷体_GBK" w:eastAsia="方正楷体_GBK" w:cs="方正楷体_GBK"/>
          <w:sz w:val="32"/>
          <w:szCs w:val="32"/>
          <w:lang w:eastAsia="zh-CN"/>
        </w:rPr>
        <w:t>（一）环节一：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"/>
        </w:rPr>
        <w:t>核查</w:t>
      </w:r>
      <w:r>
        <w:rPr>
          <w:rFonts w:hint="default" w:ascii="方正楷体_GBK" w:hAnsi="方正楷体_GBK" w:eastAsia="方正楷体_GBK" w:cs="方正楷体_GBK"/>
          <w:sz w:val="32"/>
          <w:szCs w:val="32"/>
          <w:lang w:eastAsia="zh-CN"/>
        </w:rPr>
        <w:t>实施，问题排查建档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1.</w:t>
      </w:r>
      <w:r>
        <w:rPr>
          <w:rFonts w:hint="eastAsia" w:eastAsia="方正仿宋_GBK" w:cs="Times New Roman"/>
          <w:sz w:val="32"/>
          <w:szCs w:val="32"/>
          <w:lang w:eastAsia="zh"/>
        </w:rPr>
        <w:t>针对国、市、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市场监管</w:t>
      </w:r>
      <w:r>
        <w:rPr>
          <w:rFonts w:hint="eastAsia" w:eastAsia="方正仿宋_GBK" w:cs="Times New Roman"/>
          <w:sz w:val="32"/>
          <w:szCs w:val="32"/>
          <w:lang w:eastAsia="zh"/>
        </w:rPr>
        <w:t>部门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每年抽查</w:t>
      </w:r>
      <w:r>
        <w:rPr>
          <w:rFonts w:hint="eastAsia" w:eastAsia="方正仿宋_GBK" w:cs="Times New Roman"/>
          <w:sz w:val="32"/>
          <w:szCs w:val="32"/>
          <w:lang w:eastAsia="zh"/>
        </w:rPr>
        <w:t>的情况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，采取定向</w:t>
      </w:r>
      <w:r>
        <w:rPr>
          <w:rFonts w:hint="eastAsia" w:eastAsia="方正仿宋_GBK" w:cs="Times New Roman"/>
          <w:sz w:val="32"/>
          <w:szCs w:val="32"/>
          <w:lang w:eastAsia="zh"/>
        </w:rPr>
        <w:t>反馈，</w:t>
      </w:r>
      <w:r>
        <w:rPr>
          <w:rFonts w:hint="eastAsia" w:eastAsia="方正仿宋_GBK" w:cs="Times New Roman"/>
          <w:sz w:val="32"/>
          <w:szCs w:val="32"/>
          <w:lang w:eastAsia="zh-CN"/>
        </w:rPr>
        <w:t>按照国、市通知时间要求，</w:t>
      </w:r>
      <w:r>
        <w:rPr>
          <w:rFonts w:hint="eastAsia" w:eastAsia="方正仿宋_GBK" w:cs="Times New Roman"/>
          <w:sz w:val="32"/>
          <w:szCs w:val="32"/>
          <w:lang w:eastAsia="zh"/>
        </w:rPr>
        <w:t>及时核查建档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。​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2.</w:t>
      </w:r>
      <w:r>
        <w:rPr>
          <w:rFonts w:hint="eastAsia" w:eastAsia="方正仿宋_GBK" w:cs="Times New Roman"/>
          <w:sz w:val="32"/>
          <w:szCs w:val="32"/>
          <w:lang w:eastAsia="zh"/>
        </w:rPr>
        <w:t>建档内容：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是否开展公平竞争审查、审查程序是否完备、是否存在地方保护、指定交易、壁垒设置、歧视性补贴、违规优惠、排除限制竞争</w:t>
      </w:r>
      <w:r>
        <w:rPr>
          <w:rFonts w:hint="eastAsia" w:eastAsia="方正仿宋_GBK" w:cs="Times New Roman"/>
          <w:sz w:val="32"/>
          <w:szCs w:val="32"/>
          <w:lang w:eastAsia="zh"/>
        </w:rPr>
        <w:t>等违反公平竞争审查标准的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条款。​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3.形成问题清单，逐项列明问题描述、问题性质、政策依据、责任单位，建立初始问题台账。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default" w:ascii="方正楷体_GBK" w:hAnsi="方正楷体_GBK" w:eastAsia="方正楷体_GBK" w:cs="方正楷体_GBK"/>
          <w:sz w:val="32"/>
          <w:szCs w:val="32"/>
          <w:lang w:eastAsia="zh-CN"/>
        </w:rPr>
        <w:t>（二）环节二：交办反馈，下达整改任务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1.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市场监管局向责任单位正式印发《公平竞争审查问题整改通知书》，明确整改事项、整改要求、整改时限、报送材料清单。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2.对</w:t>
      </w:r>
      <w:r>
        <w:rPr>
          <w:rFonts w:hint="eastAsia" w:eastAsia="方正仿宋_GBK" w:cs="Times New Roman"/>
          <w:sz w:val="32"/>
          <w:szCs w:val="32"/>
          <w:lang w:eastAsia="zh"/>
        </w:rPr>
        <w:t>本区抽查发现的轻微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问题口头提醒、即时整改；对</w:t>
      </w:r>
      <w:r>
        <w:rPr>
          <w:rFonts w:hint="eastAsia" w:eastAsia="方正仿宋_GBK" w:cs="Times New Roman"/>
          <w:sz w:val="32"/>
          <w:szCs w:val="32"/>
          <w:lang w:eastAsia="zh"/>
        </w:rPr>
        <w:t>国、市抽查发现的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一般问题限期</w:t>
      </w:r>
      <w:r>
        <w:rPr>
          <w:rFonts w:hint="eastAsia" w:eastAsia="方正仿宋_GBK" w:cs="Times New Roman"/>
          <w:sz w:val="32"/>
          <w:szCs w:val="32"/>
          <w:lang w:eastAsia="zh"/>
        </w:rPr>
        <w:t>3个月内整改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；对重大、复杂问题可适当延长整改期限，但需书面报备。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3.建立交办签收制度，确保责任单位及时认领问题，</w:t>
      </w:r>
      <w:r>
        <w:rPr>
          <w:rFonts w:hint="eastAsia" w:eastAsia="方正仿宋_GBK" w:cs="Times New Roman"/>
          <w:sz w:val="32"/>
          <w:szCs w:val="32"/>
          <w:lang w:eastAsia="zh-CN"/>
        </w:rPr>
        <w:t>网上流程以单位签收之日计时，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杜绝拖延漏办。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default" w:ascii="方正楷体_GBK" w:hAnsi="方正楷体_GBK" w:eastAsia="方正楷体_GBK" w:cs="方正楷体_GBK"/>
          <w:sz w:val="32"/>
          <w:szCs w:val="32"/>
          <w:lang w:eastAsia="zh-CN"/>
        </w:rPr>
        <w:t xml:space="preserve">（三）环节三：限期整改，制定整改方案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1.责任单位收到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核查、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整改通知后，对照问题清单逐条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说明核查、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整改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情况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，明确整改措施、责任领导、具体责任人、完成时限。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2.整改方式分类处置：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立即废止：存在明显排除限制竞争、无整改空间的政策文件，立即废止并公示。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修改完善：存在条款瑕疵、设置不当壁垒的，启动修订程序，按程序修改后重新发布。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纠正执行：已出台但正在执行的违规措施，立即停止执行并做好衔接。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制度补短板：完善内部审查流程，建立政策出台前常态化自查机制。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3.整改完成后，责任单位提交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核查说明、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整改报告、佐证材料、整改前后对照说明。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default" w:ascii="方正楷体_GBK" w:hAnsi="方正楷体_GBK" w:eastAsia="方正楷体_GBK" w:cs="方正楷体_GBK"/>
          <w:sz w:val="32"/>
          <w:szCs w:val="32"/>
          <w:lang w:eastAsia="zh-CN"/>
        </w:rPr>
        <w:t>（四）环节四：复核验收，严格审核把关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1.</w:t>
      </w:r>
      <w:r>
        <w:rPr>
          <w:rFonts w:hint="eastAsia" w:eastAsia="方正仿宋_GBK" w:cs="Times New Roman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市场监管局牵头组织复核。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2.复核标准：问题是否清零、措施是否到位、程序是否合规、长效机制是否建立。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3.复核结果分为通过、暂缓通过、未通过：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通过：直接进入销号环节；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暂缓通过：下发补充整改意见，限期完善后再次复核；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未通过：约谈责任单位负责人，挂牌督办。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default" w:ascii="方正楷体_GBK" w:hAnsi="方正楷体_GBK" w:eastAsia="方正楷体_GBK" w:cs="方正楷体_GBK"/>
          <w:sz w:val="32"/>
          <w:szCs w:val="32"/>
          <w:lang w:eastAsia="zh-CN"/>
        </w:rPr>
        <w:t>（五）环节五：销号归档，实现问题清零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1.复核通过后，在问题台账中予以正式销号，注明销号时间、复核人员、结论。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2.所有抽查、交办、整改、复核、销号资料统一归档，形成完整档案，作为考核、督查依据。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3.对阶段性无法彻底整改的复杂问题，纳入长期跟踪台账，持续动态管理。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default" w:ascii="方正楷体_GBK" w:hAnsi="方正楷体_GBK" w:eastAsia="方正楷体_GBK" w:cs="方正楷体_GBK"/>
          <w:sz w:val="32"/>
          <w:szCs w:val="32"/>
          <w:lang w:eastAsia="zh-CN"/>
        </w:rPr>
        <w:t>（六）环节六：跟踪问效+回头看，巩固整改成效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1.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市场监管局</w:t>
      </w:r>
      <w:r>
        <w:rPr>
          <w:rFonts w:hint="eastAsia" w:eastAsia="方正仿宋_GBK" w:cs="Times New Roman"/>
          <w:sz w:val="32"/>
          <w:szCs w:val="32"/>
          <w:lang w:eastAsia="zh-CN"/>
        </w:rPr>
        <w:t>每</w:t>
      </w:r>
      <w:r>
        <w:rPr>
          <w:rFonts w:hint="eastAsia" w:eastAsia="方正仿宋_GBK" w:cs="Times New Roman"/>
          <w:sz w:val="32"/>
          <w:szCs w:val="32"/>
          <w:lang w:eastAsia="zh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组织一次整改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“回头看”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，重点核查已销号问题是否反弹、新出台文件是否再次出现同类问题。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eastAsia="方正仿宋_GBK" w:cs="Times New Roman"/>
          <w:sz w:val="32"/>
          <w:szCs w:val="32"/>
          <w:lang w:eastAsia="zh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.对多次整改不到位、虚假整改、拒不整改的单位，通报批评，必要时移交纪检监察机关。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jc w:val="center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default" w:ascii="方正黑体_GBK" w:hAnsi="方正黑体_GBK" w:eastAsia="方正黑体_GBK" w:cs="方正黑体_GBK"/>
          <w:sz w:val="32"/>
          <w:szCs w:val="32"/>
          <w:lang w:eastAsia="zh-CN"/>
        </w:rPr>
        <w:t>四、分类整改标准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1.未开展公平竞争审查：补做审查程序，完善审查表、审查意见，健全内部审查流程。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2.地方保护、区域壁垒：清理对外地企业、外地产品的歧视性条款，取消不合理准入门槛。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3.指定交易、变相指定经营：删除指定平台、指定供应商、指定服务商条款。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4.违规财政补贴、税收优惠：清理与企业经营规模、注册地挂钩的不当优惠。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5.程序不规范、审查流于形式：完善政策起草、合法性审查、公平竞争审查“三重把关”机制。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jc w:val="center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五、保障措施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1.台账动态管理：实行总台账+分台账，实时更新抽查、整改、销号状态。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2.会商研判机制：对跨部门、复杂疑难整改问题，由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区市场监管局召集相关单位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组织专题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会审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3.约谈通报机制：对整改滞后、敷衍应付的单位进行约谈提醒、书面通报。​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常态化自查机制：督促各单位建立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自查制度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，从源头减少问题发生。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pBdr>
          <w:top w:val="single" w:color="auto" w:sz="6" w:space="1"/>
          <w:left w:val="none" w:color="auto" w:sz="0" w:space="4"/>
          <w:bottom w:val="single" w:color="auto" w:sz="6" w:space="1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260" w:firstLineChars="100"/>
        <w:textAlignment w:val="auto"/>
        <w:rPr>
          <w:rFonts w:hint="eastAsia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-10"/>
          <w:sz w:val="28"/>
          <w:szCs w:val="28"/>
        </w:rPr>
        <w:t>重庆市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黔江区市场监督管理局办公室      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202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eastAsia="方正仿宋_GBK" w:cs="Times New Roman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月</w:t>
      </w:r>
      <w:r>
        <w:rPr>
          <w:rFonts w:hint="eastAsia" w:eastAsia="方正仿宋_GBK" w:cs="Times New Roman"/>
          <w:sz w:val="28"/>
          <w:szCs w:val="28"/>
          <w:lang w:val="en-US" w:eastAsia="zh-CN"/>
        </w:rPr>
        <w:t>28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日印发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lMjIyNzQzZjYwNzlmNWQ5YmIyNTJiYTE5ZTc3NDAifQ=="/>
  </w:docVars>
  <w:rsids>
    <w:rsidRoot w:val="4DFE4066"/>
    <w:rsid w:val="00671B23"/>
    <w:rsid w:val="03643776"/>
    <w:rsid w:val="03FAA493"/>
    <w:rsid w:val="06E17628"/>
    <w:rsid w:val="073C1485"/>
    <w:rsid w:val="080968E0"/>
    <w:rsid w:val="0E655B08"/>
    <w:rsid w:val="0F7FFCAB"/>
    <w:rsid w:val="0FF3656F"/>
    <w:rsid w:val="11FA1728"/>
    <w:rsid w:val="146C6F23"/>
    <w:rsid w:val="17173305"/>
    <w:rsid w:val="1BDB4510"/>
    <w:rsid w:val="224540B1"/>
    <w:rsid w:val="228665DB"/>
    <w:rsid w:val="23D9143B"/>
    <w:rsid w:val="247017FD"/>
    <w:rsid w:val="252B1641"/>
    <w:rsid w:val="27726AC9"/>
    <w:rsid w:val="36421CF5"/>
    <w:rsid w:val="39FE7A13"/>
    <w:rsid w:val="3D6FDC15"/>
    <w:rsid w:val="3E105C2E"/>
    <w:rsid w:val="3ED5B130"/>
    <w:rsid w:val="3EF7DF1B"/>
    <w:rsid w:val="3FB3213F"/>
    <w:rsid w:val="3FBA38F5"/>
    <w:rsid w:val="48DF3008"/>
    <w:rsid w:val="4DFE4066"/>
    <w:rsid w:val="4ECDC9B3"/>
    <w:rsid w:val="4FC60E49"/>
    <w:rsid w:val="529D742A"/>
    <w:rsid w:val="53F93856"/>
    <w:rsid w:val="54AE21B6"/>
    <w:rsid w:val="5B9FCF21"/>
    <w:rsid w:val="5C5911E9"/>
    <w:rsid w:val="5D3E02B3"/>
    <w:rsid w:val="5FFFE59E"/>
    <w:rsid w:val="64C646A0"/>
    <w:rsid w:val="66135591"/>
    <w:rsid w:val="67F112DB"/>
    <w:rsid w:val="68607DBB"/>
    <w:rsid w:val="68AB7CE4"/>
    <w:rsid w:val="6B55400E"/>
    <w:rsid w:val="6BBA77E4"/>
    <w:rsid w:val="6D56C972"/>
    <w:rsid w:val="6EFF9FC1"/>
    <w:rsid w:val="6F502D8E"/>
    <w:rsid w:val="75AB1EA7"/>
    <w:rsid w:val="75E71EA2"/>
    <w:rsid w:val="77F74705"/>
    <w:rsid w:val="77FFC986"/>
    <w:rsid w:val="79C25397"/>
    <w:rsid w:val="79F6DA81"/>
    <w:rsid w:val="7BFF81BB"/>
    <w:rsid w:val="7D1FDE54"/>
    <w:rsid w:val="7D765152"/>
    <w:rsid w:val="7DB47C7A"/>
    <w:rsid w:val="7DEF3D08"/>
    <w:rsid w:val="7EFFE133"/>
    <w:rsid w:val="7FFBC610"/>
    <w:rsid w:val="7FFE6A1F"/>
    <w:rsid w:val="7FFF7B04"/>
    <w:rsid w:val="96FF5EB6"/>
    <w:rsid w:val="9EAF7347"/>
    <w:rsid w:val="9EFFED6F"/>
    <w:rsid w:val="A6B927D0"/>
    <w:rsid w:val="A7DBFA89"/>
    <w:rsid w:val="B37D55B1"/>
    <w:rsid w:val="BEFE1A6A"/>
    <w:rsid w:val="DED9F6F4"/>
    <w:rsid w:val="EE5610CE"/>
    <w:rsid w:val="EF7E47D7"/>
    <w:rsid w:val="F397DF7E"/>
    <w:rsid w:val="F7A91008"/>
    <w:rsid w:val="F7CB8387"/>
    <w:rsid w:val="FBFDFB89"/>
    <w:rsid w:val="FDBE851E"/>
    <w:rsid w:val="FE1A46EA"/>
    <w:rsid w:val="FE700706"/>
    <w:rsid w:val="FEFA0D40"/>
    <w:rsid w:val="FF0F8032"/>
    <w:rsid w:val="FF7A735D"/>
    <w:rsid w:val="FFDF34B7"/>
    <w:rsid w:val="FFE5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3">
    <w:name w:val="heading 1"/>
    <w:basedOn w:val="1"/>
    <w:next w:val="1"/>
    <w:qFormat/>
    <w:uiPriority w:val="1"/>
    <w:pPr>
      <w:ind w:left="398"/>
      <w:outlineLvl w:val="0"/>
    </w:pPr>
    <w:rPr>
      <w:rFonts w:ascii="方正小标宋_GBK" w:hAnsi="方正小标宋_GBK" w:eastAsia="方正小标宋_GBK"/>
      <w:sz w:val="44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1"/>
    <w:pPr>
      <w:ind w:left="106"/>
    </w:pPr>
    <w:rPr>
      <w:rFonts w:ascii="方正仿宋_GBK" w:hAnsi="方正仿宋_GBK" w:eastAsia="方正仿宋_GBK"/>
      <w:sz w:val="32"/>
      <w:szCs w:val="32"/>
    </w:rPr>
  </w:style>
  <w:style w:type="paragraph" w:styleId="5">
    <w:name w:val="toc 2"/>
    <w:basedOn w:val="1"/>
    <w:next w:val="1"/>
    <w:unhideWhenUsed/>
    <w:qFormat/>
    <w:uiPriority w:val="39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6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8">
    <w:name w:val="header"/>
    <w:basedOn w:val="1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9">
    <w:name w:val="Body Text 2"/>
    <w:basedOn w:val="1"/>
    <w:qFormat/>
    <w:uiPriority w:val="0"/>
    <w:pPr>
      <w:spacing w:after="120" w:line="480" w:lineRule="auto"/>
    </w:pPr>
    <w:rPr>
      <w:rFonts w:eastAsia="宋体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3">
    <w:name w:val="Default"/>
    <w:basedOn w:val="1"/>
    <w:next w:val="1"/>
    <w:qFormat/>
    <w:uiPriority w:val="0"/>
    <w:pPr>
      <w:autoSpaceDE w:val="0"/>
      <w:autoSpaceDN w:val="0"/>
      <w:adjustRightInd w:val="0"/>
      <w:jc w:val="left"/>
    </w:pPr>
    <w:rPr>
      <w:rFonts w:ascii="Times New Roman" w:hAnsi="Times New Roman"/>
      <w:color w:val="000000"/>
      <w:kern w:val="0"/>
      <w:sz w:val="24"/>
    </w:rPr>
  </w:style>
  <w:style w:type="paragraph" w:customStyle="1" w:styleId="14">
    <w:name w:val="样式1"/>
    <w:basedOn w:val="1"/>
    <w:qFormat/>
    <w:uiPriority w:val="0"/>
    <w:pPr>
      <w:ind w:firstLine="200" w:firstLineChars="200"/>
      <w:jc w:val="left"/>
    </w:pPr>
    <w:rPr>
      <w:rFonts w:ascii="仿宋" w:eastAsia="仿宋"/>
      <w:color w:val="000000"/>
      <w:kern w:val="0"/>
      <w:sz w:val="30"/>
      <w:szCs w:val="30"/>
      <w:lang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222</Words>
  <Characters>233</Characters>
  <Lines>0</Lines>
  <Paragraphs>0</Paragraphs>
  <TotalTime>3</TotalTime>
  <ScaleCrop>false</ScaleCrop>
  <LinksUpToDate>false</LinksUpToDate>
  <CharactersWithSpaces>289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2023-11-29T15:33:00Z</dcterms:created>
  <dc:creator>侯晓婷</dc:creator>
  <cp:lastModifiedBy>黔江区市场监管局值班账号</cp:lastModifiedBy>
  <cp:lastPrinted>2025-03-03T09:33:00Z</cp:lastPrinted>
  <dcterms:modified xsi:type="dcterms:W3CDTF">2026-06-25T03:12:42Z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87891087F9B04A3F418D166A14FED487_43</vt:lpwstr>
  </property>
</Properties>
</file>