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5"/>
        <w:keepNext w:val="0"/>
        <w:keepLines w:val="0"/>
        <w:widowControl w:val="0"/>
        <w:suppressLineNumbers w:val="0"/>
        <w:autoSpaceDE w:val="0"/>
        <w:autoSpaceDN/>
        <w:spacing w:before="0" w:beforeAutospacing="0" w:line="560" w:lineRule="exact"/>
        <w:jc w:val="center"/>
        <w:rPr>
          <w:rFonts w:hint="eastAsia" w:ascii="方正小标宋_GBK" w:hAnsi="方正小标宋_GBK" w:eastAsia="方正小标宋_GBK" w:cs="方正小标宋_GBK"/>
          <w:b w:val="0"/>
          <w:kern w:val="0"/>
          <w:sz w:val="44"/>
          <w:szCs w:val="44"/>
        </w:rPr>
      </w:pPr>
      <w:r>
        <w:rPr>
          <w:rStyle w:val="18"/>
          <w:rFonts w:hint="eastAsia" w:ascii="方正小标宋_GBK" w:hAnsi="方正小标宋_GBK" w:eastAsia="方正小标宋_GBK" w:cs="方正小标宋_GBK"/>
          <w:b w:val="0"/>
          <w:sz w:val="44"/>
          <w:szCs w:val="44"/>
          <w:shd w:val="clear" w:fill="FFFFFF"/>
        </w:rPr>
        <w:t>重庆市黔江区水利局（本级）2022年度部门决算情况说明</w:t>
      </w:r>
    </w:p>
    <w:p>
      <w:pPr>
        <w:keepNext w:val="0"/>
        <w:keepLines w:val="0"/>
        <w:widowControl w:val="0"/>
        <w:suppressLineNumbers w:val="0"/>
        <w:autoSpaceDE w:val="0"/>
        <w:autoSpaceDN/>
        <w:snapToGrid w:val="0"/>
        <w:spacing w:line="560" w:lineRule="exact"/>
        <w:ind w:left="0" w:firstLine="640" w:firstLineChars="200"/>
        <w:outlineLvl w:val="0"/>
        <w:rPr>
          <w:rFonts w:hint="eastAsia" w:ascii="方正黑体_GBK" w:hAnsi="方正黑体_GBK" w:eastAsia="方正黑体_GBK" w:cs="方正黑体_GBK"/>
          <w:b w:val="0"/>
          <w:kern w:val="0"/>
          <w:sz w:val="32"/>
          <w:szCs w:val="32"/>
          <w:shd w:val="clear" w:fill="FFFFFF"/>
        </w:rPr>
      </w:pPr>
      <w:r>
        <w:rPr>
          <w:rFonts w:hint="eastAsia" w:ascii="方正黑体_GBK" w:hAnsi="方正黑体_GBK" w:eastAsia="方正黑体_GBK" w:cs="方正黑体_GBK"/>
          <w:b w:val="0"/>
          <w:kern w:val="0"/>
          <w:sz w:val="32"/>
          <w:szCs w:val="32"/>
          <w:shd w:val="clear" w:fill="FFFFFF"/>
        </w:rPr>
        <w:t xml:space="preserve"> </w:t>
      </w:r>
    </w:p>
    <w:p>
      <w:pPr>
        <w:keepNext w:val="0"/>
        <w:keepLines w:val="0"/>
        <w:widowControl w:val="0"/>
        <w:suppressLineNumbers w:val="0"/>
        <w:autoSpaceDE w:val="0"/>
        <w:autoSpaceDN/>
        <w:snapToGrid w:val="0"/>
        <w:spacing w:line="560" w:lineRule="exact"/>
        <w:ind w:left="0" w:firstLine="640" w:firstLineChars="200"/>
        <w:jc w:val="both"/>
        <w:outlineLvl w:val="0"/>
        <w:rPr>
          <w:rFonts w:hint="eastAsia" w:ascii="方正黑体_GBK" w:hAnsi="方正黑体_GBK" w:eastAsia="方正黑体_GBK" w:cs="方正黑体_GBK"/>
          <w:b w:val="0"/>
          <w:kern w:val="0"/>
          <w:sz w:val="21"/>
          <w:szCs w:val="21"/>
          <w:shd w:val="clear" w:fill="FFFFFF"/>
        </w:rPr>
      </w:pPr>
      <w:r>
        <w:rPr>
          <w:rFonts w:hint="eastAsia" w:ascii="方正黑体_GBK" w:hAnsi="方正黑体_GBK" w:eastAsia="方正黑体_GBK" w:cs="方正黑体_GBK"/>
          <w:b w:val="0"/>
          <w:kern w:val="0"/>
          <w:sz w:val="32"/>
          <w:szCs w:val="32"/>
          <w:shd w:val="clear" w:fill="FFFFFF"/>
        </w:rPr>
        <w:t>一、部门基本情况</w:t>
      </w:r>
    </w:p>
    <w:p>
      <w:pPr>
        <w:keepNext w:val="0"/>
        <w:keepLines w:val="0"/>
        <w:widowControl w:val="0"/>
        <w:suppressLineNumbers w:val="0"/>
        <w:autoSpaceDE w:val="0"/>
        <w:autoSpaceDN/>
        <w:snapToGrid w:val="0"/>
        <w:spacing w:line="560" w:lineRule="exact"/>
        <w:ind w:left="0" w:firstLine="640" w:firstLineChars="200"/>
        <w:jc w:val="both"/>
        <w:rPr>
          <w:rFonts w:hint="eastAsia" w:ascii="方正仿宋_GBK" w:hAnsi="方正仿宋_GBK" w:eastAsia="方正仿宋_GBK" w:cs="方正仿宋_GBK"/>
          <w:kern w:val="0"/>
          <w:sz w:val="32"/>
          <w:szCs w:val="32"/>
          <w:shd w:val="clear" w:fill="FFFFFF"/>
        </w:rPr>
      </w:pPr>
      <w:r>
        <w:rPr>
          <w:rFonts w:hint="eastAsia" w:ascii="方正楷体_GBK" w:hAnsi="方正楷体_GBK" w:eastAsia="方正楷体_GBK" w:cs="方正楷体_GBK"/>
          <w:kern w:val="0"/>
          <w:sz w:val="32"/>
          <w:szCs w:val="32"/>
          <w:shd w:val="clear" w:fill="FFFFFF"/>
        </w:rPr>
        <w:t>（一）职能职责。</w:t>
      </w:r>
      <w:r>
        <w:rPr>
          <w:rFonts w:hint="eastAsia" w:ascii="方正仿宋_GBK" w:hAnsi="方正仿宋_GBK" w:eastAsia="方正仿宋_GBK" w:cs="方正仿宋_GBK"/>
          <w:kern w:val="0"/>
          <w:sz w:val="32"/>
          <w:szCs w:val="32"/>
          <w:shd w:val="clear" w:fill="FFFFFF"/>
        </w:rPr>
        <w:t>一是负责保障水资源的合理开发利用。贯彻执行水利水资源法律法规规章及方针政策。组织编制全区水资源战略规划、重要江河湖泊流域综合规划、防洪规划等重大水利规划。二是负责农村生活、生产经营和生态环境用水的统筹和保障。组织实施最严格水资源管理制度，实施水资源的统一监督管理，拟订全区水中长期供求规划、水量分配方案并监督实施。按权限组织实施取水许可、水资源论证和防洪论证制度，指导开展水资源有偿使用工作。指导水利行业供水和乡镇供水工作。三是组织实施水利工程建设有关制度，负责提出全区水利固定资产投资规模、方向、具体安排建议并组织指导实施，按区政府规定权限审批、核准规划内和年度计划规模内固定资产投资项目，负责项目实施的监督管理。四是负责水资源保护工作。组织编制并实施水资源保护规划。指导饮用水水源保护有关工作，指导地下水开发利用和地下水资源管理保护。五是负责节约用水工作。组织实施节约用水政策，组织编制节约用水规划并监督实施，贯彻执行有关标准。组织实施用水总量控制等管理制度，指导和推动节水型社会建设工作。六是负责水文工作。负责全区水文水资源监测、水文站网建设和管理。对江河湖库和地下水实施监测，编制水文水资源信息、情报预报和水资源公报。按规定组织开展水资源、水能资源调查评价和水资源承载能力监测预警工作。七是组织指导水利设施、水域及其岸线的管理、保护与综合利用。组织指导水利基础设施网络建设。指导重要江河湖库及河口的治理、开发和保护。指导河库水生态保护与修复、生态流量水量管理以及水系连通工作。承担全区河（库）长制工作的组织和协调及黔江区河长办公室日常工作。八是指导监督水利工程建设与运行管理。组织实施具有控制性的和跨区域跨流域的重要水利工程建设与运行管理。贯彻执行重要水利工程建设、运行管理的有关政策措施，指导监督工程安全运行，组织工程验收有关工作，督促指导区域内配套工程建设。九是负责水土保持工作。拟订水土保持规划并监督实施，组织实施水土流失的综合防治、监测预报。负责建设项目水土保持监督管理工作，指导重点水土保持建设项目的实施。承担黔江区水土保持办公室日常工作。十是负责农村水利工作。组织指导农村饮水安全工程建设管理工作，组织指导节水灌溉有关工作。指导农村水利改革创新和社会化服务体系建设。指导农村水能资源开发、小水电改造和水电农村电气化工作。十一是负责水利水电工程移民管理工作。执行水利水电工程移民有关政策，组织实施水利水电工程移民安置验收、监督评估等制度。负责指导监督水库移民后期扶持政策的实施。十二是负责涉水违法事件的查处，协调区域内的水事纠纷，指导水政监察和水行政执法。依法负责水利行业安全生产工作，组织指导水库、水电站大坝、农村水电站的安全监管。指导水利建设市场的监督管理，组织实施水利工程建设的监督。十三是开展水利科技和外事工作。组织开展水利行业质量监督工作，组织实施水利行业的地方技术标准和规程规范，组织水利科学研究和技术推广。负责水利对外交流、合作等有关涉外事务。十四是负责落实全区综合防灾减灾规划相关要求，组织编制全区洪水干旱灾害防治规划并指导实施。承担水情旱情监测预警工作。组织编制重要江河水库和重要水工程的防御洪水抗御旱灾调度及应急水量调度方案，按程序报批并组织实施。承担防御洪水应急抢险的技术支撑工作。十五是完成区委、区政府交办的其他工作事项。</w:t>
      </w:r>
    </w:p>
    <w:p>
      <w:pPr>
        <w:keepNext w:val="0"/>
        <w:keepLines w:val="0"/>
        <w:widowControl w:val="0"/>
        <w:suppressLineNumbers w:val="0"/>
        <w:autoSpaceDE w:val="0"/>
        <w:autoSpaceDN/>
        <w:spacing w:line="560" w:lineRule="exact"/>
        <w:ind w:left="0" w:firstLine="640" w:firstLineChars="200"/>
        <w:jc w:val="both"/>
        <w:rPr>
          <w:rFonts w:hint="eastAsia" w:ascii="方正楷体_GBK" w:hAnsi="Times New Roman" w:eastAsia="方正楷体_GBK" w:cs="方正楷体_GBK"/>
          <w:kern w:val="0"/>
          <w:sz w:val="32"/>
          <w:szCs w:val="32"/>
        </w:rPr>
      </w:pPr>
      <w:r>
        <w:rPr>
          <w:rFonts w:hint="eastAsia" w:ascii="方正楷体_GBK" w:hAnsi="方正楷体_GBK" w:eastAsia="方正楷体_GBK" w:cs="方正楷体_GBK"/>
          <w:kern w:val="0"/>
          <w:sz w:val="32"/>
          <w:szCs w:val="32"/>
          <w:shd w:val="clear" w:fill="FFFFFF"/>
        </w:rPr>
        <w:t>（二）单位构成</w:t>
      </w:r>
      <w:r>
        <w:rPr>
          <w:rFonts w:hint="eastAsia" w:ascii="方正仿宋_GBK" w:hAnsi="方正仿宋_GBK" w:eastAsia="方正仿宋_GBK" w:cs="方正仿宋_GBK"/>
          <w:kern w:val="0"/>
          <w:sz w:val="32"/>
          <w:szCs w:val="32"/>
          <w:shd w:val="clear" w:fill="FFFFFF"/>
        </w:rPr>
        <w:t>。</w:t>
      </w:r>
      <w:r>
        <w:rPr>
          <w:rFonts w:hint="eastAsia" w:ascii="方正仿宋_GBK" w:hAnsi="方正仿宋_GBK" w:eastAsia="方正仿宋_GBK" w:cs="方正仿宋_GBK"/>
          <w:kern w:val="0"/>
          <w:sz w:val="32"/>
          <w:szCs w:val="32"/>
        </w:rPr>
        <w:t>黔江区水利局（本级）为区政府组成部门，内设7个职能科室：办公室、规划建设科（黔江区节约用水办公室）、安全科、行政审批科、财务科、农村水利科(黔江区水土保持办公室、黔江区大中型水库移民后期扶持工作办公室）、河长科。</w:t>
      </w:r>
    </w:p>
    <w:p>
      <w:pPr>
        <w:keepNext w:val="0"/>
        <w:keepLines w:val="0"/>
        <w:widowControl w:val="0"/>
        <w:suppressLineNumbers w:val="0"/>
        <w:autoSpaceDE w:val="0"/>
        <w:autoSpaceDN/>
        <w:snapToGrid w:val="0"/>
        <w:spacing w:line="560" w:lineRule="exact"/>
        <w:ind w:left="0" w:firstLine="640" w:firstLineChars="200"/>
        <w:jc w:val="both"/>
        <w:outlineLvl w:val="0"/>
        <w:rPr>
          <w:rFonts w:hint="eastAsia" w:ascii="方正黑体_GBK" w:hAnsi="方正黑体_GBK" w:eastAsia="方正黑体_GBK" w:cs="方正黑体_GBK"/>
          <w:b w:val="0"/>
          <w:kern w:val="0"/>
          <w:sz w:val="32"/>
          <w:szCs w:val="32"/>
          <w:shd w:val="clear" w:fill="FFFFFF"/>
        </w:rPr>
      </w:pPr>
      <w:r>
        <w:rPr>
          <w:rFonts w:hint="eastAsia" w:ascii="方正黑体_GBK" w:hAnsi="方正黑体_GBK" w:eastAsia="方正黑体_GBK" w:cs="方正黑体_GBK"/>
          <w:b w:val="0"/>
          <w:kern w:val="0"/>
          <w:sz w:val="32"/>
          <w:szCs w:val="32"/>
          <w:shd w:val="clear" w:fill="FFFFFF"/>
        </w:rPr>
        <w:t>二、部门决算情况说明</w:t>
      </w:r>
    </w:p>
    <w:p>
      <w:pPr>
        <w:keepNext w:val="0"/>
        <w:keepLines w:val="0"/>
        <w:widowControl w:val="0"/>
        <w:suppressLineNumbers w:val="0"/>
        <w:autoSpaceDE w:val="0"/>
        <w:autoSpaceDN/>
        <w:snapToGrid w:val="0"/>
        <w:spacing w:line="560" w:lineRule="exact"/>
        <w:ind w:left="0" w:firstLine="640" w:firstLineChars="200"/>
        <w:jc w:val="both"/>
        <w:rPr>
          <w:rFonts w:hint="eastAsia" w:ascii="方正楷体_GBK" w:hAnsi="方正楷体_GBK" w:eastAsia="方正楷体_GBK" w:cs="方正楷体_GBK"/>
          <w:kern w:val="0"/>
          <w:sz w:val="32"/>
          <w:szCs w:val="32"/>
          <w:shd w:val="clear" w:fill="FFFFFF"/>
        </w:rPr>
      </w:pPr>
      <w:r>
        <w:rPr>
          <w:rFonts w:hint="eastAsia" w:ascii="方正楷体_GBK" w:hAnsi="方正楷体_GBK" w:eastAsia="方正楷体_GBK" w:cs="方正楷体_GBK"/>
          <w:bCs/>
          <w:kern w:val="0"/>
          <w:sz w:val="32"/>
          <w:szCs w:val="32"/>
        </w:rPr>
        <w:t>（一）收入支出决算总体情况说明</w:t>
      </w:r>
    </w:p>
    <w:p>
      <w:pPr>
        <w:keepNext w:val="0"/>
        <w:keepLines w:val="0"/>
        <w:widowControl w:val="0"/>
        <w:suppressLineNumbers w:val="0"/>
        <w:autoSpaceDE w:val="0"/>
        <w:autoSpaceDN/>
        <w:snapToGrid w:val="0"/>
        <w:spacing w:line="560" w:lineRule="exact"/>
        <w:ind w:left="0" w:firstLine="642" w:firstLineChars="200"/>
        <w:jc w:val="both"/>
        <w:rPr>
          <w:rFonts w:hint="eastAsia" w:ascii="仿宋" w:hAnsi="仿宋" w:eastAsia="仿宋" w:cs="仿宋"/>
          <w:kern w:val="0"/>
          <w:sz w:val="32"/>
          <w:szCs w:val="32"/>
        </w:rPr>
      </w:pPr>
      <w:r>
        <w:rPr>
          <w:rFonts w:hint="eastAsia" w:ascii="方正仿宋_GBK" w:hAnsi="方正仿宋_GBK" w:eastAsia="方正仿宋_GBK" w:cs="方正仿宋_GBK"/>
          <w:b/>
          <w:kern w:val="0"/>
          <w:sz w:val="32"/>
          <w:szCs w:val="32"/>
        </w:rPr>
        <w:t>1.总体情况。</w:t>
      </w:r>
      <w:r>
        <w:rPr>
          <w:rFonts w:hint="eastAsia" w:ascii="方正仿宋_GBK" w:hAnsi="方正仿宋_GBK" w:eastAsia="方正仿宋_GBK" w:cs="方正仿宋_GBK"/>
          <w:kern w:val="0"/>
          <w:sz w:val="32"/>
          <w:szCs w:val="32"/>
          <w:shd w:val="clear" w:fill="FFFFFF"/>
        </w:rPr>
        <w:t>2022年度收入总计34,731.96万元，支出总计34,731.96万元。收支较上年决算数增加18,079.11万元、增长108.6%，主要原因是本年度支出增加18079.11万元（其中一般公共预</w:t>
      </w:r>
      <w:r>
        <w:rPr>
          <w:rFonts w:hint="eastAsia" w:ascii="方正仿宋_GBK" w:hAnsi="方正仿宋_GBK" w:eastAsia="方正仿宋_GBK" w:cs="方正仿宋_GBK"/>
          <w:kern w:val="0"/>
          <w:sz w:val="32"/>
          <w:szCs w:val="32"/>
        </w:rPr>
        <w:t>算财政拨款支出增加541.32万元、政府性基金预算财政拨款支出增加18930.22万元、年初结余结转减少1392.44万元）。</w:t>
      </w:r>
    </w:p>
    <w:p>
      <w:pPr>
        <w:keepNext w:val="0"/>
        <w:keepLines w:val="0"/>
        <w:widowControl w:val="0"/>
        <w:suppressLineNumbers w:val="0"/>
        <w:autoSpaceDE w:val="0"/>
        <w:autoSpaceDN/>
        <w:snapToGrid w:val="0"/>
        <w:spacing w:line="560" w:lineRule="exact"/>
        <w:ind w:left="0" w:firstLine="642" w:firstLineChars="200"/>
        <w:jc w:val="both"/>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b/>
          <w:kern w:val="0"/>
          <w:sz w:val="32"/>
          <w:szCs w:val="32"/>
        </w:rPr>
        <w:t>2.收入情况。</w:t>
      </w:r>
      <w:r>
        <w:rPr>
          <w:rFonts w:hint="eastAsia" w:ascii="方正仿宋_GBK" w:hAnsi="方正仿宋_GBK" w:eastAsia="方正仿宋_GBK" w:cs="方正仿宋_GBK"/>
          <w:bCs/>
          <w:kern w:val="0"/>
          <w:sz w:val="32"/>
          <w:szCs w:val="32"/>
        </w:rPr>
        <w:t>2022年度收入合计34,731.96万元，较上年决算数增加19,471.55万元，增长</w:t>
      </w:r>
      <w:r>
        <w:rPr>
          <w:rFonts w:hint="eastAsia" w:ascii="方正仿宋_GBK" w:hAnsi="方正仿宋_GBK" w:eastAsia="方正仿宋_GBK" w:cs="方正仿宋_GBK"/>
          <w:kern w:val="0"/>
          <w:sz w:val="32"/>
          <w:szCs w:val="32"/>
          <w:shd w:val="clear" w:fill="FFFFFF"/>
        </w:rPr>
        <w:t>127.6%，主要原因是一般公共预算财政拨款收入增加541.32万元，政府性基金预算财政拨款增加</w:t>
      </w:r>
      <w:r>
        <w:rPr>
          <w:rFonts w:hint="eastAsia" w:ascii="方正仿宋_GBK" w:hAnsi="方正仿宋_GBK" w:eastAsia="方正仿宋_GBK" w:cs="方正仿宋_GBK"/>
          <w:kern w:val="0"/>
          <w:sz w:val="32"/>
          <w:szCs w:val="32"/>
        </w:rPr>
        <w:t>18930.23万元。其中：财政拨款收入34,731.96万元，占100%；年初结转和结余0 万元。</w:t>
      </w:r>
    </w:p>
    <w:p>
      <w:pPr>
        <w:keepNext w:val="0"/>
        <w:keepLines w:val="0"/>
        <w:widowControl w:val="0"/>
        <w:suppressLineNumbers w:val="0"/>
        <w:autoSpaceDE w:val="0"/>
        <w:autoSpaceDN/>
        <w:snapToGrid w:val="0"/>
        <w:spacing w:line="560" w:lineRule="exact"/>
        <w:ind w:left="0" w:firstLine="642" w:firstLineChars="200"/>
        <w:jc w:val="both"/>
        <w:rPr>
          <w:rFonts w:hint="eastAsia" w:ascii="方正仿宋_GBK" w:hAnsi="仿宋" w:eastAsia="方正仿宋_GBK" w:cs="方正仿宋_GBK"/>
          <w:kern w:val="0"/>
          <w:sz w:val="32"/>
          <w:szCs w:val="32"/>
          <w:shd w:val="clear" w:fill="FFFFFF"/>
        </w:rPr>
      </w:pPr>
      <w:r>
        <w:rPr>
          <w:rFonts w:hint="eastAsia" w:ascii="方正仿宋_GBK" w:hAnsi="方正仿宋_GBK" w:eastAsia="方正仿宋_GBK" w:cs="方正仿宋_GBK"/>
          <w:b/>
          <w:kern w:val="0"/>
          <w:sz w:val="32"/>
          <w:szCs w:val="32"/>
        </w:rPr>
        <w:t>3.支出情况。</w:t>
      </w:r>
      <w:r>
        <w:rPr>
          <w:rFonts w:hint="eastAsia" w:ascii="方正仿宋_GBK" w:hAnsi="方正仿宋_GBK" w:eastAsia="方正仿宋_GBK" w:cs="方正仿宋_GBK"/>
          <w:kern w:val="0"/>
          <w:sz w:val="32"/>
          <w:szCs w:val="32"/>
        </w:rPr>
        <w:t>2022年度支出合计34,731.96万元，较上年决算数增加18,130.20万元，增长</w:t>
      </w:r>
      <w:r>
        <w:rPr>
          <w:rFonts w:hint="eastAsia" w:ascii="方正仿宋_GBK" w:hAnsi="方正仿宋_GBK" w:eastAsia="方正仿宋_GBK" w:cs="方正仿宋_GBK"/>
          <w:kern w:val="0"/>
          <w:sz w:val="32"/>
          <w:szCs w:val="32"/>
          <w:shd w:val="clear" w:fill="FFFFFF"/>
        </w:rPr>
        <w:t>109.2%，</w:t>
      </w:r>
      <w:r>
        <w:rPr>
          <w:rFonts w:hint="eastAsia" w:ascii="方正仿宋_GBK" w:hAnsi="方正仿宋_GBK" w:eastAsia="方正仿宋_GBK" w:cs="方正仿宋_GBK"/>
          <w:kern w:val="0"/>
          <w:sz w:val="32"/>
          <w:szCs w:val="32"/>
        </w:rPr>
        <w:t>主要原因是基本支出减少1323.69 万元，项目支出增加19453.89 万元。</w:t>
      </w:r>
      <w:r>
        <w:rPr>
          <w:rFonts w:hint="eastAsia" w:ascii="方正仿宋_GBK" w:hAnsi="方正仿宋_GBK" w:eastAsia="方正仿宋_GBK" w:cs="方正仿宋_GBK"/>
          <w:kern w:val="0"/>
          <w:sz w:val="32"/>
          <w:szCs w:val="32"/>
          <w:shd w:val="clear" w:fill="FFFFFF"/>
        </w:rPr>
        <w:t>其中：基本支出558.08万元，占1.6%；项目支出34,173.88万元，占98.4%；</w:t>
      </w:r>
    </w:p>
    <w:p>
      <w:pPr>
        <w:keepNext w:val="0"/>
        <w:keepLines w:val="0"/>
        <w:widowControl w:val="0"/>
        <w:suppressLineNumbers w:val="0"/>
        <w:autoSpaceDE w:val="0"/>
        <w:autoSpaceDN/>
        <w:snapToGrid w:val="0"/>
        <w:spacing w:line="560" w:lineRule="exact"/>
        <w:ind w:left="0" w:firstLine="642" w:firstLineChars="200"/>
        <w:jc w:val="both"/>
        <w:rPr>
          <w:rFonts w:hint="eastAsia" w:ascii="方正仿宋_GBK" w:hAnsi="仿宋" w:eastAsia="方正仿宋_GBK" w:cs="方正仿宋_GBK"/>
          <w:kern w:val="0"/>
          <w:sz w:val="32"/>
          <w:szCs w:val="32"/>
          <w:shd w:val="clear" w:fill="FFFFFF"/>
        </w:rPr>
      </w:pPr>
      <w:r>
        <w:rPr>
          <w:rFonts w:hint="eastAsia" w:ascii="方正仿宋_GBK" w:hAnsi="方正仿宋_GBK" w:eastAsia="方正仿宋_GBK" w:cs="方正仿宋_GBK"/>
          <w:b/>
          <w:kern w:val="0"/>
          <w:sz w:val="32"/>
          <w:szCs w:val="32"/>
        </w:rPr>
        <w:t>4.结转结余情况。</w:t>
      </w:r>
      <w:r>
        <w:rPr>
          <w:rFonts w:hint="eastAsia" w:ascii="方正仿宋_GBK" w:hAnsi="方正仿宋_GBK" w:eastAsia="方正仿宋_GBK" w:cs="方正仿宋_GBK"/>
          <w:kern w:val="0"/>
          <w:sz w:val="32"/>
          <w:szCs w:val="32"/>
          <w:shd w:val="clear" w:fill="FFFFFF"/>
        </w:rPr>
        <w:t>2022年度年末结转和结余0.00万元，较上年决算数减少51.09万元，下降100%。</w:t>
      </w:r>
    </w:p>
    <w:p>
      <w:pPr>
        <w:keepNext w:val="0"/>
        <w:keepLines w:val="0"/>
        <w:widowControl w:val="0"/>
        <w:suppressLineNumbers w:val="0"/>
        <w:autoSpaceDE w:val="0"/>
        <w:autoSpaceDN/>
        <w:snapToGrid w:val="0"/>
        <w:spacing w:line="560" w:lineRule="exact"/>
        <w:ind w:left="0" w:firstLine="640" w:firstLineChars="200"/>
        <w:jc w:val="both"/>
        <w:rPr>
          <w:rFonts w:hint="eastAsia" w:ascii="方正楷体_GBK" w:hAnsi="仿宋" w:eastAsia="方正楷体_GBK" w:cs="方正楷体_GBK"/>
          <w:kern w:val="0"/>
          <w:sz w:val="32"/>
          <w:szCs w:val="32"/>
          <w:shd w:val="clear" w:fill="FFFFFF"/>
        </w:rPr>
      </w:pPr>
      <w:r>
        <w:rPr>
          <w:rFonts w:hint="eastAsia" w:ascii="方正楷体_GBK" w:hAnsi="方正楷体_GBK" w:eastAsia="方正楷体_GBK" w:cs="方正楷体_GBK"/>
          <w:bCs/>
          <w:kern w:val="0"/>
          <w:sz w:val="32"/>
          <w:szCs w:val="32"/>
        </w:rPr>
        <w:t>（二）财政拨款收入支出决算总体情况说明</w:t>
      </w:r>
    </w:p>
    <w:p>
      <w:pPr>
        <w:keepNext w:val="0"/>
        <w:keepLines w:val="0"/>
        <w:widowControl w:val="0"/>
        <w:suppressLineNumbers w:val="0"/>
        <w:autoSpaceDE w:val="0"/>
        <w:autoSpaceDN/>
        <w:snapToGrid w:val="0"/>
        <w:spacing w:line="560" w:lineRule="exact"/>
        <w:ind w:left="0" w:firstLine="640" w:firstLineChars="200"/>
        <w:jc w:val="both"/>
        <w:rPr>
          <w:rFonts w:hint="eastAsia" w:ascii="方正仿宋_GBK" w:hAnsi="仿宋" w:eastAsia="方正仿宋_GBK" w:cs="方正仿宋_GBK"/>
          <w:kern w:val="0"/>
          <w:sz w:val="32"/>
          <w:szCs w:val="32"/>
          <w:shd w:val="clear" w:fill="FFFFFF"/>
        </w:rPr>
      </w:pPr>
      <w:r>
        <w:rPr>
          <w:rFonts w:hint="eastAsia" w:ascii="方正仿宋_GBK" w:hAnsi="方正仿宋_GBK" w:eastAsia="方正仿宋_GBK" w:cs="方正仿宋_GBK"/>
          <w:kern w:val="0"/>
          <w:sz w:val="32"/>
          <w:szCs w:val="32"/>
          <w:shd w:val="clear" w:fill="FFFFFF"/>
        </w:rPr>
        <w:t>2022年度财政拨款收、支总计34,731.96万元。与2021年相比，财政拨款收、支总计各增加18,079.11万元，增长108.6%。</w:t>
      </w:r>
      <w:r>
        <w:rPr>
          <w:rFonts w:hint="eastAsia" w:ascii="方正仿宋_GBK" w:hAnsi="方正仿宋_GBK" w:eastAsia="方正仿宋_GBK" w:cs="方正仿宋_GBK"/>
          <w:kern w:val="0"/>
          <w:sz w:val="32"/>
          <w:szCs w:val="32"/>
        </w:rPr>
        <w:t>主要原因是本年度支出增加18079.11万元（其中一般公共预算财政拨款支出增加541.32万元、政府性基金预算财政拨款支出增加18930.22万元、年初结余结转减少1392.44万元）。</w:t>
      </w:r>
      <w:r>
        <w:rPr>
          <w:rFonts w:hint="eastAsia" w:ascii="方正仿宋_GBK" w:hAnsi="方正仿宋_GBK" w:eastAsia="方正仿宋_GBK" w:cs="方正仿宋_GBK"/>
          <w:kern w:val="0"/>
          <w:sz w:val="32"/>
          <w:szCs w:val="32"/>
          <w:shd w:val="clear" w:fill="FFFFFF"/>
        </w:rPr>
        <w:t>基本支出减少1323.69万元，</w:t>
      </w:r>
      <w:r>
        <w:rPr>
          <w:rFonts w:hint="eastAsia" w:ascii="方正仿宋_GBK" w:hAnsi="方正仿宋_GBK" w:eastAsia="方正仿宋_GBK" w:cs="方正仿宋_GBK"/>
          <w:kern w:val="0"/>
          <w:sz w:val="32"/>
          <w:szCs w:val="32"/>
        </w:rPr>
        <w:t>其中人员经费减少1194.21万元</w:t>
      </w:r>
      <w:r>
        <w:rPr>
          <w:rFonts w:hint="eastAsia" w:ascii="方正仿宋_GBK" w:hAnsi="方正仿宋_GBK" w:eastAsia="方正仿宋_GBK" w:cs="方正仿宋_GBK"/>
          <w:kern w:val="0"/>
          <w:sz w:val="32"/>
          <w:szCs w:val="32"/>
          <w:shd w:val="clear" w:fill="FFFFFF"/>
        </w:rPr>
        <w:t>，日常公用经费减少129.48万元；项目支出增加19453.89万元。</w:t>
      </w:r>
    </w:p>
    <w:p>
      <w:pPr>
        <w:keepNext w:val="0"/>
        <w:keepLines w:val="0"/>
        <w:widowControl w:val="0"/>
        <w:suppressLineNumbers w:val="0"/>
        <w:autoSpaceDE w:val="0"/>
        <w:autoSpaceDN/>
        <w:snapToGrid w:val="0"/>
        <w:spacing w:line="560" w:lineRule="exact"/>
        <w:ind w:left="0" w:firstLine="640" w:firstLineChars="200"/>
        <w:jc w:val="both"/>
        <w:rPr>
          <w:rFonts w:hint="eastAsia" w:ascii="方正楷体_GBK" w:hAnsi="仿宋" w:eastAsia="方正楷体_GBK" w:cs="方正楷体_GBK"/>
          <w:bCs/>
          <w:kern w:val="0"/>
          <w:sz w:val="32"/>
          <w:szCs w:val="32"/>
        </w:rPr>
      </w:pPr>
      <w:r>
        <w:rPr>
          <w:rFonts w:hint="eastAsia" w:ascii="方正楷体_GBK" w:hAnsi="方正楷体_GBK" w:eastAsia="方正楷体_GBK" w:cs="方正楷体_GBK"/>
          <w:bCs/>
          <w:kern w:val="0"/>
          <w:sz w:val="32"/>
          <w:szCs w:val="32"/>
        </w:rPr>
        <w:t>（三）一般公共预算财政拨款收入支出决算情况说明</w:t>
      </w:r>
    </w:p>
    <w:p>
      <w:pPr>
        <w:keepNext w:val="0"/>
        <w:keepLines w:val="0"/>
        <w:widowControl w:val="0"/>
        <w:suppressLineNumbers w:val="0"/>
        <w:autoSpaceDE w:val="0"/>
        <w:autoSpaceDN/>
        <w:snapToGrid w:val="0"/>
        <w:spacing w:line="560" w:lineRule="exact"/>
        <w:ind w:left="0" w:firstLine="642" w:firstLineChars="200"/>
        <w:jc w:val="both"/>
        <w:rPr>
          <w:rFonts w:hint="eastAsia" w:ascii="方正仿宋_GBK" w:hAnsi="方正仿宋_GBK" w:eastAsia="方正仿宋_GBK" w:cs="方正仿宋_GBK"/>
          <w:kern w:val="0"/>
          <w:sz w:val="32"/>
          <w:szCs w:val="32"/>
        </w:rPr>
      </w:pPr>
      <w:r>
        <w:rPr>
          <w:rStyle w:val="18"/>
          <w:rFonts w:hint="eastAsia" w:ascii="方正仿宋_GBK" w:hAnsi="方正仿宋_GBK" w:eastAsia="方正仿宋_GBK" w:cs="方正仿宋_GBK"/>
          <w:b/>
          <w:sz w:val="32"/>
          <w:szCs w:val="32"/>
          <w:shd w:val="clear" w:fill="FFFFFF"/>
        </w:rPr>
        <w:t>1.收入情况。</w:t>
      </w:r>
      <w:r>
        <w:rPr>
          <w:rFonts w:hint="eastAsia" w:ascii="方正仿宋_GBK" w:hAnsi="方正仿宋_GBK" w:eastAsia="方正仿宋_GBK" w:cs="方正仿宋_GBK"/>
          <w:kern w:val="0"/>
          <w:sz w:val="32"/>
          <w:szCs w:val="32"/>
          <w:shd w:val="clear" w:fill="FFFFFF"/>
        </w:rPr>
        <w:t>2022年度一般公共预算财政拨款收入15,502.70万元，较上年决算数增加541.32万元，增长3.6%。</w:t>
      </w:r>
      <w:r>
        <w:rPr>
          <w:rFonts w:hint="eastAsia" w:ascii="方正仿宋_GBK" w:hAnsi="方正仿宋_GBK" w:eastAsia="方正仿宋_GBK" w:cs="方正仿宋_GBK"/>
          <w:kern w:val="0"/>
          <w:sz w:val="32"/>
          <w:szCs w:val="32"/>
        </w:rPr>
        <w:t>主要原因是社会保障和就业支出减少242.78，卫生健康支出减少70.88万元，农林水利支增加522.63万元，住房保障支出减少53.42万元。</w:t>
      </w:r>
      <w:r>
        <w:rPr>
          <w:rFonts w:hint="eastAsia" w:ascii="方正仿宋_GBK" w:hAnsi="方正仿宋_GBK" w:eastAsia="方正仿宋_GBK" w:cs="方正仿宋_GBK"/>
          <w:kern w:val="0"/>
          <w:sz w:val="32"/>
          <w:szCs w:val="32"/>
          <w:shd w:val="clear" w:fill="FFFFFF"/>
        </w:rPr>
        <w:t>较年初预算数增加14,864.14万元，增</w:t>
      </w:r>
      <w:r>
        <w:rPr>
          <w:rFonts w:hint="eastAsia" w:ascii="方正仿宋_GBK" w:hAnsi="方正仿宋_GBK" w:eastAsia="方正仿宋_GBK" w:cs="方正仿宋_GBK"/>
          <w:kern w:val="0"/>
          <w:sz w:val="32"/>
          <w:szCs w:val="32"/>
        </w:rPr>
        <w:t>长2327.8%。</w:t>
      </w:r>
      <w:r>
        <w:rPr>
          <w:rFonts w:hint="eastAsia" w:ascii="方正仿宋_GBK" w:hAnsi="方正仿宋_GBK" w:eastAsia="方正仿宋_GBK" w:cs="方正仿宋_GBK"/>
          <w:kern w:val="0"/>
          <w:sz w:val="32"/>
          <w:szCs w:val="32"/>
          <w:shd w:val="clear" w:fill="FFFFFF"/>
        </w:rPr>
        <w:t>主要原因是基本支出较年初预算</w:t>
      </w:r>
      <w:r>
        <w:rPr>
          <w:rFonts w:hint="eastAsia" w:ascii="方正仿宋_GBK" w:hAnsi="方正仿宋_GBK" w:eastAsia="方正仿宋_GBK" w:cs="方正仿宋_GBK"/>
          <w:kern w:val="0"/>
          <w:sz w:val="32"/>
          <w:szCs w:val="32"/>
        </w:rPr>
        <w:t>增加17.88万元</w:t>
      </w:r>
      <w:r>
        <w:rPr>
          <w:rFonts w:hint="eastAsia" w:ascii="方正仿宋_GBK" w:hAnsi="方正仿宋_GBK" w:eastAsia="方正仿宋_GBK" w:cs="方正仿宋_GBK"/>
          <w:kern w:val="0"/>
          <w:sz w:val="32"/>
          <w:szCs w:val="32"/>
          <w:shd w:val="clear" w:fill="FFFFFF"/>
        </w:rPr>
        <w:t>；项目支出较年初预算</w:t>
      </w:r>
      <w:r>
        <w:rPr>
          <w:rFonts w:hint="eastAsia" w:ascii="方正仿宋_GBK" w:hAnsi="方正仿宋_GBK" w:eastAsia="方正仿宋_GBK" w:cs="方正仿宋_GBK"/>
          <w:kern w:val="0"/>
          <w:sz w:val="32"/>
          <w:szCs w:val="32"/>
        </w:rPr>
        <w:t>增加14846.26万元</w:t>
      </w:r>
      <w:r>
        <w:rPr>
          <w:rFonts w:hint="eastAsia" w:ascii="方正仿宋_GBK" w:hAnsi="方正仿宋_GBK" w:eastAsia="方正仿宋_GBK" w:cs="方正仿宋_GBK"/>
          <w:kern w:val="0"/>
          <w:sz w:val="32"/>
          <w:szCs w:val="32"/>
          <w:shd w:val="clear" w:fill="FFFFFF"/>
        </w:rPr>
        <w:t>，</w:t>
      </w:r>
      <w:r>
        <w:rPr>
          <w:rFonts w:hint="eastAsia" w:ascii="方正仿宋_GBK" w:hAnsi="方正仿宋_GBK" w:eastAsia="方正仿宋_GBK" w:cs="方正仿宋_GBK"/>
          <w:kern w:val="0"/>
          <w:sz w:val="32"/>
          <w:szCs w:val="32"/>
        </w:rPr>
        <w:t>具体有：年中追加黔江区农村供水保障工程、2022年农村饮水工程维修养护、沙坝镇石桥村人（畜）饮水安全及农田灌溉用水建设项目、城西街道册山居委农村饮水安全巩固提升工程、2022年国家水土保持重点工程太极项目区、黔江河册山河综合治理工程、黔江区金溪河太极镇金鸡坝河段综合治理工程、黔江区太极河太极集镇河段综合治理工程、黔江区细沙河阿蓬江镇金洞乡重点河段综合治理工程、黔江区诸佛江鹅池新华重点河段综合治理工程、黔江区太极河流综合治理工程、水资源管理、县域节水型达标建设等项目收入。此外，年初财政拨款结转和结余0万元。</w:t>
      </w:r>
    </w:p>
    <w:p>
      <w:pPr>
        <w:keepNext w:val="0"/>
        <w:keepLines w:val="0"/>
        <w:widowControl w:val="0"/>
        <w:suppressLineNumbers w:val="0"/>
        <w:autoSpaceDE w:val="0"/>
        <w:autoSpaceDN/>
        <w:snapToGrid w:val="0"/>
        <w:spacing w:line="560" w:lineRule="exact"/>
        <w:ind w:left="0" w:firstLine="642" w:firstLineChars="200"/>
        <w:jc w:val="both"/>
        <w:rPr>
          <w:rFonts w:hint="eastAsia" w:ascii="方正仿宋_GBK" w:hAnsi="仿宋" w:eastAsia="方正仿宋_GBK" w:cs="方正仿宋_GBK"/>
          <w:kern w:val="0"/>
          <w:sz w:val="32"/>
          <w:szCs w:val="32"/>
          <w:shd w:val="clear" w:fill="FFFFFF"/>
        </w:rPr>
      </w:pPr>
      <w:r>
        <w:rPr>
          <w:rFonts w:hint="eastAsia" w:ascii="方正仿宋_GBK" w:hAnsi="方正仿宋_GBK" w:eastAsia="方正仿宋_GBK" w:cs="方正仿宋_GBK"/>
          <w:b/>
          <w:bCs w:val="0"/>
          <w:kern w:val="0"/>
          <w:sz w:val="32"/>
          <w:szCs w:val="32"/>
        </w:rPr>
        <w:t>2.支出情况。</w:t>
      </w:r>
      <w:r>
        <w:rPr>
          <w:rFonts w:hint="eastAsia" w:ascii="方正仿宋_GBK" w:hAnsi="方正仿宋_GBK" w:eastAsia="方正仿宋_GBK" w:cs="方正仿宋_GBK"/>
          <w:kern w:val="0"/>
          <w:sz w:val="32"/>
          <w:szCs w:val="32"/>
        </w:rPr>
        <w:t>2022年度一般公共预算财政拨款支出15,502.70万元，较上年决算数增加156.54万</w:t>
      </w:r>
      <w:r>
        <w:rPr>
          <w:rFonts w:hint="eastAsia" w:ascii="方正仿宋_GBK" w:hAnsi="方正仿宋_GBK" w:eastAsia="方正仿宋_GBK" w:cs="方正仿宋_GBK"/>
          <w:kern w:val="0"/>
          <w:sz w:val="32"/>
          <w:szCs w:val="32"/>
          <w:shd w:val="clear" w:fill="FFFFFF"/>
        </w:rPr>
        <w:t>元，增长1%。主要原因是基本支出</w:t>
      </w:r>
      <w:r>
        <w:rPr>
          <w:rFonts w:hint="eastAsia" w:ascii="方正仿宋_GBK" w:hAnsi="方正仿宋_GBK" w:eastAsia="方正仿宋_GBK" w:cs="方正仿宋_GBK"/>
          <w:kern w:val="0"/>
          <w:sz w:val="32"/>
          <w:szCs w:val="32"/>
        </w:rPr>
        <w:t>减少1323.69 万元，项目支出增加1480.23万元</w:t>
      </w:r>
      <w:r>
        <w:rPr>
          <w:rFonts w:hint="eastAsia" w:ascii="方正仿宋_GBK" w:hAnsi="方正仿宋_GBK" w:eastAsia="方正仿宋_GBK" w:cs="方正仿宋_GBK"/>
          <w:kern w:val="0"/>
          <w:sz w:val="32"/>
          <w:szCs w:val="32"/>
          <w:shd w:val="clear" w:fill="FFFFFF"/>
        </w:rPr>
        <w:t>。。较年初预算数增加14,457.81万元，增长1383.7%。</w:t>
      </w:r>
      <w:r>
        <w:rPr>
          <w:rFonts w:hint="eastAsia" w:ascii="方正仿宋_GBK" w:hAnsi="方正仿宋_GBK" w:eastAsia="方正仿宋_GBK" w:cs="方正仿宋_GBK"/>
          <w:kern w:val="2"/>
          <w:sz w:val="32"/>
          <w:szCs w:val="32"/>
          <w:shd w:val="clear" w:fill="FFFFFF"/>
        </w:rPr>
        <w:t>主要原因是</w:t>
      </w:r>
      <w:r>
        <w:rPr>
          <w:rFonts w:hint="eastAsia" w:ascii="方正仿宋_GBK" w:hAnsi="方正仿宋_GBK" w:eastAsia="方正仿宋_GBK" w:cs="方正仿宋_GBK"/>
          <w:kern w:val="0"/>
          <w:sz w:val="32"/>
          <w:szCs w:val="32"/>
          <w:shd w:val="clear" w:fill="FFFFFF"/>
        </w:rPr>
        <w:t>基本支出较年初预算</w:t>
      </w:r>
      <w:r>
        <w:rPr>
          <w:rFonts w:hint="eastAsia" w:ascii="方正仿宋_GBK" w:hAnsi="方正仿宋_GBK" w:eastAsia="方正仿宋_GBK" w:cs="方正仿宋_GBK"/>
          <w:kern w:val="0"/>
          <w:sz w:val="32"/>
          <w:szCs w:val="32"/>
        </w:rPr>
        <w:t>增加17.88万元</w:t>
      </w:r>
      <w:r>
        <w:rPr>
          <w:rFonts w:hint="eastAsia" w:ascii="方正仿宋_GBK" w:hAnsi="方正仿宋_GBK" w:eastAsia="方正仿宋_GBK" w:cs="方正仿宋_GBK"/>
          <w:kern w:val="2"/>
          <w:sz w:val="32"/>
          <w:szCs w:val="32"/>
          <w:shd w:val="clear" w:fill="FFFFFF"/>
        </w:rPr>
        <w:t>，项目支出较年初预算</w:t>
      </w:r>
      <w:r>
        <w:rPr>
          <w:rFonts w:hint="eastAsia" w:ascii="方正仿宋_GBK" w:hAnsi="方正仿宋_GBK" w:eastAsia="方正仿宋_GBK" w:cs="方正仿宋_GBK"/>
          <w:kern w:val="2"/>
          <w:sz w:val="32"/>
          <w:szCs w:val="32"/>
        </w:rPr>
        <w:t>增加14439.93 万元</w:t>
      </w:r>
      <w:r>
        <w:rPr>
          <w:rFonts w:hint="eastAsia" w:ascii="方正仿宋_GBK" w:hAnsi="方正仿宋_GBK" w:eastAsia="方正仿宋_GBK" w:cs="方正仿宋_GBK"/>
          <w:kern w:val="2"/>
          <w:sz w:val="32"/>
          <w:szCs w:val="32"/>
          <w:shd w:val="clear" w:fill="FFFFFF"/>
        </w:rPr>
        <w:t>，具体有：</w:t>
      </w:r>
      <w:r>
        <w:rPr>
          <w:rFonts w:hint="eastAsia" w:ascii="方正仿宋_GBK" w:hAnsi="方正仿宋_GBK" w:eastAsia="方正仿宋_GBK" w:cs="方正仿宋_GBK"/>
          <w:kern w:val="0"/>
          <w:sz w:val="32"/>
          <w:szCs w:val="32"/>
          <w:shd w:val="clear" w:fill="FFFFFF"/>
        </w:rPr>
        <w:t>年中追加</w:t>
      </w:r>
      <w:r>
        <w:rPr>
          <w:rFonts w:hint="eastAsia" w:ascii="方正仿宋_GBK" w:hAnsi="方正仿宋_GBK" w:eastAsia="方正仿宋_GBK" w:cs="方正仿宋_GBK"/>
          <w:kern w:val="0"/>
          <w:sz w:val="32"/>
          <w:szCs w:val="32"/>
        </w:rPr>
        <w:t>黔江区农村供水保障工程、2022年农村饮水工程维修养护、沙坝镇石桥村人（畜）饮水安全及农田灌溉用水建设项目、城西街道册山居委农村饮水安全巩固提升工程、2022年国家水土保持重点工程太极项目区、黔江河册山河综合治理工程、黔江区金溪河太极镇金鸡坝河段综合治理工程、黔江区太极河太极集镇河段综合治理工程、黔江区细沙河阿蓬江镇金洞乡重点河段综合治理工程、黔江区诸佛江鹅池新华重点河段综合治理工</w:t>
      </w:r>
      <w:r>
        <w:rPr>
          <w:rFonts w:hint="eastAsia" w:ascii="方正仿宋_GBK" w:hAnsi="方正仿宋_GBK" w:eastAsia="方正仿宋_GBK" w:cs="方正仿宋_GBK"/>
          <w:kern w:val="0"/>
          <w:sz w:val="32"/>
          <w:szCs w:val="32"/>
          <w:shd w:val="clear" w:fill="FFFFFF"/>
        </w:rPr>
        <w:t>程、黔江区太极河流综合治理工程、水资源管理、县域节水型达标建设等项目支出。</w:t>
      </w:r>
    </w:p>
    <w:p>
      <w:pPr>
        <w:keepNext w:val="0"/>
        <w:keepLines w:val="0"/>
        <w:widowControl w:val="0"/>
        <w:suppressLineNumbers w:val="0"/>
        <w:autoSpaceDE w:val="0"/>
        <w:autoSpaceDN/>
        <w:snapToGrid w:val="0"/>
        <w:spacing w:line="560" w:lineRule="exact"/>
        <w:ind w:left="0" w:firstLine="642" w:firstLineChars="200"/>
        <w:jc w:val="both"/>
        <w:rPr>
          <w:rFonts w:hint="eastAsia" w:ascii="方正仿宋_GBK" w:hAnsi="仿宋" w:eastAsia="方正仿宋_GBK" w:cs="方正仿宋_GBK"/>
          <w:kern w:val="0"/>
          <w:sz w:val="32"/>
          <w:szCs w:val="32"/>
          <w:shd w:val="clear" w:fill="FFFFFF"/>
        </w:rPr>
      </w:pPr>
      <w:r>
        <w:rPr>
          <w:rFonts w:hint="eastAsia" w:ascii="方正仿宋_GBK" w:hAnsi="方正仿宋_GBK" w:eastAsia="方正仿宋_GBK" w:cs="方正仿宋_GBK"/>
          <w:b/>
          <w:bCs w:val="0"/>
          <w:kern w:val="0"/>
          <w:sz w:val="32"/>
          <w:szCs w:val="32"/>
        </w:rPr>
        <w:t>3.结转结余情况。</w:t>
      </w:r>
      <w:r>
        <w:rPr>
          <w:rFonts w:hint="eastAsia" w:ascii="方正仿宋_GBK" w:hAnsi="方正仿宋_GBK" w:eastAsia="方正仿宋_GBK" w:cs="方正仿宋_GBK"/>
          <w:kern w:val="0"/>
          <w:sz w:val="32"/>
          <w:szCs w:val="32"/>
          <w:shd w:val="clear" w:fill="FFFFFF"/>
        </w:rPr>
        <w:t>2022年度年末一般公共预算财政拨款结转和结余0.00万元，较上年决算数减少49.59万元，下降100%，主要原因是结余结转已被财政收回，所以本年无结余结转情况。</w:t>
      </w:r>
    </w:p>
    <w:p>
      <w:pPr>
        <w:keepNext w:val="0"/>
        <w:keepLines w:val="0"/>
        <w:widowControl w:val="0"/>
        <w:suppressLineNumbers w:val="0"/>
        <w:autoSpaceDE w:val="0"/>
        <w:autoSpaceDN/>
        <w:snapToGrid w:val="0"/>
        <w:spacing w:line="560" w:lineRule="exact"/>
        <w:ind w:left="0" w:firstLine="642" w:firstLineChars="200"/>
        <w:jc w:val="both"/>
        <w:rPr>
          <w:rFonts w:hint="eastAsia" w:ascii="方正仿宋_GBK" w:hAnsi="仿宋" w:eastAsia="方正仿宋_GBK" w:cs="方正仿宋_GBK"/>
          <w:kern w:val="0"/>
          <w:sz w:val="32"/>
          <w:szCs w:val="32"/>
          <w:shd w:val="clear" w:fill="FFFFFF"/>
        </w:rPr>
      </w:pPr>
      <w:r>
        <w:rPr>
          <w:rFonts w:hint="eastAsia" w:ascii="方正仿宋_GBK" w:hAnsi="方正仿宋_GBK" w:eastAsia="方正仿宋_GBK" w:cs="方正仿宋_GBK"/>
          <w:b/>
          <w:bCs w:val="0"/>
          <w:kern w:val="0"/>
          <w:sz w:val="32"/>
          <w:szCs w:val="32"/>
        </w:rPr>
        <w:t>4.比较情况。</w:t>
      </w:r>
      <w:r>
        <w:rPr>
          <w:rFonts w:hint="eastAsia" w:ascii="方正仿宋_GBK" w:hAnsi="方正仿宋_GBK" w:eastAsia="方正仿宋_GBK" w:cs="方正仿宋_GBK"/>
          <w:kern w:val="0"/>
          <w:sz w:val="32"/>
          <w:szCs w:val="32"/>
          <w:shd w:val="clear" w:fill="FFFFFF"/>
        </w:rPr>
        <w:t>本部门2022年度一般公共预算财政拨款支出主要用于以下几个方面：</w:t>
      </w:r>
    </w:p>
    <w:p>
      <w:pPr>
        <w:keepNext w:val="0"/>
        <w:keepLines w:val="0"/>
        <w:widowControl w:val="0"/>
        <w:suppressLineNumbers w:val="0"/>
        <w:autoSpaceDE w:val="0"/>
        <w:autoSpaceDN/>
        <w:snapToGrid w:val="0"/>
        <w:spacing w:line="560" w:lineRule="exact"/>
        <w:ind w:left="0" w:firstLine="640" w:firstLineChars="200"/>
        <w:jc w:val="both"/>
        <w:rPr>
          <w:rFonts w:hint="eastAsia" w:ascii="方正仿宋_GBK" w:hAnsi="方正仿宋_GBK" w:eastAsia="方正仿宋_GBK" w:cs="方正仿宋_GBK"/>
          <w:kern w:val="0"/>
          <w:sz w:val="32"/>
          <w:szCs w:val="32"/>
          <w:shd w:val="clear" w:fill="FFFFFF"/>
        </w:rPr>
      </w:pPr>
      <w:r>
        <w:rPr>
          <w:rFonts w:hint="eastAsia" w:ascii="方正仿宋_GBK" w:hAnsi="方正仿宋_GBK" w:eastAsia="方正仿宋_GBK" w:cs="方正仿宋_GBK"/>
          <w:kern w:val="0"/>
          <w:sz w:val="32"/>
          <w:szCs w:val="32"/>
          <w:shd w:val="clear" w:fill="FFFFFF"/>
        </w:rPr>
        <w:t>（1）一般公共服务支出1.00万元，占0%，较年初预算数增加1.00万元，增长100%，主要原因是本年度新增招商引资预算1.00万元。</w:t>
      </w:r>
    </w:p>
    <w:p>
      <w:pPr>
        <w:pStyle w:val="15"/>
        <w:keepNext w:val="0"/>
        <w:keepLines w:val="0"/>
        <w:widowControl w:val="0"/>
        <w:suppressLineNumbers w:val="0"/>
        <w:autoSpaceDE w:val="0"/>
        <w:autoSpaceDN/>
        <w:spacing w:before="0" w:beforeAutospacing="0" w:line="560" w:lineRule="exact"/>
        <w:ind w:left="0" w:firstLine="640" w:firstLineChars="200"/>
        <w:jc w:val="both"/>
        <w:rPr>
          <w:rFonts w:hint="eastAsia" w:ascii="方正仿宋_GBK" w:hAnsi="方正仿宋_GBK" w:eastAsia="方正仿宋_GBK" w:cs="方正仿宋_GBK"/>
          <w:color w:val="FF0000"/>
          <w:kern w:val="0"/>
          <w:sz w:val="32"/>
          <w:szCs w:val="32"/>
          <w:shd w:val="clear" w:fill="FFFFFF"/>
        </w:rPr>
      </w:pPr>
      <w:r>
        <w:rPr>
          <w:rFonts w:hint="eastAsia" w:ascii="方正仿宋_GBK" w:hAnsi="方正仿宋_GBK" w:eastAsia="方正仿宋_GBK" w:cs="方正仿宋_GBK"/>
          <w:kern w:val="0"/>
          <w:sz w:val="32"/>
          <w:szCs w:val="32"/>
          <w:shd w:val="clear" w:fill="FFFFFF"/>
        </w:rPr>
        <w:t>（2）社会保障与就业支出124.16万元，占0.8%，较年初预算数增加15.85万元，增长14.6%，主要原因是财政调增了大中型水库移民后期扶持补助基金。</w:t>
      </w:r>
    </w:p>
    <w:p>
      <w:pPr>
        <w:keepNext w:val="0"/>
        <w:keepLines w:val="0"/>
        <w:widowControl w:val="0"/>
        <w:suppressLineNumbers w:val="0"/>
        <w:autoSpaceDE w:val="0"/>
        <w:autoSpaceDN/>
        <w:snapToGrid w:val="0"/>
        <w:spacing w:line="560" w:lineRule="exact"/>
        <w:ind w:left="0" w:firstLine="640" w:firstLineChars="200"/>
        <w:jc w:val="both"/>
        <w:rPr>
          <w:rFonts w:hint="eastAsia" w:ascii="方正仿宋_GBK" w:hAnsi="仿宋" w:eastAsia="方正仿宋_GBK" w:cs="方正仿宋_GBK"/>
          <w:kern w:val="0"/>
          <w:sz w:val="32"/>
          <w:szCs w:val="32"/>
          <w:shd w:val="clear" w:fill="FFFFFF"/>
        </w:rPr>
      </w:pPr>
      <w:r>
        <w:rPr>
          <w:rFonts w:hint="eastAsia" w:ascii="方正仿宋_GBK" w:hAnsi="方正仿宋_GBK" w:eastAsia="方正仿宋_GBK" w:cs="方正仿宋_GBK"/>
          <w:kern w:val="0"/>
          <w:sz w:val="32"/>
          <w:szCs w:val="32"/>
          <w:shd w:val="clear" w:fill="FFFFFF"/>
        </w:rPr>
        <w:t>（3）卫生健康支出29.18万元，占0.2%，与年初预算数持平。</w:t>
      </w:r>
    </w:p>
    <w:p>
      <w:pPr>
        <w:keepNext w:val="0"/>
        <w:keepLines w:val="0"/>
        <w:widowControl w:val="0"/>
        <w:suppressLineNumbers w:val="0"/>
        <w:autoSpaceDE w:val="0"/>
        <w:autoSpaceDN/>
        <w:snapToGrid w:val="0"/>
        <w:spacing w:line="560" w:lineRule="exact"/>
        <w:ind w:left="0" w:firstLine="640" w:firstLineChars="200"/>
        <w:jc w:val="both"/>
        <w:rPr>
          <w:rFonts w:hint="eastAsia" w:ascii="方正仿宋_GBK" w:hAnsi="方正仿宋_GBK" w:eastAsia="方正仿宋_GBK" w:cs="方正仿宋_GBK"/>
          <w:kern w:val="0"/>
          <w:sz w:val="32"/>
          <w:szCs w:val="32"/>
          <w:shd w:val="clear" w:fill="FFFFFF"/>
        </w:rPr>
      </w:pPr>
      <w:r>
        <w:rPr>
          <w:rFonts w:hint="eastAsia" w:ascii="方正仿宋_GBK" w:hAnsi="方正仿宋_GBK" w:eastAsia="方正仿宋_GBK" w:cs="方正仿宋_GBK"/>
          <w:kern w:val="0"/>
          <w:sz w:val="32"/>
          <w:szCs w:val="32"/>
          <w:shd w:val="clear" w:fill="FFFFFF"/>
        </w:rPr>
        <w:t>（4）农林水支出15,322.15万元，占98.8%，较年初预算数增加14,435.96万元，增长1629%，</w:t>
      </w:r>
      <w:r>
        <w:rPr>
          <w:rFonts w:hint="eastAsia" w:ascii="方正仿宋_GBK" w:hAnsi="方正仿宋_GBK" w:eastAsia="方正仿宋_GBK" w:cs="方正仿宋_GBK"/>
          <w:kern w:val="0"/>
          <w:sz w:val="32"/>
          <w:szCs w:val="32"/>
        </w:rPr>
        <w:t>主要原因是</w:t>
      </w:r>
      <w:r>
        <w:rPr>
          <w:rFonts w:hint="eastAsia" w:ascii="方正仿宋_GBK" w:hAnsi="方正仿宋_GBK" w:eastAsia="方正仿宋_GBK" w:cs="方正仿宋_GBK"/>
          <w:kern w:val="0"/>
          <w:sz w:val="32"/>
          <w:szCs w:val="32"/>
          <w:shd w:val="clear" w:fill="FFFFFF"/>
        </w:rPr>
        <w:t>年中追加</w:t>
      </w:r>
      <w:r>
        <w:rPr>
          <w:rFonts w:hint="eastAsia" w:ascii="方正仿宋_GBK" w:hAnsi="方正仿宋_GBK" w:eastAsia="方正仿宋_GBK" w:cs="方正仿宋_GBK"/>
          <w:kern w:val="0"/>
          <w:sz w:val="32"/>
          <w:szCs w:val="32"/>
        </w:rPr>
        <w:t>黔江区农村供水保障工程、2022年农村饮水工程维修养护、沙坝镇石桥村人（畜）饮水安全及农田灌溉用水建设项目、城西街道册山居委农村饮水安全巩固提升工程；2022年国家水土保持重点工程太极项目；黔江河册山河综合治理工程；黔江区金溪河太极镇金鸡坝河段综合治理工程；黔江区太极河太极集镇河段综合治理工程；黔江区细沙河阿蓬江镇金洞乡重点河段综合治理工程；黔江区诸佛江鹅池新华重点河段综合治理工程；黔江区太极河流综合治理工程；水资源管理渝；县域节水型达标建设等项目。</w:t>
      </w:r>
    </w:p>
    <w:p>
      <w:pPr>
        <w:pStyle w:val="15"/>
        <w:keepNext w:val="0"/>
        <w:keepLines w:val="0"/>
        <w:widowControl w:val="0"/>
        <w:suppressLineNumbers w:val="0"/>
        <w:autoSpaceDE w:val="0"/>
        <w:autoSpaceDN/>
        <w:snapToGrid w:val="0"/>
        <w:spacing w:before="0" w:beforeAutospacing="0" w:after="0" w:afterAutospacing="0" w:line="560" w:lineRule="exact"/>
        <w:ind w:left="0" w:right="0" w:firstLine="640" w:firstLineChars="200"/>
        <w:jc w:val="both"/>
        <w:rPr>
          <w:rFonts w:hint="eastAsia" w:ascii="仿宋" w:hAnsi="仿宋" w:eastAsia="仿宋" w:cs="仿宋"/>
          <w:color w:val="FF0000"/>
          <w:kern w:val="0"/>
          <w:sz w:val="24"/>
          <w:szCs w:val="24"/>
          <w:shd w:val="clear" w:fill="FFFFFF"/>
        </w:rPr>
      </w:pPr>
      <w:r>
        <w:rPr>
          <w:rFonts w:hint="eastAsia" w:ascii="方正仿宋_GBK" w:hAnsi="方正仿宋_GBK" w:eastAsia="方正仿宋_GBK" w:cs="方正仿宋_GBK"/>
          <w:kern w:val="0"/>
          <w:sz w:val="32"/>
          <w:szCs w:val="32"/>
          <w:shd w:val="clear" w:fill="FFFFFF"/>
        </w:rPr>
        <w:t>（5）住房保障支出26.20万元，占0.2%，较年初预算数增加5.00万元，增长23.6%，主要原因是增加了农村危房改造项目资金5万元</w:t>
      </w:r>
      <w:r>
        <w:rPr>
          <w:rFonts w:hint="eastAsia" w:ascii="方正仿宋_GBK" w:hAnsi="方正仿宋_GBK" w:eastAsia="方正仿宋_GBK" w:cs="方正仿宋_GBK"/>
          <w:kern w:val="0"/>
          <w:sz w:val="24"/>
          <w:szCs w:val="24"/>
          <w:shd w:val="clear" w:fill="FFFFFF"/>
        </w:rPr>
        <w:t>。</w:t>
      </w:r>
      <w:r>
        <w:rPr>
          <w:rFonts w:hint="eastAsia" w:ascii="仿宋" w:hAnsi="仿宋" w:eastAsia="仿宋" w:cs="仿宋"/>
          <w:kern w:val="0"/>
          <w:sz w:val="24"/>
          <w:szCs w:val="24"/>
          <w:shd w:val="clear" w:fill="FFFFFF"/>
        </w:rPr>
        <w:t xml:space="preserve"> </w:t>
      </w:r>
    </w:p>
    <w:p>
      <w:pPr>
        <w:keepNext w:val="0"/>
        <w:keepLines w:val="0"/>
        <w:widowControl w:val="0"/>
        <w:suppressLineNumbers w:val="0"/>
        <w:autoSpaceDE w:val="0"/>
        <w:autoSpaceDN/>
        <w:snapToGrid w:val="0"/>
        <w:spacing w:line="560" w:lineRule="exact"/>
        <w:ind w:left="0" w:firstLine="640" w:firstLineChars="200"/>
        <w:jc w:val="both"/>
        <w:rPr>
          <w:rFonts w:hint="eastAsia" w:ascii="方正楷体_GBK" w:hAnsi="方正楷体_GBK" w:eastAsia="方正楷体_GBK" w:cs="方正楷体_GBK"/>
          <w:kern w:val="0"/>
          <w:sz w:val="32"/>
          <w:szCs w:val="32"/>
        </w:rPr>
      </w:pPr>
      <w:r>
        <w:rPr>
          <w:rFonts w:hint="eastAsia" w:ascii="方正楷体_GBK" w:hAnsi="方正楷体_GBK" w:eastAsia="方正楷体_GBK" w:cs="方正楷体_GBK"/>
          <w:bCs/>
          <w:kern w:val="0"/>
          <w:sz w:val="32"/>
          <w:szCs w:val="32"/>
        </w:rPr>
        <w:t>（四）一般公共预算财政拨款基本支出决算情况说明</w:t>
      </w:r>
    </w:p>
    <w:p>
      <w:pPr>
        <w:keepNext w:val="0"/>
        <w:keepLines w:val="0"/>
        <w:widowControl w:val="0"/>
        <w:suppressLineNumbers w:val="0"/>
        <w:autoSpaceDE w:val="0"/>
        <w:autoSpaceDN/>
        <w:snapToGrid w:val="0"/>
        <w:spacing w:line="560" w:lineRule="exact"/>
        <w:ind w:left="0" w:firstLine="640" w:firstLineChars="200"/>
        <w:jc w:val="both"/>
        <w:rPr>
          <w:rFonts w:hint="eastAsia" w:ascii="方正仿宋_GBK" w:hAnsi="方正仿宋_GBK" w:eastAsia="方正仿宋_GBK" w:cs="方正仿宋_GBK"/>
          <w:kern w:val="0"/>
          <w:sz w:val="32"/>
          <w:szCs w:val="32"/>
          <w:shd w:val="clear" w:fill="FFFFFF"/>
        </w:rPr>
      </w:pPr>
      <w:r>
        <w:rPr>
          <w:rFonts w:hint="eastAsia" w:ascii="方正仿宋_GBK" w:hAnsi="方正仿宋_GBK" w:eastAsia="方正仿宋_GBK" w:cs="方正仿宋_GBK"/>
          <w:kern w:val="0"/>
          <w:sz w:val="32"/>
          <w:szCs w:val="32"/>
        </w:rPr>
        <w:t>2022年度一般公共预算财政拨款基本支出558.08万元。</w:t>
      </w:r>
      <w:r>
        <w:rPr>
          <w:rFonts w:hint="eastAsia" w:ascii="方正仿宋_GBK" w:hAnsi="方正仿宋_GBK" w:eastAsia="方正仿宋_GBK" w:cs="方正仿宋_GBK"/>
          <w:kern w:val="0"/>
          <w:sz w:val="32"/>
          <w:szCs w:val="32"/>
          <w:shd w:val="clear" w:fill="FFFFFF"/>
        </w:rPr>
        <w:t>其中：人员经费489.75万元，较上年决算数减少1,194.21万元，下降70.9%，</w:t>
      </w:r>
      <w:r>
        <w:rPr>
          <w:rFonts w:hint="eastAsia" w:ascii="方正仿宋_GBK" w:hAnsi="方正仿宋_GBK" w:eastAsia="方正仿宋_GBK" w:cs="方正仿宋_GBK"/>
          <w:kern w:val="0"/>
          <w:sz w:val="32"/>
          <w:szCs w:val="32"/>
        </w:rPr>
        <w:t>主要原因一是下属二级事业单位进行了单独决算，所以导致人员经费只有行政人员经费；二是财政拨款进行了调减</w:t>
      </w:r>
      <w:r>
        <w:rPr>
          <w:rFonts w:hint="eastAsia" w:ascii="方正仿宋_GBK" w:hAnsi="方正仿宋_GBK" w:eastAsia="方正仿宋_GBK" w:cs="方正仿宋_GBK"/>
          <w:kern w:val="0"/>
          <w:sz w:val="32"/>
          <w:szCs w:val="32"/>
          <w:shd w:val="clear" w:fill="FFFFFF"/>
        </w:rPr>
        <w:t>，人员经费用途主要包括基本工资、津贴补贴、奖金、伙食补助费、其他社会保障缴费、绩效工资、机关事业单位基本养老保险缴费、职业年金缴费、其他工资福利支出、退休费、生活补助和住房公积金、对个人和家庭的补助支出。公用经费68.33万元，较上年决算数减少129.48万元，下降65.5%，主要原因是</w:t>
      </w:r>
      <w:r>
        <w:rPr>
          <w:rFonts w:hint="eastAsia" w:ascii="方正仿宋_GBK" w:hAnsi="方正仿宋_GBK" w:eastAsia="方正仿宋_GBK" w:cs="方正仿宋_GBK"/>
          <w:kern w:val="0"/>
          <w:sz w:val="32"/>
          <w:szCs w:val="32"/>
        </w:rPr>
        <w:t>本年度办公费、印刷费、邮电费、差旅费等费用减少</w:t>
      </w:r>
      <w:r>
        <w:rPr>
          <w:rFonts w:hint="eastAsia" w:ascii="方正仿宋_GBK" w:hAnsi="方正仿宋_GBK" w:eastAsia="方正仿宋_GBK" w:cs="方正仿宋_GBK"/>
          <w:kern w:val="0"/>
          <w:sz w:val="32"/>
          <w:szCs w:val="32"/>
          <w:shd w:val="clear" w:fill="FFFFFF"/>
        </w:rPr>
        <w:t>。公用经费用途主要包括办公费、印刷费、水电费、邮电费、差旅费、维修（护）费、培训费、工会经费、公务用车运行维护费、其他交通费、其他商品服务支出。</w:t>
      </w:r>
    </w:p>
    <w:p>
      <w:pPr>
        <w:keepNext w:val="0"/>
        <w:keepLines w:val="0"/>
        <w:widowControl w:val="0"/>
        <w:suppressLineNumbers w:val="0"/>
        <w:autoSpaceDE w:val="0"/>
        <w:autoSpaceDN/>
        <w:snapToGrid w:val="0"/>
        <w:spacing w:line="560" w:lineRule="exact"/>
        <w:ind w:left="0" w:firstLine="640" w:firstLineChars="200"/>
        <w:jc w:val="both"/>
        <w:rPr>
          <w:rFonts w:hint="eastAsia" w:ascii="方正楷体_GBK" w:hAnsi="方正楷体_GBK" w:eastAsia="方正楷体_GBK" w:cs="方正楷体_GBK"/>
          <w:bCs/>
          <w:kern w:val="0"/>
          <w:sz w:val="32"/>
          <w:szCs w:val="32"/>
        </w:rPr>
      </w:pPr>
      <w:r>
        <w:rPr>
          <w:rFonts w:hint="eastAsia" w:ascii="方正楷体_GBK" w:hAnsi="方正楷体_GBK" w:eastAsia="方正楷体_GBK" w:cs="方正楷体_GBK"/>
          <w:kern w:val="0"/>
          <w:sz w:val="32"/>
          <w:szCs w:val="32"/>
        </w:rPr>
        <w:t>（五）政府性基金预算收支决算情况说明。</w:t>
      </w:r>
    </w:p>
    <w:p>
      <w:pPr>
        <w:pStyle w:val="15"/>
        <w:keepNext w:val="0"/>
        <w:keepLines w:val="0"/>
        <w:widowControl w:val="0"/>
        <w:suppressLineNumbers w:val="0"/>
        <w:autoSpaceDE w:val="0"/>
        <w:autoSpaceDN/>
        <w:spacing w:before="0" w:beforeAutospacing="0" w:line="560" w:lineRule="exact"/>
        <w:ind w:left="0" w:firstLine="640" w:firstLineChars="200"/>
        <w:jc w:val="both"/>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shd w:val="clear" w:fill="FFFFFF"/>
        </w:rPr>
        <w:t>2022年度政府性基金预算财政拨款年初结转结余0.00万元，年末结转结余0.00万元。本年收入19,229.26万元，较上年决算数增加18,930.22万元，</w:t>
      </w:r>
      <w:r>
        <w:rPr>
          <w:rFonts w:hint="eastAsia" w:ascii="方正仿宋_GBK" w:hAnsi="方正仿宋_GBK" w:eastAsia="方正仿宋_GBK" w:cs="方正仿宋_GBK"/>
          <w:kern w:val="0"/>
          <w:sz w:val="32"/>
          <w:szCs w:val="32"/>
        </w:rPr>
        <w:t>增长6330.3%</w:t>
      </w:r>
      <w:r>
        <w:rPr>
          <w:rFonts w:hint="eastAsia" w:ascii="方正仿宋_GBK" w:hAnsi="方正仿宋_GBK" w:eastAsia="方正仿宋_GBK" w:cs="方正仿宋_GBK"/>
          <w:kern w:val="0"/>
          <w:sz w:val="32"/>
          <w:szCs w:val="32"/>
          <w:shd w:val="clear" w:fill="FFFFFF"/>
        </w:rPr>
        <w:t>，主要原因是其他地方自行试点项目收益专项债券收入安排的增加16000万元；另外大中型水库移民后期扶持增加2930.22万元。本年支出19,229.26万元，较上年决算数增加17,973.66万元，增长1431.5%，主要原因是其他地方自行试点项目收益专项债券收入安排的支出增加16000万元；另外大中型水库移民后期扶持支出增加2930.22万元。</w:t>
      </w:r>
    </w:p>
    <w:p>
      <w:pPr>
        <w:keepNext w:val="0"/>
        <w:keepLines w:val="0"/>
        <w:widowControl w:val="0"/>
        <w:suppressLineNumbers w:val="0"/>
        <w:autoSpaceDE w:val="0"/>
        <w:autoSpaceDN/>
        <w:snapToGrid w:val="0"/>
        <w:spacing w:line="560" w:lineRule="exact"/>
        <w:ind w:left="0" w:firstLine="640" w:firstLineChars="200"/>
        <w:jc w:val="both"/>
        <w:rPr>
          <w:rFonts w:hint="eastAsia" w:ascii="方正楷体_GBK" w:hAnsi="方正楷体_GBK" w:eastAsia="方正楷体_GBK" w:cs="方正楷体_GBK"/>
          <w:bCs/>
          <w:kern w:val="0"/>
          <w:sz w:val="32"/>
          <w:szCs w:val="32"/>
        </w:rPr>
      </w:pPr>
      <w:r>
        <w:rPr>
          <w:rFonts w:hint="eastAsia" w:ascii="方正楷体_GBK" w:hAnsi="方正楷体_GBK" w:eastAsia="方正楷体_GBK" w:cs="方正楷体_GBK"/>
          <w:bCs/>
          <w:kern w:val="0"/>
          <w:sz w:val="32"/>
          <w:szCs w:val="32"/>
        </w:rPr>
        <w:t>（六）国有资本经营预算财政拨款支出决算情况说明。</w:t>
      </w:r>
    </w:p>
    <w:p>
      <w:pPr>
        <w:keepNext w:val="0"/>
        <w:keepLines w:val="0"/>
        <w:widowControl w:val="0"/>
        <w:suppressLineNumbers w:val="0"/>
        <w:autoSpaceDE w:val="0"/>
        <w:autoSpaceDN/>
        <w:snapToGrid w:val="0"/>
        <w:spacing w:line="560" w:lineRule="exact"/>
        <w:ind w:left="0" w:firstLine="640" w:firstLineChars="200"/>
        <w:jc w:val="both"/>
        <w:rPr>
          <w:rFonts w:hint="eastAsia" w:ascii="方正仿宋_GBK" w:hAnsi="方正仿宋_GBK" w:eastAsia="方正仿宋_GBK" w:cs="方正仿宋_GBK"/>
          <w:bCs/>
          <w:kern w:val="0"/>
          <w:sz w:val="32"/>
          <w:szCs w:val="32"/>
        </w:rPr>
      </w:pPr>
      <w:r>
        <w:rPr>
          <w:rFonts w:hint="eastAsia" w:ascii="方正仿宋_GBK" w:hAnsi="方正仿宋_GBK" w:eastAsia="方正仿宋_GBK" w:cs="方正仿宋_GBK"/>
          <w:bCs/>
          <w:kern w:val="0"/>
          <w:sz w:val="32"/>
          <w:szCs w:val="32"/>
        </w:rPr>
        <w:t>本部门2021年度无国有资本经营预算财政拨款支出。</w:t>
      </w:r>
    </w:p>
    <w:p>
      <w:pPr>
        <w:keepNext w:val="0"/>
        <w:keepLines w:val="0"/>
        <w:widowControl w:val="0"/>
        <w:suppressLineNumbers w:val="0"/>
        <w:autoSpaceDE w:val="0"/>
        <w:autoSpaceDN/>
        <w:snapToGrid w:val="0"/>
        <w:spacing w:line="560" w:lineRule="exact"/>
        <w:ind w:left="0" w:firstLine="640" w:firstLineChars="200"/>
        <w:jc w:val="both"/>
        <w:outlineLvl w:val="0"/>
        <w:rPr>
          <w:rFonts w:hint="eastAsia" w:ascii="方正黑体_GBK" w:hAnsi="方正黑体_GBK" w:eastAsia="方正黑体_GBK" w:cs="方正黑体_GBK"/>
          <w:b w:val="0"/>
          <w:kern w:val="0"/>
          <w:sz w:val="32"/>
          <w:szCs w:val="32"/>
          <w:shd w:val="clear" w:fill="FFFFFF"/>
        </w:rPr>
      </w:pPr>
      <w:r>
        <w:rPr>
          <w:rFonts w:hint="eastAsia" w:ascii="方正黑体_GBK" w:hAnsi="方正黑体_GBK" w:eastAsia="方正黑体_GBK" w:cs="方正黑体_GBK"/>
          <w:b w:val="0"/>
          <w:kern w:val="0"/>
          <w:sz w:val="32"/>
          <w:szCs w:val="32"/>
          <w:shd w:val="clear" w:fill="FFFFFF"/>
        </w:rPr>
        <w:t>三、“三公”经费情况说明</w:t>
      </w:r>
    </w:p>
    <w:p>
      <w:pPr>
        <w:keepNext w:val="0"/>
        <w:keepLines w:val="0"/>
        <w:widowControl w:val="0"/>
        <w:suppressLineNumbers w:val="0"/>
        <w:autoSpaceDE w:val="0"/>
        <w:autoSpaceDN/>
        <w:snapToGrid w:val="0"/>
        <w:spacing w:line="560" w:lineRule="exact"/>
        <w:ind w:left="0" w:firstLine="640" w:firstLineChars="200"/>
        <w:jc w:val="both"/>
        <w:rPr>
          <w:rFonts w:hint="eastAsia" w:ascii="方正楷体_GBK" w:hAnsi="方正楷体_GBK" w:eastAsia="方正楷体_GBK" w:cs="方正楷体_GBK"/>
          <w:bCs/>
          <w:kern w:val="0"/>
          <w:sz w:val="32"/>
          <w:szCs w:val="32"/>
        </w:rPr>
      </w:pPr>
      <w:r>
        <w:rPr>
          <w:rFonts w:hint="eastAsia" w:ascii="方正楷体_GBK" w:hAnsi="方正楷体_GBK" w:eastAsia="方正楷体_GBK" w:cs="方正楷体_GBK"/>
          <w:bCs/>
          <w:kern w:val="0"/>
          <w:sz w:val="32"/>
          <w:szCs w:val="32"/>
        </w:rPr>
        <w:t>（一）“三公”经费支出总体情况说明</w:t>
      </w:r>
    </w:p>
    <w:p>
      <w:pPr>
        <w:keepNext w:val="0"/>
        <w:keepLines w:val="0"/>
        <w:widowControl w:val="0"/>
        <w:suppressLineNumbers w:val="0"/>
        <w:autoSpaceDE w:val="0"/>
        <w:autoSpaceDN/>
        <w:snapToGrid w:val="0"/>
        <w:spacing w:line="560" w:lineRule="exact"/>
        <w:ind w:left="0" w:firstLine="640" w:firstLineChars="200"/>
        <w:jc w:val="both"/>
        <w:rPr>
          <w:rFonts w:hint="eastAsia" w:ascii="方正仿宋_GBK" w:hAnsi="方正仿宋_GBK" w:eastAsia="方正仿宋_GBK" w:cs="方正仿宋_GBK"/>
          <w:kern w:val="0"/>
          <w:sz w:val="32"/>
          <w:szCs w:val="32"/>
          <w:shd w:val="clear" w:fill="FFFFFF"/>
        </w:rPr>
      </w:pPr>
      <w:r>
        <w:rPr>
          <w:rFonts w:hint="eastAsia" w:ascii="方正仿宋_GBK" w:hAnsi="方正仿宋_GBK" w:eastAsia="方正仿宋_GBK" w:cs="方正仿宋_GBK"/>
          <w:bCs/>
          <w:kern w:val="0"/>
          <w:sz w:val="32"/>
          <w:szCs w:val="32"/>
        </w:rPr>
        <w:t>2022年度“三公”经费支出共计15.61万元</w:t>
      </w:r>
      <w:r>
        <w:rPr>
          <w:rFonts w:hint="eastAsia" w:ascii="方正仿宋_GBK" w:hAnsi="方正仿宋_GBK" w:eastAsia="方正仿宋_GBK" w:cs="方正仿宋_GBK"/>
          <w:kern w:val="0"/>
          <w:sz w:val="32"/>
          <w:szCs w:val="32"/>
          <w:shd w:val="clear" w:fill="FFFFFF"/>
        </w:rPr>
        <w:t>，较年初预算数减少1.39万元，下降8.2%，</w:t>
      </w:r>
      <w:r>
        <w:rPr>
          <w:rFonts w:hint="eastAsia" w:ascii="方正仿宋_GBK" w:hAnsi="方正仿宋_GBK" w:eastAsia="方正仿宋_GBK" w:cs="方正仿宋_GBK"/>
          <w:kern w:val="0"/>
          <w:sz w:val="32"/>
          <w:szCs w:val="32"/>
        </w:rPr>
        <w:t>主要原因是：</w:t>
      </w:r>
      <w:r>
        <w:rPr>
          <w:rFonts w:hint="eastAsia" w:ascii="方正仿宋_GBK" w:hAnsi="方正仿宋_GBK" w:eastAsia="方正仿宋_GBK" w:cs="方正仿宋_GBK"/>
          <w:kern w:val="0"/>
          <w:sz w:val="32"/>
          <w:szCs w:val="32"/>
          <w:shd w:val="clear" w:fill="FFFFFF"/>
        </w:rPr>
        <w:t>认真贯彻落实中央八项规定精神和厉行节约要求严格控制“三公”经费。较上年支出数减少1.07万元，下降6.4%，</w:t>
      </w:r>
      <w:r>
        <w:rPr>
          <w:rFonts w:hint="eastAsia" w:ascii="方正仿宋_GBK" w:hAnsi="方正仿宋_GBK" w:eastAsia="方正仿宋_GBK" w:cs="方正仿宋_GBK"/>
          <w:kern w:val="0"/>
          <w:sz w:val="32"/>
          <w:szCs w:val="32"/>
        </w:rPr>
        <w:t>主要原因是因为疫情原因，上级单位来我区督查、检查、调研等政务活动减少，接待濒次减少，同时本单位厉行节约严格控制支出等。</w:t>
      </w:r>
    </w:p>
    <w:p>
      <w:pPr>
        <w:keepNext w:val="0"/>
        <w:keepLines w:val="0"/>
        <w:widowControl w:val="0"/>
        <w:suppressLineNumbers w:val="0"/>
        <w:autoSpaceDE w:val="0"/>
        <w:autoSpaceDN/>
        <w:snapToGrid w:val="0"/>
        <w:spacing w:line="560" w:lineRule="exact"/>
        <w:ind w:left="0" w:firstLine="640" w:firstLineChars="200"/>
        <w:jc w:val="both"/>
        <w:rPr>
          <w:rFonts w:hint="eastAsia" w:ascii="方正楷体_GBK" w:hAnsi="方正楷体_GBK" w:eastAsia="方正楷体_GBK" w:cs="方正楷体_GBK"/>
          <w:bCs/>
          <w:kern w:val="0"/>
          <w:sz w:val="32"/>
          <w:szCs w:val="32"/>
        </w:rPr>
      </w:pPr>
      <w:r>
        <w:rPr>
          <w:rFonts w:hint="eastAsia" w:ascii="方正楷体_GBK" w:hAnsi="方正楷体_GBK" w:eastAsia="方正楷体_GBK" w:cs="方正楷体_GBK"/>
          <w:bCs/>
          <w:kern w:val="0"/>
          <w:sz w:val="32"/>
          <w:szCs w:val="32"/>
        </w:rPr>
        <w:t>（二）“三公”经费分项支出情况</w:t>
      </w:r>
    </w:p>
    <w:p>
      <w:pPr>
        <w:keepNext w:val="0"/>
        <w:keepLines w:val="0"/>
        <w:widowControl w:val="0"/>
        <w:suppressLineNumbers w:val="0"/>
        <w:autoSpaceDE w:val="0"/>
        <w:autoSpaceDN/>
        <w:snapToGrid w:val="0"/>
        <w:spacing w:line="560" w:lineRule="exact"/>
        <w:ind w:left="0" w:firstLine="640" w:firstLineChars="200"/>
        <w:jc w:val="both"/>
        <w:rPr>
          <w:rFonts w:hint="eastAsia" w:ascii="方正仿宋_GBK" w:hAnsi="方正仿宋_GBK" w:eastAsia="方正仿宋_GBK" w:cs="方正仿宋_GBK"/>
          <w:bCs/>
          <w:kern w:val="0"/>
          <w:sz w:val="32"/>
          <w:szCs w:val="32"/>
        </w:rPr>
      </w:pPr>
      <w:r>
        <w:rPr>
          <w:rFonts w:hint="eastAsia" w:ascii="方正仿宋_GBK" w:hAnsi="方正仿宋_GBK" w:eastAsia="方正仿宋_GBK" w:cs="方正仿宋_GBK"/>
          <w:bCs/>
          <w:kern w:val="0"/>
          <w:sz w:val="32"/>
          <w:szCs w:val="32"/>
        </w:rPr>
        <w:t>本单位2022年度因公出国（境）费用未发生支出。</w:t>
      </w:r>
    </w:p>
    <w:p>
      <w:pPr>
        <w:keepNext w:val="0"/>
        <w:keepLines w:val="0"/>
        <w:widowControl w:val="0"/>
        <w:suppressLineNumbers w:val="0"/>
        <w:autoSpaceDE w:val="0"/>
        <w:autoSpaceDN/>
        <w:snapToGrid w:val="0"/>
        <w:spacing w:line="560" w:lineRule="exact"/>
        <w:ind w:left="0" w:firstLine="640" w:firstLineChars="200"/>
        <w:jc w:val="both"/>
        <w:rPr>
          <w:rFonts w:hint="eastAsia" w:ascii="方正仿宋_GBK" w:hAnsi="方正仿宋_GBK" w:eastAsia="方正仿宋_GBK" w:cs="方正仿宋_GBK"/>
          <w:bCs/>
          <w:kern w:val="0"/>
          <w:sz w:val="32"/>
          <w:szCs w:val="32"/>
        </w:rPr>
      </w:pPr>
      <w:r>
        <w:rPr>
          <w:rFonts w:hint="eastAsia" w:ascii="方正仿宋_GBK" w:hAnsi="方正仿宋_GBK" w:eastAsia="方正仿宋_GBK" w:cs="方正仿宋_GBK"/>
          <w:bCs/>
          <w:kern w:val="0"/>
          <w:sz w:val="32"/>
          <w:szCs w:val="32"/>
        </w:rPr>
        <w:t>本单位2022年度公务购置费未发生支出。</w:t>
      </w:r>
    </w:p>
    <w:p>
      <w:pPr>
        <w:keepNext w:val="0"/>
        <w:keepLines w:val="0"/>
        <w:widowControl w:val="0"/>
        <w:suppressLineNumbers w:val="0"/>
        <w:autoSpaceDE w:val="0"/>
        <w:autoSpaceDN/>
        <w:snapToGrid w:val="0"/>
        <w:spacing w:line="560" w:lineRule="exact"/>
        <w:ind w:left="0" w:firstLine="640" w:firstLineChars="200"/>
        <w:jc w:val="both"/>
        <w:rPr>
          <w:rFonts w:hint="eastAsia" w:ascii="方正仿宋_GBK" w:hAnsi="方正仿宋_GBK" w:eastAsia="方正仿宋_GBK" w:cs="方正仿宋_GBK"/>
          <w:kern w:val="0"/>
          <w:sz w:val="32"/>
          <w:szCs w:val="32"/>
          <w:shd w:val="clear" w:fill="FFFFFF"/>
        </w:rPr>
      </w:pPr>
      <w:r>
        <w:rPr>
          <w:rFonts w:hint="eastAsia" w:ascii="方正仿宋_GBK" w:hAnsi="方正仿宋_GBK" w:eastAsia="方正仿宋_GBK" w:cs="方正仿宋_GBK"/>
          <w:bCs/>
          <w:kern w:val="0"/>
          <w:sz w:val="32"/>
          <w:szCs w:val="32"/>
        </w:rPr>
        <w:t>公务车运行维护费14.00万元，主要用于因公出行、水</w:t>
      </w:r>
      <w:r>
        <w:rPr>
          <w:rFonts w:hint="eastAsia" w:ascii="方正仿宋_GBK" w:hAnsi="方正仿宋_GBK" w:eastAsia="方正仿宋_GBK" w:cs="方正仿宋_GBK"/>
          <w:kern w:val="0"/>
          <w:sz w:val="32"/>
          <w:szCs w:val="32"/>
          <w:shd w:val="clear" w:fill="FFFFFF"/>
        </w:rPr>
        <w:t>利工程检查验收、扶贫、防汛抗旱等工作所需车辆的燃料费、维修费、过桥过路费、保险费等。费用支出较年初预算数和上年支出数持平。主要原因是</w:t>
      </w:r>
      <w:r>
        <w:rPr>
          <w:rFonts w:hint="eastAsia" w:ascii="方正仿宋_GBK" w:hAnsi="方正仿宋_GBK" w:eastAsia="方正仿宋_GBK" w:cs="方正仿宋_GBK"/>
          <w:kern w:val="0"/>
          <w:sz w:val="32"/>
          <w:szCs w:val="32"/>
        </w:rPr>
        <w:t>加强公务用车的管理，严格落实公车使用规定，严禁公车私用，严格执行公务用车预算。</w:t>
      </w:r>
    </w:p>
    <w:p>
      <w:pPr>
        <w:keepNext w:val="0"/>
        <w:keepLines w:val="0"/>
        <w:widowControl w:val="0"/>
        <w:suppressLineNumbers w:val="0"/>
        <w:autoSpaceDE w:val="0"/>
        <w:autoSpaceDN/>
        <w:snapToGrid w:val="0"/>
        <w:spacing w:line="560" w:lineRule="exact"/>
        <w:ind w:left="0" w:firstLine="640" w:firstLineChars="200"/>
        <w:jc w:val="both"/>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shd w:val="clear" w:fill="FFFFFF"/>
        </w:rPr>
        <w:t>公务接待费1.61万元，主要用于接待水利项目前期工作、水利工程检查和接受相关部门检查指导工作等接待支出。费用支出较年初预算数减少1.39万元，下降46.3%，主要原因是认真贯彻落实中央八项规定精神和厉行节约要求，强化公务接待支出管理，严格遵守公务接待开支范围和开支标准，严格控制陪餐人数，对应由接待对象承担的费用一律由接待对象自行支付，严控公务接待费支出。较上年支出数减少1.07万元，下降39.9%，</w:t>
      </w:r>
      <w:r>
        <w:rPr>
          <w:rFonts w:hint="eastAsia" w:ascii="方正仿宋_GBK" w:hAnsi="方正仿宋_GBK" w:eastAsia="方正仿宋_GBK" w:cs="方正仿宋_GBK"/>
          <w:kern w:val="0"/>
          <w:sz w:val="32"/>
          <w:szCs w:val="32"/>
        </w:rPr>
        <w:t>主要原因是本年度因疫情原因，上级单位来我区督查、检查、调研等政务活动减少，接待濒次减少，同时本单位厉行节约严格控制支出等。</w:t>
      </w:r>
    </w:p>
    <w:p>
      <w:pPr>
        <w:keepNext w:val="0"/>
        <w:keepLines w:val="0"/>
        <w:widowControl w:val="0"/>
        <w:suppressLineNumbers w:val="0"/>
        <w:autoSpaceDE w:val="0"/>
        <w:autoSpaceDN/>
        <w:snapToGrid w:val="0"/>
        <w:spacing w:line="560" w:lineRule="exact"/>
        <w:ind w:left="0" w:firstLine="640" w:firstLineChars="200"/>
        <w:jc w:val="both"/>
        <w:rPr>
          <w:rFonts w:hint="eastAsia" w:ascii="方正楷体_GBK" w:hAnsi="方正楷体_GBK" w:eastAsia="方正楷体_GBK" w:cs="方正楷体_GBK"/>
          <w:bCs/>
          <w:kern w:val="0"/>
          <w:sz w:val="32"/>
          <w:szCs w:val="32"/>
        </w:rPr>
      </w:pPr>
      <w:r>
        <w:rPr>
          <w:rFonts w:hint="eastAsia" w:ascii="方正楷体_GBK" w:hAnsi="方正楷体_GBK" w:eastAsia="方正楷体_GBK" w:cs="方正楷体_GBK"/>
          <w:kern w:val="0"/>
          <w:sz w:val="32"/>
          <w:szCs w:val="32"/>
        </w:rPr>
        <w:t>（三）“三公”经费实物量情况</w:t>
      </w:r>
    </w:p>
    <w:p>
      <w:pPr>
        <w:keepNext w:val="0"/>
        <w:keepLines w:val="0"/>
        <w:widowControl w:val="0"/>
        <w:suppressLineNumbers w:val="0"/>
        <w:autoSpaceDE w:val="0"/>
        <w:autoSpaceDN/>
        <w:snapToGrid w:val="0"/>
        <w:spacing w:line="560" w:lineRule="exact"/>
        <w:ind w:left="0" w:firstLine="640" w:firstLineChars="200"/>
        <w:jc w:val="both"/>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bCs/>
          <w:kern w:val="0"/>
          <w:sz w:val="32"/>
          <w:szCs w:val="32"/>
        </w:rPr>
        <w:t>2022年度本部门因公出国（境）共计0个团组，0人；公务用车购置0辆，公务车保有量为4辆；国内公务接待30批次242人。其中，国内外事接待0批次，0人；国（境）外公务接待0批次，0人。2022年本部门人均接待费66.48元</w:t>
      </w:r>
      <w:r>
        <w:rPr>
          <w:rFonts w:hint="eastAsia" w:ascii="方正仿宋_GBK" w:hAnsi="方正仿宋_GBK" w:eastAsia="方正仿宋_GBK" w:cs="方正仿宋_GBK"/>
          <w:kern w:val="0"/>
          <w:sz w:val="32"/>
          <w:szCs w:val="32"/>
          <w:shd w:val="clear" w:fill="FFFFFF"/>
        </w:rPr>
        <w:t>，车均购置费0.00万元，车均维护费3.50万元</w:t>
      </w:r>
      <w:r>
        <w:rPr>
          <w:rFonts w:hint="eastAsia" w:ascii="方正仿宋_GBK" w:hAnsi="方正仿宋_GBK" w:eastAsia="方正仿宋_GBK" w:cs="方正仿宋_GBK"/>
          <w:kern w:val="0"/>
          <w:sz w:val="24"/>
          <w:szCs w:val="24"/>
          <w:shd w:val="clear" w:fill="FFFFFF"/>
        </w:rPr>
        <w:t>。</w:t>
      </w:r>
      <w:r>
        <w:rPr>
          <w:rFonts w:hint="eastAsia" w:ascii="方正仿宋_GBK" w:hAnsi="仿宋" w:eastAsia="方正仿宋_GBK" w:cs="方正仿宋_GBK"/>
          <w:kern w:val="0"/>
          <w:sz w:val="24"/>
          <w:szCs w:val="24"/>
          <w:shd w:val="clear" w:fill="FFFFFF"/>
        </w:rPr>
        <w:t xml:space="preserve">     </w:t>
      </w:r>
    </w:p>
    <w:p>
      <w:pPr>
        <w:keepNext w:val="0"/>
        <w:keepLines w:val="0"/>
        <w:widowControl w:val="0"/>
        <w:suppressLineNumbers w:val="0"/>
        <w:autoSpaceDE w:val="0"/>
        <w:autoSpaceDN/>
        <w:snapToGrid w:val="0"/>
        <w:spacing w:line="560" w:lineRule="exact"/>
        <w:ind w:left="0" w:firstLine="640" w:firstLineChars="200"/>
        <w:jc w:val="both"/>
        <w:outlineLvl w:val="0"/>
        <w:rPr>
          <w:rFonts w:hint="eastAsia" w:ascii="方正黑体_GBK" w:hAnsi="方正黑体_GBK" w:eastAsia="方正黑体_GBK" w:cs="方正黑体_GBK"/>
          <w:b w:val="0"/>
          <w:kern w:val="0"/>
          <w:sz w:val="32"/>
          <w:szCs w:val="32"/>
          <w:shd w:val="clear" w:fill="FFFFFF"/>
        </w:rPr>
      </w:pPr>
      <w:r>
        <w:rPr>
          <w:rFonts w:hint="eastAsia" w:ascii="方正黑体_GBK" w:hAnsi="方正黑体_GBK" w:eastAsia="方正黑体_GBK" w:cs="方正黑体_GBK"/>
          <w:b w:val="0"/>
          <w:kern w:val="0"/>
          <w:sz w:val="32"/>
          <w:szCs w:val="32"/>
          <w:shd w:val="clear" w:fill="FFFFFF"/>
        </w:rPr>
        <w:t>四、其他需要说明的事项</w:t>
      </w:r>
    </w:p>
    <w:p>
      <w:pPr>
        <w:keepNext w:val="0"/>
        <w:keepLines w:val="0"/>
        <w:widowControl w:val="0"/>
        <w:suppressLineNumbers w:val="0"/>
        <w:autoSpaceDE w:val="0"/>
        <w:autoSpaceDN/>
        <w:snapToGrid w:val="0"/>
        <w:spacing w:line="560" w:lineRule="exact"/>
        <w:ind w:left="0" w:firstLine="640" w:firstLineChars="200"/>
        <w:jc w:val="both"/>
        <w:rPr>
          <w:rFonts w:hint="eastAsia" w:ascii="方正楷体_GBK" w:hAnsi="方正楷体_GBK" w:eastAsia="方正楷体_GBK" w:cs="方正楷体_GBK"/>
          <w:kern w:val="0"/>
          <w:sz w:val="32"/>
          <w:szCs w:val="32"/>
        </w:rPr>
      </w:pPr>
      <w:r>
        <w:rPr>
          <w:rFonts w:hint="eastAsia" w:ascii="方正楷体_GBK" w:hAnsi="方正楷体_GBK" w:eastAsia="方正楷体_GBK" w:cs="方正楷体_GBK"/>
          <w:kern w:val="0"/>
          <w:sz w:val="32"/>
          <w:szCs w:val="32"/>
        </w:rPr>
        <w:t>（一）财政拨款会议费和培训费情况说明</w:t>
      </w:r>
    </w:p>
    <w:p>
      <w:pPr>
        <w:keepNext w:val="0"/>
        <w:keepLines w:val="0"/>
        <w:widowControl w:val="0"/>
        <w:suppressLineNumbers w:val="0"/>
        <w:autoSpaceDE w:val="0"/>
        <w:autoSpaceDN/>
        <w:snapToGrid w:val="0"/>
        <w:spacing w:line="560" w:lineRule="exact"/>
        <w:ind w:left="0" w:firstLine="640" w:firstLineChars="200"/>
        <w:jc w:val="both"/>
        <w:rPr>
          <w:rFonts w:hint="eastAsia" w:ascii="方正仿宋_GBK" w:hAnsi="方正仿宋_GBK" w:eastAsia="方正仿宋_GBK" w:cs="方正仿宋_GBK"/>
          <w:bCs/>
          <w:kern w:val="0"/>
          <w:sz w:val="32"/>
          <w:szCs w:val="32"/>
        </w:rPr>
      </w:pPr>
      <w:r>
        <w:rPr>
          <w:rFonts w:hint="eastAsia" w:ascii="方正仿宋_GBK" w:hAnsi="方正仿宋_GBK" w:eastAsia="方正仿宋_GBK" w:cs="方正仿宋_GBK"/>
          <w:kern w:val="0"/>
          <w:sz w:val="32"/>
          <w:szCs w:val="32"/>
        </w:rPr>
        <w:t>本年度会议费支出0.00万元，较上年决算数减少0.65万元，下降100%，主要原因是受疫情影</w:t>
      </w:r>
      <w:r>
        <w:rPr>
          <w:rFonts w:hint="eastAsia" w:ascii="方正仿宋_GBK" w:hAnsi="方正仿宋_GBK" w:eastAsia="方正仿宋_GBK" w:cs="方正仿宋_GBK"/>
          <w:bCs/>
          <w:kern w:val="0"/>
          <w:sz w:val="32"/>
          <w:szCs w:val="32"/>
        </w:rPr>
        <w:t>响，本年度无会议费支出。本年度培训费支出1.35万元，较上年决算数增加1.05万元，增长350%，主要原因是要是因为本年度局内新晋升职员培训支出增加。</w:t>
      </w:r>
    </w:p>
    <w:p>
      <w:pPr>
        <w:keepNext w:val="0"/>
        <w:keepLines w:val="0"/>
        <w:widowControl w:val="0"/>
        <w:suppressLineNumbers w:val="0"/>
        <w:autoSpaceDE w:val="0"/>
        <w:autoSpaceDN/>
        <w:snapToGrid w:val="0"/>
        <w:spacing w:line="560" w:lineRule="exact"/>
        <w:ind w:left="0" w:firstLine="640" w:firstLineChars="200"/>
        <w:jc w:val="both"/>
        <w:rPr>
          <w:rFonts w:hint="eastAsia" w:ascii="方正楷体_GBK" w:hAnsi="方正楷体_GBK" w:eastAsia="方正楷体_GBK" w:cs="方正楷体_GBK"/>
          <w:kern w:val="0"/>
          <w:sz w:val="32"/>
          <w:szCs w:val="32"/>
        </w:rPr>
      </w:pPr>
      <w:r>
        <w:rPr>
          <w:rFonts w:hint="eastAsia" w:ascii="方正楷体_GBK" w:hAnsi="方正楷体_GBK" w:eastAsia="方正楷体_GBK" w:cs="方正楷体_GBK"/>
          <w:kern w:val="0"/>
          <w:sz w:val="32"/>
          <w:szCs w:val="32"/>
        </w:rPr>
        <w:t>（二）机关运行经费支出情况说明</w:t>
      </w:r>
    </w:p>
    <w:p>
      <w:pPr>
        <w:keepNext w:val="0"/>
        <w:keepLines w:val="0"/>
        <w:widowControl w:val="0"/>
        <w:suppressLineNumbers w:val="0"/>
        <w:autoSpaceDE w:val="0"/>
        <w:autoSpaceDN/>
        <w:snapToGrid w:val="0"/>
        <w:spacing w:line="560" w:lineRule="exact"/>
        <w:ind w:left="0" w:firstLine="640" w:firstLineChars="200"/>
        <w:jc w:val="both"/>
        <w:rPr>
          <w:rFonts w:hint="eastAsia" w:ascii="方正仿宋_GBK" w:hAnsi="方正仿宋_GBK" w:eastAsia="方正仿宋_GBK" w:cs="方正仿宋_GBK"/>
          <w:kern w:val="0"/>
          <w:sz w:val="32"/>
          <w:szCs w:val="32"/>
          <w:highlight w:val="yellow"/>
        </w:rPr>
      </w:pPr>
      <w:r>
        <w:rPr>
          <w:rFonts w:hint="eastAsia" w:ascii="方正仿宋_GBK" w:hAnsi="方正仿宋_GBK" w:eastAsia="方正仿宋_GBK" w:cs="方正仿宋_GBK"/>
          <w:bCs/>
          <w:kern w:val="0"/>
          <w:sz w:val="32"/>
          <w:szCs w:val="32"/>
        </w:rPr>
        <w:t>2022年度本部门机关运行经费支出68.33万元，主</w:t>
      </w:r>
      <w:r>
        <w:rPr>
          <w:rFonts w:hint="eastAsia" w:ascii="方正仿宋_GBK" w:hAnsi="方正仿宋_GBK" w:eastAsia="方正仿宋_GBK" w:cs="方正仿宋_GBK"/>
          <w:kern w:val="0"/>
          <w:sz w:val="32"/>
          <w:szCs w:val="32"/>
          <w:shd w:val="clear" w:fill="FFFFFF"/>
        </w:rPr>
        <w:t>要用于开支办公费6.48万元、印刷费1万元、水电费2万元、邮电费4万元、差旅费9.13万元、维修（护）费1.8万元、 培训费1.35万元、公务接待费1.61万元、工会经费2.12万元、福利费1.81万元、公务用车运行维护费14万元、其他交通费用21.79万元、办公设备购置1.26万元。机关运行经费较上年决算数减少0.87万元，减少0.4%，主要原因是认真贯彻落实中央八项规定精神和厉行节约要求办公费、印刷费、邮电费、差旅费等费用减少。</w:t>
      </w:r>
    </w:p>
    <w:p>
      <w:pPr>
        <w:keepNext w:val="0"/>
        <w:keepLines w:val="0"/>
        <w:widowControl w:val="0"/>
        <w:suppressLineNumbers w:val="0"/>
        <w:autoSpaceDE w:val="0"/>
        <w:autoSpaceDN/>
        <w:snapToGrid w:val="0"/>
        <w:spacing w:line="560" w:lineRule="exact"/>
        <w:ind w:left="0" w:firstLine="640" w:firstLineChars="200"/>
        <w:jc w:val="both"/>
        <w:rPr>
          <w:rFonts w:hint="eastAsia" w:ascii="方正楷体_GBK" w:hAnsi="方正楷体_GBK" w:eastAsia="方正楷体_GBK" w:cs="方正楷体_GBK"/>
          <w:kern w:val="0"/>
          <w:sz w:val="32"/>
          <w:szCs w:val="32"/>
        </w:rPr>
      </w:pPr>
      <w:r>
        <w:rPr>
          <w:rFonts w:hint="eastAsia" w:ascii="方正楷体_GBK" w:hAnsi="方正楷体_GBK" w:eastAsia="方正楷体_GBK" w:cs="方正楷体_GBK"/>
          <w:bCs/>
          <w:kern w:val="0"/>
          <w:sz w:val="32"/>
          <w:szCs w:val="32"/>
        </w:rPr>
        <w:t>（三）国有资产占用情况说明</w:t>
      </w:r>
    </w:p>
    <w:p>
      <w:pPr>
        <w:pStyle w:val="15"/>
        <w:keepNext w:val="0"/>
        <w:keepLines w:val="0"/>
        <w:widowControl w:val="0"/>
        <w:suppressLineNumbers w:val="0"/>
        <w:autoSpaceDE w:val="0"/>
        <w:autoSpaceDN/>
        <w:spacing w:before="0" w:beforeAutospacing="0" w:line="560" w:lineRule="exact"/>
        <w:ind w:left="0" w:firstLine="640" w:firstLineChars="200"/>
        <w:jc w:val="both"/>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32"/>
          <w:szCs w:val="32"/>
          <w:shd w:val="clear" w:fill="FFFFFF"/>
        </w:rPr>
        <w:t>截至2022年12月31日，本部门共有车辆4辆，其中应急保障用车2辆，特种专业技术用车2辆。</w:t>
      </w:r>
    </w:p>
    <w:p>
      <w:pPr>
        <w:keepNext w:val="0"/>
        <w:keepLines w:val="0"/>
        <w:widowControl w:val="0"/>
        <w:suppressLineNumbers w:val="0"/>
        <w:autoSpaceDE w:val="0"/>
        <w:autoSpaceDN/>
        <w:snapToGrid w:val="0"/>
        <w:spacing w:line="560" w:lineRule="exact"/>
        <w:ind w:left="0" w:firstLine="640" w:firstLineChars="200"/>
        <w:jc w:val="both"/>
        <w:rPr>
          <w:rFonts w:hint="eastAsia" w:ascii="方正楷体_GBK" w:hAnsi="方正楷体_GBK" w:eastAsia="方正楷体_GBK" w:cs="方正楷体_GBK"/>
          <w:bCs/>
          <w:kern w:val="0"/>
          <w:sz w:val="32"/>
          <w:szCs w:val="32"/>
        </w:rPr>
      </w:pPr>
      <w:r>
        <w:rPr>
          <w:rFonts w:hint="eastAsia" w:ascii="方正楷体_GBK" w:hAnsi="方正楷体_GBK" w:eastAsia="方正楷体_GBK" w:cs="方正楷体_GBK"/>
          <w:kern w:val="0"/>
          <w:sz w:val="32"/>
          <w:szCs w:val="32"/>
        </w:rPr>
        <w:t>（四）政府采购支出说明</w:t>
      </w:r>
    </w:p>
    <w:p>
      <w:pPr>
        <w:keepNext w:val="0"/>
        <w:keepLines w:val="0"/>
        <w:widowControl w:val="0"/>
        <w:suppressLineNumbers w:val="0"/>
        <w:autoSpaceDE w:val="0"/>
        <w:autoSpaceDN/>
        <w:spacing w:line="560" w:lineRule="exact"/>
        <w:ind w:left="0" w:firstLine="640" w:firstLineChars="200"/>
        <w:jc w:val="both"/>
        <w:rPr>
          <w:rFonts w:hint="eastAsia" w:ascii="方正仿宋_GBK" w:hAnsi="方正仿宋_GBK" w:eastAsia="方正仿宋_GBK" w:cs="方正仿宋_GBK"/>
          <w:kern w:val="0"/>
          <w:sz w:val="32"/>
          <w:szCs w:val="32"/>
          <w:shd w:val="clear" w:fill="FFFFFF"/>
        </w:rPr>
      </w:pPr>
      <w:r>
        <w:rPr>
          <w:rFonts w:hint="eastAsia" w:ascii="方正仿宋_GBK" w:hAnsi="方正仿宋_GBK" w:eastAsia="方正仿宋_GBK" w:cs="方正仿宋_GBK"/>
          <w:kern w:val="0"/>
          <w:sz w:val="32"/>
          <w:szCs w:val="32"/>
          <w:shd w:val="clear" w:fill="FFFFFF"/>
        </w:rPr>
        <w:t>2022年度本部门政府采购支出总额53.70万元，其中：政府采购货物支出46.90万元、政府采购服务支出6.80万元。授予中小企业合同金额46.90万元，占政府采购支出总额的87.3%，其中：授予小微企业合同金额46.90万元，占政府采购支出总额的87.3%。主要用于采购空调、电脑、打印机、办公桌等。</w:t>
      </w:r>
    </w:p>
    <w:p>
      <w:pPr>
        <w:keepNext w:val="0"/>
        <w:keepLines w:val="0"/>
        <w:widowControl w:val="0"/>
        <w:suppressLineNumbers w:val="0"/>
        <w:autoSpaceDE w:val="0"/>
        <w:autoSpaceDN/>
        <w:spacing w:line="560" w:lineRule="exact"/>
        <w:ind w:left="0" w:firstLine="640" w:firstLineChars="200"/>
        <w:jc w:val="both"/>
        <w:rPr>
          <w:rFonts w:hint="eastAsia" w:ascii="方正仿宋_GBK" w:hAnsi="方正仿宋_GBK" w:eastAsia="方正仿宋_GBK" w:cs="方正仿宋_GBK"/>
          <w:kern w:val="0"/>
          <w:sz w:val="32"/>
          <w:szCs w:val="32"/>
          <w:shd w:val="clear" w:fill="FFFFFF"/>
        </w:rPr>
      </w:pPr>
      <w:r>
        <w:rPr>
          <w:rFonts w:hint="eastAsia" w:ascii="方正黑体_GBK" w:hAnsi="方正黑体_GBK" w:eastAsia="方正黑体_GBK" w:cs="方正黑体_GBK"/>
          <w:b w:val="0"/>
          <w:kern w:val="0"/>
          <w:sz w:val="32"/>
          <w:szCs w:val="32"/>
          <w:shd w:val="clear" w:fill="FFFFFF"/>
        </w:rPr>
        <w:t>五、预算绩效管理情况说明</w:t>
      </w:r>
    </w:p>
    <w:p>
      <w:pPr>
        <w:keepNext w:val="0"/>
        <w:keepLines w:val="0"/>
        <w:widowControl w:val="0"/>
        <w:suppressLineNumbers w:val="0"/>
        <w:autoSpaceDE w:val="0"/>
        <w:autoSpaceDN/>
        <w:spacing w:line="560" w:lineRule="exact"/>
        <w:ind w:left="0" w:firstLine="640" w:firstLineChars="200"/>
        <w:jc w:val="both"/>
        <w:rPr>
          <w:rFonts w:hint="eastAsia" w:ascii="方正楷体_GBK" w:hAnsi="方正楷体_GBK" w:eastAsia="方正楷体_GBK" w:cs="方正楷体_GBK"/>
          <w:kern w:val="0"/>
          <w:sz w:val="32"/>
          <w:szCs w:val="32"/>
        </w:rPr>
      </w:pPr>
      <w:r>
        <w:rPr>
          <w:rStyle w:val="17"/>
          <w:rFonts w:hint="eastAsia" w:ascii="方正楷体_GBK" w:hAnsi="方正楷体_GBK" w:eastAsia="方正楷体_GBK" w:cs="方正楷体_GBK"/>
          <w:sz w:val="32"/>
          <w:szCs w:val="32"/>
        </w:rPr>
        <w:t>（一）预算绩效管理工作开展情况</w:t>
      </w:r>
    </w:p>
    <w:p>
      <w:pPr>
        <w:keepNext w:val="0"/>
        <w:keepLines w:val="0"/>
        <w:widowControl w:val="0"/>
        <w:suppressLineNumbers w:val="0"/>
        <w:autoSpaceDE w:val="0"/>
        <w:autoSpaceDN/>
        <w:spacing w:line="560" w:lineRule="exact"/>
        <w:ind w:left="0" w:firstLine="640" w:firstLineChars="200"/>
        <w:jc w:val="both"/>
        <w:rPr>
          <w:rFonts w:hint="eastAsia" w:ascii="方正仿宋_GBK" w:hAnsi="方正仿宋_GBK" w:eastAsia="方正仿宋_GBK" w:cs="方正仿宋_GBK"/>
          <w:kern w:val="0"/>
          <w:sz w:val="32"/>
          <w:szCs w:val="32"/>
          <w:shd w:val="clear" w:fill="FFFFFF"/>
        </w:rPr>
      </w:pPr>
      <w:r>
        <w:rPr>
          <w:rFonts w:hint="eastAsia" w:ascii="方正仿宋_GBK" w:hAnsi="方正仿宋_GBK" w:eastAsia="方正仿宋_GBK" w:cs="方正仿宋_GBK"/>
          <w:kern w:val="0"/>
          <w:sz w:val="32"/>
          <w:szCs w:val="32"/>
          <w:shd w:val="clear" w:fill="FFFFFF"/>
        </w:rPr>
        <w:t>根据预算绩效管理要求，本部门对46个项目开展了绩效自评，其中，以填报自评表形式开展自评46项，涉及资金</w:t>
      </w:r>
      <w:r>
        <w:rPr>
          <w:rFonts w:hint="eastAsia" w:ascii="方正仿宋_GBK" w:hAnsi="方正仿宋_GBK" w:eastAsia="方正仿宋_GBK" w:cs="方正仿宋_GBK"/>
          <w:kern w:val="0"/>
          <w:sz w:val="32"/>
          <w:szCs w:val="32"/>
        </w:rPr>
        <w:t>36430.89</w:t>
      </w:r>
      <w:r>
        <w:rPr>
          <w:rFonts w:hint="eastAsia" w:ascii="方正仿宋_GBK" w:hAnsi="方正仿宋_GBK" w:eastAsia="方正仿宋_GBK" w:cs="方正仿宋_GBK"/>
          <w:kern w:val="0"/>
          <w:sz w:val="32"/>
          <w:szCs w:val="32"/>
          <w:shd w:val="clear" w:fill="FFFFFF"/>
        </w:rPr>
        <w:t>万元。</w:t>
      </w:r>
    </w:p>
    <w:p>
      <w:pPr>
        <w:keepNext w:val="0"/>
        <w:keepLines w:val="0"/>
        <w:widowControl w:val="0"/>
        <w:suppressLineNumbers w:val="0"/>
        <w:autoSpaceDE w:val="0"/>
        <w:autoSpaceDN/>
        <w:spacing w:line="560" w:lineRule="exact"/>
        <w:ind w:left="0" w:firstLine="640" w:firstLineChars="200"/>
        <w:jc w:val="both"/>
        <w:rPr>
          <w:rFonts w:hint="eastAsia" w:ascii="方正楷体_GBK" w:hAnsi="方正楷体_GBK" w:eastAsia="方正楷体_GBK" w:cs="方正楷体_GBK"/>
          <w:kern w:val="0"/>
          <w:sz w:val="32"/>
          <w:szCs w:val="32"/>
        </w:rPr>
      </w:pPr>
      <w:r>
        <w:rPr>
          <w:rStyle w:val="17"/>
          <w:rFonts w:hint="eastAsia" w:ascii="方正楷体_GBK" w:hAnsi="方正楷体_GBK" w:eastAsia="方正楷体_GBK" w:cs="方正楷体_GBK"/>
          <w:sz w:val="32"/>
          <w:szCs w:val="32"/>
        </w:rPr>
        <w:t>（二）绩效自评结果。</w:t>
      </w:r>
    </w:p>
    <w:p>
      <w:pPr>
        <w:keepNext w:val="0"/>
        <w:keepLines w:val="0"/>
        <w:widowControl w:val="0"/>
        <w:suppressLineNumbers w:val="0"/>
        <w:autoSpaceDE w:val="0"/>
        <w:autoSpaceDN/>
        <w:spacing w:line="560" w:lineRule="exact"/>
        <w:ind w:left="0" w:firstLine="640" w:firstLineChars="200"/>
        <w:jc w:val="both"/>
        <w:rPr>
          <w:rFonts w:hint="eastAsia" w:ascii="方正仿宋_GBK" w:hAnsi="Times New Roman" w:eastAsia="方正仿宋_GBK" w:cs="Times New Roman"/>
          <w:kern w:val="0"/>
          <w:sz w:val="32"/>
          <w:szCs w:val="32"/>
        </w:rPr>
      </w:pPr>
      <w:r>
        <w:rPr>
          <w:rStyle w:val="17"/>
          <w:rFonts w:hint="eastAsia" w:ascii="方正仿宋_GBK" w:hAnsi="方正仿宋_GBK" w:eastAsia="方正仿宋_GBK" w:cs="方正仿宋_GBK"/>
          <w:sz w:val="32"/>
          <w:szCs w:val="32"/>
        </w:rPr>
        <w:t>1、</w:t>
      </w:r>
      <w:r>
        <w:rPr>
          <w:rFonts w:hint="eastAsia" w:ascii="方正仿宋_GBK" w:hAnsi="方正仿宋_GBK" w:eastAsia="方正仿宋_GBK" w:cs="方正仿宋_GBK"/>
          <w:kern w:val="0"/>
          <w:sz w:val="32"/>
          <w:szCs w:val="32"/>
          <w:shd w:val="clear" w:fill="FFFFFF"/>
        </w:rPr>
        <w:t>2022年度大中型水库移民后期扶持项目自评表</w:t>
      </w:r>
    </w:p>
    <w:p>
      <w:pPr>
        <w:rPr>
          <w:rFonts w:hint="eastAsia" w:ascii="宋体" w:hAnsi="宋体" w:eastAsia="宋体" w:cs="宋体"/>
          <w:vanish/>
          <w:kern w:val="0"/>
          <w:sz w:val="24"/>
          <w:szCs w:val="24"/>
        </w:rPr>
        <w:sectPr>
          <w:footerReference r:id="rId3" w:type="default"/>
          <w:pgSz w:w="16851" w:h="11915" w:orient="landscape"/>
          <w:pgMar w:top="1984" w:right="1446" w:bottom="1644" w:left="1446" w:header="851" w:footer="992" w:gutter="0"/>
          <w:cols w:space="0" w:num="1"/>
          <w:docGrid w:type="lines" w:linePitch="312" w:charSpace="0"/>
        </w:sectPr>
      </w:pPr>
    </w:p>
    <w:p>
      <w:pPr>
        <w:rPr>
          <w:rFonts w:hint="eastAsia" w:ascii="宋体" w:hAnsi="宋体" w:eastAsia="宋体" w:cs="宋体"/>
          <w:vanish/>
          <w:kern w:val="0"/>
          <w:sz w:val="24"/>
          <w:szCs w:val="24"/>
        </w:rPr>
      </w:pPr>
      <w:r>
        <w:rPr>
          <w:rFonts w:hint="eastAsia" w:ascii="宋体" w:hAnsi="宋体" w:eastAsia="宋体" w:cs="宋体"/>
          <w:vanish/>
          <w:kern w:val="0"/>
          <w:sz w:val="24"/>
          <w:szCs w:val="24"/>
        </w:rPr>
        <w:t xml:space="preserve"> </w:t>
      </w:r>
    </w:p>
    <w:tbl>
      <w:tblPr>
        <w:tblStyle w:val="12"/>
        <w:tblW w:w="100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548"/>
        <w:gridCol w:w="1737"/>
        <w:gridCol w:w="575"/>
        <w:gridCol w:w="614"/>
        <w:gridCol w:w="907"/>
        <w:gridCol w:w="989"/>
        <w:gridCol w:w="800"/>
        <w:gridCol w:w="854"/>
        <w:gridCol w:w="972"/>
        <w:gridCol w:w="993"/>
        <w:gridCol w:w="10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3" w:hRule="atLeast"/>
        </w:trPr>
        <w:tc>
          <w:tcPr>
            <w:tcW w:w="10080" w:type="dxa"/>
            <w:gridSpan w:val="11"/>
            <w:tcBorders>
              <w:top w:val="nil"/>
              <w:left w:val="nil"/>
              <w:bottom w:val="single" w:color="auto" w:sz="4" w:space="0"/>
              <w:right w:val="nil"/>
            </w:tcBorders>
            <w:shd w:val="clear"/>
            <w:vAlign w:val="center"/>
          </w:tcPr>
          <w:p>
            <w:pPr>
              <w:jc w:val="center"/>
              <w:rPr>
                <w:rFonts w:hint="eastAsia" w:ascii="方正小标宋_GBK" w:hAnsi="方正小标宋_GBK" w:eastAsia="方正小标宋_GBK" w:cs="方正小标宋_GBK"/>
                <w:color w:val="000000"/>
                <w:kern w:val="0"/>
                <w:sz w:val="32"/>
                <w:szCs w:val="32"/>
                <w:bdr w:val="none" w:color="auto" w:sz="0" w:space="0"/>
              </w:rPr>
            </w:pPr>
            <w:r>
              <w:rPr>
                <w:rFonts w:hint="eastAsia" w:ascii="方正小标宋_GBK" w:hAnsi="方正小标宋_GBK" w:eastAsia="方正小标宋_GBK" w:cs="方正小标宋_GBK"/>
                <w:color w:val="000000"/>
                <w:kern w:val="0"/>
                <w:sz w:val="32"/>
                <w:szCs w:val="32"/>
                <w:bdr w:val="none" w:color="auto" w:sz="0" w:space="0"/>
              </w:rPr>
              <w:t>部门项目绩效自评表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8" w:type="dxa"/>
            <w:tcBorders>
              <w:top w:val="nil"/>
              <w:left w:val="single" w:color="auto" w:sz="4" w:space="0"/>
              <w:bottom w:val="single" w:color="auto" w:sz="4" w:space="0"/>
              <w:right w:val="single" w:color="auto" w:sz="4" w:space="0"/>
            </w:tcBorders>
            <w:shd w:val="clear"/>
            <w:vAlign w:val="center"/>
          </w:tcPr>
          <w:p>
            <w:pPr>
              <w:spacing w:line="240" w:lineRule="exact"/>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项目名称</w:t>
            </w:r>
          </w:p>
        </w:tc>
        <w:tc>
          <w:tcPr>
            <w:tcW w:w="2312" w:type="dxa"/>
            <w:gridSpan w:val="2"/>
            <w:tcBorders>
              <w:top w:val="single" w:color="auto" w:sz="4" w:space="0"/>
              <w:left w:val="nil"/>
              <w:bottom w:val="single" w:color="auto" w:sz="4" w:space="0"/>
              <w:right w:val="single" w:color="auto" w:sz="4" w:space="0"/>
            </w:tcBorders>
            <w:shd w:val="clear"/>
            <w:vAlign w:val="center"/>
          </w:tcPr>
          <w:p>
            <w:pPr>
              <w:spacing w:line="240" w:lineRule="exact"/>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2022年度大中型水库移民后期扶持项目</w:t>
            </w:r>
          </w:p>
        </w:tc>
        <w:tc>
          <w:tcPr>
            <w:tcW w:w="614" w:type="dxa"/>
            <w:tcBorders>
              <w:top w:val="nil"/>
              <w:left w:val="nil"/>
              <w:bottom w:val="single" w:color="auto" w:sz="4" w:space="0"/>
              <w:right w:val="single" w:color="auto" w:sz="4" w:space="0"/>
            </w:tcBorders>
            <w:shd w:val="clear"/>
            <w:vAlign w:val="center"/>
          </w:tcPr>
          <w:p>
            <w:pPr>
              <w:spacing w:line="240" w:lineRule="exact"/>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项目  编码</w:t>
            </w:r>
          </w:p>
        </w:tc>
        <w:tc>
          <w:tcPr>
            <w:tcW w:w="1896" w:type="dxa"/>
            <w:gridSpan w:val="2"/>
            <w:tcBorders>
              <w:top w:val="single" w:color="auto" w:sz="4" w:space="0"/>
              <w:left w:val="nil"/>
              <w:bottom w:val="single" w:color="auto" w:sz="4" w:space="0"/>
              <w:right w:val="single" w:color="auto" w:sz="4" w:space="0"/>
            </w:tcBorders>
            <w:shd w:val="clear"/>
            <w:vAlign w:val="center"/>
          </w:tcPr>
          <w:p>
            <w:pPr>
              <w:spacing w:line="240" w:lineRule="exact"/>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50011422T000002036337</w:t>
            </w:r>
          </w:p>
        </w:tc>
        <w:tc>
          <w:tcPr>
            <w:tcW w:w="800" w:type="dxa"/>
            <w:tcBorders>
              <w:top w:val="nil"/>
              <w:left w:val="nil"/>
              <w:bottom w:val="single" w:color="auto" w:sz="4" w:space="0"/>
              <w:right w:val="single" w:color="auto" w:sz="4" w:space="0"/>
            </w:tcBorders>
            <w:shd w:val="clear"/>
            <w:vAlign w:val="center"/>
          </w:tcPr>
          <w:p>
            <w:pPr>
              <w:spacing w:line="240" w:lineRule="exact"/>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自评总分（分）</w:t>
            </w:r>
          </w:p>
        </w:tc>
        <w:tc>
          <w:tcPr>
            <w:tcW w:w="3910" w:type="dxa"/>
            <w:gridSpan w:val="4"/>
            <w:tcBorders>
              <w:top w:val="single" w:color="auto" w:sz="4" w:space="0"/>
              <w:left w:val="nil"/>
              <w:bottom w:val="single" w:color="auto" w:sz="4" w:space="0"/>
              <w:right w:val="single" w:color="auto" w:sz="4" w:space="0"/>
            </w:tcBorders>
            <w:shd w:val="clear"/>
            <w:noWrap/>
            <w:vAlign w:val="center"/>
          </w:tcPr>
          <w:p>
            <w:pPr>
              <w:spacing w:line="240" w:lineRule="exact"/>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5" w:hRule="atLeast"/>
        </w:trPr>
        <w:tc>
          <w:tcPr>
            <w:tcW w:w="548" w:type="dxa"/>
            <w:tcBorders>
              <w:top w:val="nil"/>
              <w:left w:val="single" w:color="auto" w:sz="4" w:space="0"/>
              <w:bottom w:val="single" w:color="auto" w:sz="4" w:space="0"/>
              <w:right w:val="single" w:color="auto" w:sz="4" w:space="0"/>
            </w:tcBorders>
            <w:shd w:val="clear"/>
            <w:vAlign w:val="center"/>
          </w:tcPr>
          <w:p>
            <w:pPr>
              <w:spacing w:line="240" w:lineRule="exact"/>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主管部门</w:t>
            </w:r>
          </w:p>
        </w:tc>
        <w:tc>
          <w:tcPr>
            <w:tcW w:w="2312" w:type="dxa"/>
            <w:gridSpan w:val="2"/>
            <w:tcBorders>
              <w:top w:val="single" w:color="auto" w:sz="4" w:space="0"/>
              <w:left w:val="nil"/>
              <w:bottom w:val="single" w:color="auto" w:sz="4" w:space="0"/>
              <w:right w:val="single" w:color="auto" w:sz="4" w:space="0"/>
            </w:tcBorders>
            <w:shd w:val="clear"/>
            <w:vAlign w:val="center"/>
          </w:tcPr>
          <w:p>
            <w:pPr>
              <w:spacing w:line="240" w:lineRule="exact"/>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黔江区水利局</w:t>
            </w:r>
          </w:p>
        </w:tc>
        <w:tc>
          <w:tcPr>
            <w:tcW w:w="614" w:type="dxa"/>
            <w:tcBorders>
              <w:top w:val="nil"/>
              <w:left w:val="nil"/>
              <w:bottom w:val="single" w:color="auto" w:sz="4" w:space="0"/>
              <w:right w:val="single" w:color="auto" w:sz="4" w:space="0"/>
            </w:tcBorders>
            <w:shd w:val="clear"/>
            <w:vAlign w:val="center"/>
          </w:tcPr>
          <w:p>
            <w:pPr>
              <w:spacing w:line="240" w:lineRule="exact"/>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财政  处室</w:t>
            </w:r>
          </w:p>
        </w:tc>
        <w:tc>
          <w:tcPr>
            <w:tcW w:w="1896" w:type="dxa"/>
            <w:gridSpan w:val="2"/>
            <w:tcBorders>
              <w:top w:val="single" w:color="auto" w:sz="4" w:space="0"/>
              <w:left w:val="nil"/>
              <w:bottom w:val="single" w:color="auto" w:sz="4" w:space="0"/>
              <w:right w:val="single" w:color="auto" w:sz="4" w:space="0"/>
            </w:tcBorders>
            <w:shd w:val="clear"/>
            <w:vAlign w:val="center"/>
          </w:tcPr>
          <w:p>
            <w:pPr>
              <w:spacing w:line="240" w:lineRule="exact"/>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农业科</w:t>
            </w:r>
          </w:p>
        </w:tc>
        <w:tc>
          <w:tcPr>
            <w:tcW w:w="800" w:type="dxa"/>
            <w:tcBorders>
              <w:top w:val="nil"/>
              <w:left w:val="nil"/>
              <w:bottom w:val="single" w:color="auto" w:sz="4" w:space="0"/>
              <w:right w:val="single" w:color="auto" w:sz="4" w:space="0"/>
            </w:tcBorders>
            <w:shd w:val="clear"/>
            <w:vAlign w:val="center"/>
          </w:tcPr>
          <w:p>
            <w:pPr>
              <w:spacing w:line="240" w:lineRule="exact"/>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项目联系人</w:t>
            </w:r>
          </w:p>
        </w:tc>
        <w:tc>
          <w:tcPr>
            <w:tcW w:w="854" w:type="dxa"/>
            <w:tcBorders>
              <w:top w:val="nil"/>
              <w:left w:val="nil"/>
              <w:bottom w:val="single" w:color="auto" w:sz="4" w:space="0"/>
              <w:right w:val="single" w:color="auto" w:sz="4" w:space="0"/>
            </w:tcBorders>
            <w:shd w:val="clear"/>
            <w:vAlign w:val="center"/>
          </w:tcPr>
          <w:p>
            <w:pPr>
              <w:spacing w:line="240" w:lineRule="exact"/>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王启龙</w:t>
            </w:r>
          </w:p>
        </w:tc>
        <w:tc>
          <w:tcPr>
            <w:tcW w:w="972" w:type="dxa"/>
            <w:tcBorders>
              <w:top w:val="nil"/>
              <w:left w:val="nil"/>
              <w:bottom w:val="single" w:color="auto" w:sz="4" w:space="0"/>
              <w:right w:val="single" w:color="auto" w:sz="4" w:space="0"/>
            </w:tcBorders>
            <w:shd w:val="clear"/>
            <w:vAlign w:val="center"/>
          </w:tcPr>
          <w:p>
            <w:pPr>
              <w:spacing w:line="240" w:lineRule="exact"/>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联系电话</w:t>
            </w:r>
          </w:p>
        </w:tc>
        <w:tc>
          <w:tcPr>
            <w:tcW w:w="2084" w:type="dxa"/>
            <w:gridSpan w:val="2"/>
            <w:tcBorders>
              <w:top w:val="single" w:color="auto" w:sz="4" w:space="0"/>
              <w:left w:val="nil"/>
              <w:bottom w:val="single" w:color="auto" w:sz="4" w:space="0"/>
              <w:right w:val="single" w:color="auto" w:sz="4" w:space="0"/>
            </w:tcBorders>
            <w:shd w:val="clear"/>
            <w:vAlign w:val="center"/>
          </w:tcPr>
          <w:p>
            <w:pPr>
              <w:spacing w:line="240" w:lineRule="exact"/>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13996907563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5" w:hRule="atLeast"/>
        </w:trPr>
        <w:tc>
          <w:tcPr>
            <w:tcW w:w="548" w:type="dxa"/>
            <w:vMerge w:val="restart"/>
            <w:tcBorders>
              <w:top w:val="nil"/>
              <w:left w:val="single" w:color="auto" w:sz="4" w:space="0"/>
              <w:bottom w:val="nil"/>
              <w:right w:val="single" w:color="auto" w:sz="4" w:space="0"/>
            </w:tcBorders>
            <w:shd w:val="clear"/>
            <w:vAlign w:val="center"/>
          </w:tcPr>
          <w:p>
            <w:pPr>
              <w:spacing w:line="240" w:lineRule="exact"/>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项目资金</w:t>
            </w:r>
            <w:r>
              <w:rPr>
                <w:rFonts w:hint="eastAsia" w:ascii="宋体" w:hAnsi="宋体" w:eastAsia="宋体" w:cs="宋体"/>
                <w:color w:val="000000"/>
                <w:kern w:val="0"/>
                <w:sz w:val="16"/>
                <w:szCs w:val="16"/>
                <w:bdr w:val="none" w:color="auto" w:sz="0" w:space="0"/>
              </w:rPr>
              <w:br w:type="textWrapping"/>
            </w:r>
            <w:r>
              <w:rPr>
                <w:rFonts w:hint="eastAsia" w:ascii="宋体" w:hAnsi="宋体" w:eastAsia="宋体" w:cs="宋体"/>
                <w:color w:val="000000"/>
                <w:kern w:val="0"/>
                <w:sz w:val="16"/>
                <w:szCs w:val="16"/>
                <w:bdr w:val="none" w:color="auto" w:sz="0" w:space="0"/>
              </w:rPr>
              <w:t>（万元）</w:t>
            </w:r>
          </w:p>
        </w:tc>
        <w:tc>
          <w:tcPr>
            <w:tcW w:w="1737" w:type="dxa"/>
            <w:vMerge w:val="restart"/>
            <w:tcBorders>
              <w:top w:val="nil"/>
              <w:left w:val="nil"/>
              <w:bottom w:val="single" w:color="auto" w:sz="4" w:space="0"/>
              <w:right w:val="single" w:color="auto" w:sz="4" w:space="0"/>
            </w:tcBorders>
            <w:shd w:val="clear"/>
            <w:vAlign w:val="center"/>
          </w:tcPr>
          <w:p>
            <w:pPr>
              <w:spacing w:line="240" w:lineRule="exact"/>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年度总金额</w:t>
            </w:r>
          </w:p>
        </w:tc>
        <w:tc>
          <w:tcPr>
            <w:tcW w:w="1189" w:type="dxa"/>
            <w:gridSpan w:val="2"/>
            <w:tcBorders>
              <w:top w:val="single" w:color="auto" w:sz="4" w:space="0"/>
              <w:left w:val="nil"/>
              <w:bottom w:val="single" w:color="auto" w:sz="4" w:space="0"/>
              <w:right w:val="single" w:color="auto" w:sz="4" w:space="0"/>
            </w:tcBorders>
            <w:shd w:val="clear"/>
            <w:vAlign w:val="center"/>
          </w:tcPr>
          <w:p>
            <w:pPr>
              <w:spacing w:line="240" w:lineRule="exact"/>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年初预算数</w:t>
            </w:r>
          </w:p>
        </w:tc>
        <w:tc>
          <w:tcPr>
            <w:tcW w:w="1896" w:type="dxa"/>
            <w:gridSpan w:val="2"/>
            <w:tcBorders>
              <w:top w:val="single" w:color="auto" w:sz="4" w:space="0"/>
              <w:left w:val="nil"/>
              <w:bottom w:val="single" w:color="auto" w:sz="4" w:space="0"/>
              <w:right w:val="single" w:color="auto" w:sz="4" w:space="0"/>
            </w:tcBorders>
            <w:shd w:val="clear"/>
            <w:vAlign w:val="center"/>
          </w:tcPr>
          <w:p>
            <w:pPr>
              <w:spacing w:line="240" w:lineRule="exact"/>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全年（调整）预算数</w:t>
            </w:r>
          </w:p>
        </w:tc>
        <w:tc>
          <w:tcPr>
            <w:tcW w:w="1654" w:type="dxa"/>
            <w:gridSpan w:val="2"/>
            <w:tcBorders>
              <w:top w:val="single" w:color="auto" w:sz="4" w:space="0"/>
              <w:left w:val="nil"/>
              <w:bottom w:val="single" w:color="auto" w:sz="4" w:space="0"/>
              <w:right w:val="single" w:color="auto" w:sz="4" w:space="0"/>
            </w:tcBorders>
            <w:shd w:val="clear"/>
            <w:vAlign w:val="center"/>
          </w:tcPr>
          <w:p>
            <w:pPr>
              <w:spacing w:line="240" w:lineRule="exact"/>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全年执行数</w:t>
            </w:r>
          </w:p>
        </w:tc>
        <w:tc>
          <w:tcPr>
            <w:tcW w:w="972" w:type="dxa"/>
            <w:tcBorders>
              <w:top w:val="nil"/>
              <w:left w:val="nil"/>
              <w:bottom w:val="single" w:color="auto" w:sz="4" w:space="0"/>
              <w:right w:val="single" w:color="auto" w:sz="4" w:space="0"/>
            </w:tcBorders>
            <w:shd w:val="clear"/>
            <w:vAlign w:val="center"/>
          </w:tcPr>
          <w:p>
            <w:pPr>
              <w:spacing w:line="240" w:lineRule="exact"/>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执行率</w:t>
            </w:r>
            <w:r>
              <w:rPr>
                <w:rFonts w:hint="eastAsia" w:ascii="宋体" w:hAnsi="宋体" w:eastAsia="宋体" w:cs="宋体"/>
                <w:color w:val="000000"/>
                <w:kern w:val="0"/>
                <w:sz w:val="16"/>
                <w:szCs w:val="16"/>
                <w:bdr w:val="none" w:color="auto" w:sz="0" w:space="0"/>
              </w:rPr>
              <w:br w:type="textWrapping"/>
            </w:r>
            <w:r>
              <w:rPr>
                <w:rFonts w:hint="eastAsia" w:ascii="宋体" w:hAnsi="宋体" w:eastAsia="宋体" w:cs="宋体"/>
                <w:color w:val="000000"/>
                <w:kern w:val="0"/>
                <w:sz w:val="16"/>
                <w:szCs w:val="16"/>
                <w:bdr w:val="none" w:color="auto" w:sz="0" w:space="0"/>
              </w:rPr>
              <w:t>（%)</w:t>
            </w:r>
          </w:p>
        </w:tc>
        <w:tc>
          <w:tcPr>
            <w:tcW w:w="993" w:type="dxa"/>
            <w:tcBorders>
              <w:top w:val="nil"/>
              <w:left w:val="nil"/>
              <w:bottom w:val="single" w:color="auto" w:sz="4" w:space="0"/>
              <w:right w:val="single" w:color="auto" w:sz="4" w:space="0"/>
            </w:tcBorders>
            <w:shd w:val="clear"/>
            <w:vAlign w:val="center"/>
          </w:tcPr>
          <w:p>
            <w:pPr>
              <w:spacing w:line="240" w:lineRule="exact"/>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执行率</w:t>
            </w:r>
            <w:r>
              <w:rPr>
                <w:rFonts w:hint="eastAsia" w:ascii="宋体" w:hAnsi="宋体" w:eastAsia="宋体" w:cs="宋体"/>
                <w:color w:val="000000"/>
                <w:kern w:val="0"/>
                <w:sz w:val="16"/>
                <w:szCs w:val="16"/>
                <w:bdr w:val="none" w:color="auto" w:sz="0" w:space="0"/>
              </w:rPr>
              <w:br w:type="textWrapping"/>
            </w:r>
            <w:r>
              <w:rPr>
                <w:rFonts w:hint="eastAsia" w:ascii="宋体" w:hAnsi="宋体" w:eastAsia="宋体" w:cs="宋体"/>
                <w:color w:val="000000"/>
                <w:kern w:val="0"/>
                <w:sz w:val="16"/>
                <w:szCs w:val="16"/>
                <w:bdr w:val="none" w:color="auto" w:sz="0" w:space="0"/>
              </w:rPr>
              <w:t>权重</w:t>
            </w:r>
          </w:p>
        </w:tc>
        <w:tc>
          <w:tcPr>
            <w:tcW w:w="1091" w:type="dxa"/>
            <w:tcBorders>
              <w:top w:val="nil"/>
              <w:left w:val="nil"/>
              <w:bottom w:val="single" w:color="auto" w:sz="4" w:space="0"/>
              <w:right w:val="single" w:color="auto" w:sz="4" w:space="0"/>
            </w:tcBorders>
            <w:shd w:val="clear"/>
            <w:vAlign w:val="center"/>
          </w:tcPr>
          <w:p>
            <w:pPr>
              <w:spacing w:line="240" w:lineRule="exact"/>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执行率</w:t>
            </w:r>
            <w:r>
              <w:rPr>
                <w:rFonts w:hint="eastAsia" w:ascii="宋体" w:hAnsi="宋体" w:eastAsia="宋体" w:cs="宋体"/>
                <w:color w:val="000000"/>
                <w:kern w:val="0"/>
                <w:sz w:val="16"/>
                <w:szCs w:val="16"/>
                <w:bdr w:val="none" w:color="auto" w:sz="0" w:space="0"/>
              </w:rPr>
              <w:br w:type="textWrapping"/>
            </w:r>
            <w:r>
              <w:rPr>
                <w:rFonts w:hint="eastAsia" w:ascii="宋体" w:hAnsi="宋体" w:eastAsia="宋体" w:cs="宋体"/>
                <w:color w:val="000000"/>
                <w:kern w:val="0"/>
                <w:sz w:val="16"/>
                <w:szCs w:val="16"/>
                <w:bdr w:val="none" w:color="auto" w:sz="0" w:space="0"/>
              </w:rPr>
              <w:t>得分（分)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5" w:hRule="atLeast"/>
        </w:trPr>
        <w:tc>
          <w:tcPr>
            <w:tcW w:w="548" w:type="dxa"/>
            <w:vMerge w:val="continue"/>
            <w:tcBorders>
              <w:top w:val="nil"/>
              <w:left w:val="single" w:color="auto" w:sz="4" w:space="0"/>
              <w:bottom w:val="nil"/>
              <w:right w:val="single" w:color="auto" w:sz="4" w:space="0"/>
            </w:tcBorders>
            <w:shd w:val="clear"/>
            <w:vAlign w:val="center"/>
          </w:tcPr>
          <w:p>
            <w:pPr>
              <w:rPr>
                <w:rFonts w:hint="default" w:ascii="Times New Roman" w:hAnsi="Times New Roman" w:cs="Times New Roman"/>
                <w:sz w:val="20"/>
                <w:szCs w:val="20"/>
              </w:rPr>
            </w:pPr>
          </w:p>
        </w:tc>
        <w:tc>
          <w:tcPr>
            <w:tcW w:w="1737" w:type="dxa"/>
            <w:vMerge w:val="continue"/>
            <w:tcBorders>
              <w:top w:val="nil"/>
              <w:left w:val="nil"/>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189" w:type="dxa"/>
            <w:gridSpan w:val="2"/>
            <w:tcBorders>
              <w:top w:val="single" w:color="auto" w:sz="4" w:space="0"/>
              <w:left w:val="nil"/>
              <w:bottom w:val="single" w:color="auto" w:sz="4" w:space="0"/>
              <w:right w:val="single" w:color="auto" w:sz="4" w:space="0"/>
            </w:tcBorders>
            <w:shd w:val="clear"/>
            <w:vAlign w:val="center"/>
          </w:tcPr>
          <w:p>
            <w:pPr>
              <w:spacing w:line="240" w:lineRule="exact"/>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1282</w:t>
            </w:r>
          </w:p>
        </w:tc>
        <w:tc>
          <w:tcPr>
            <w:tcW w:w="1896" w:type="dxa"/>
            <w:gridSpan w:val="2"/>
            <w:tcBorders>
              <w:top w:val="single" w:color="auto" w:sz="4" w:space="0"/>
              <w:left w:val="nil"/>
              <w:bottom w:val="single" w:color="auto" w:sz="4" w:space="0"/>
              <w:right w:val="single" w:color="auto" w:sz="4" w:space="0"/>
            </w:tcBorders>
            <w:shd w:val="clear"/>
            <w:vAlign w:val="center"/>
          </w:tcPr>
          <w:p>
            <w:pPr>
              <w:spacing w:line="240" w:lineRule="exact"/>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3611.7653</w:t>
            </w:r>
          </w:p>
        </w:tc>
        <w:tc>
          <w:tcPr>
            <w:tcW w:w="1654" w:type="dxa"/>
            <w:gridSpan w:val="2"/>
            <w:tcBorders>
              <w:top w:val="single" w:color="auto" w:sz="4" w:space="0"/>
              <w:left w:val="nil"/>
              <w:bottom w:val="single" w:color="auto" w:sz="4" w:space="0"/>
              <w:right w:val="single" w:color="auto" w:sz="4" w:space="0"/>
            </w:tcBorders>
            <w:shd w:val="clear"/>
            <w:vAlign w:val="center"/>
          </w:tcPr>
          <w:p>
            <w:pPr>
              <w:spacing w:line="240" w:lineRule="exact"/>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3611.7653</w:t>
            </w:r>
          </w:p>
        </w:tc>
        <w:tc>
          <w:tcPr>
            <w:tcW w:w="972" w:type="dxa"/>
            <w:tcBorders>
              <w:top w:val="nil"/>
              <w:left w:val="nil"/>
              <w:bottom w:val="single" w:color="auto" w:sz="4" w:space="0"/>
              <w:right w:val="single" w:color="auto" w:sz="4" w:space="0"/>
            </w:tcBorders>
            <w:shd w:val="clear"/>
            <w:vAlign w:val="center"/>
          </w:tcPr>
          <w:p>
            <w:pPr>
              <w:spacing w:line="240" w:lineRule="exact"/>
              <w:jc w:val="right"/>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120.7</w:t>
            </w:r>
          </w:p>
        </w:tc>
        <w:tc>
          <w:tcPr>
            <w:tcW w:w="993" w:type="dxa"/>
            <w:tcBorders>
              <w:top w:val="nil"/>
              <w:left w:val="nil"/>
              <w:bottom w:val="single" w:color="auto" w:sz="4" w:space="0"/>
              <w:right w:val="single" w:color="auto" w:sz="4" w:space="0"/>
            </w:tcBorders>
            <w:shd w:val="clear"/>
            <w:vAlign w:val="center"/>
          </w:tcPr>
          <w:p>
            <w:pPr>
              <w:spacing w:line="240" w:lineRule="exact"/>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10</w:t>
            </w:r>
          </w:p>
        </w:tc>
        <w:tc>
          <w:tcPr>
            <w:tcW w:w="1091" w:type="dxa"/>
            <w:tcBorders>
              <w:top w:val="nil"/>
              <w:left w:val="nil"/>
              <w:bottom w:val="single" w:color="auto" w:sz="4" w:space="0"/>
              <w:right w:val="single" w:color="auto" w:sz="4" w:space="0"/>
            </w:tcBorders>
            <w:shd w:val="clear"/>
            <w:vAlign w:val="center"/>
          </w:tcPr>
          <w:p>
            <w:pPr>
              <w:spacing w:line="240" w:lineRule="exact"/>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5" w:hRule="atLeast"/>
        </w:trPr>
        <w:tc>
          <w:tcPr>
            <w:tcW w:w="548" w:type="dxa"/>
            <w:vMerge w:val="restart"/>
            <w:tcBorders>
              <w:top w:val="single" w:color="auto" w:sz="4" w:space="0"/>
              <w:left w:val="single" w:color="auto" w:sz="4" w:space="0"/>
              <w:bottom w:val="single" w:color="000000" w:sz="4" w:space="0"/>
              <w:right w:val="single" w:color="auto" w:sz="4" w:space="0"/>
            </w:tcBorders>
            <w:shd w:val="clear"/>
            <w:vAlign w:val="center"/>
          </w:tcPr>
          <w:p>
            <w:pPr>
              <w:spacing w:line="240" w:lineRule="exact"/>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当年绩效目标</w:t>
            </w:r>
          </w:p>
        </w:tc>
        <w:tc>
          <w:tcPr>
            <w:tcW w:w="2926" w:type="dxa"/>
            <w:gridSpan w:val="3"/>
            <w:tcBorders>
              <w:top w:val="single" w:color="auto" w:sz="4" w:space="0"/>
              <w:left w:val="nil"/>
              <w:bottom w:val="single" w:color="auto" w:sz="4" w:space="0"/>
              <w:right w:val="nil"/>
            </w:tcBorders>
            <w:shd w:val="clear"/>
            <w:vAlign w:val="center"/>
          </w:tcPr>
          <w:p>
            <w:pPr>
              <w:spacing w:line="240" w:lineRule="exact"/>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年初绩效目标</w:t>
            </w:r>
          </w:p>
        </w:tc>
        <w:tc>
          <w:tcPr>
            <w:tcW w:w="3550" w:type="dxa"/>
            <w:gridSpan w:val="4"/>
            <w:tcBorders>
              <w:top w:val="single" w:color="auto" w:sz="4" w:space="0"/>
              <w:left w:val="nil"/>
              <w:bottom w:val="single" w:color="auto" w:sz="4" w:space="0"/>
              <w:right w:val="single" w:color="000000" w:sz="4" w:space="0"/>
            </w:tcBorders>
            <w:shd w:val="clear"/>
            <w:vAlign w:val="center"/>
          </w:tcPr>
          <w:p>
            <w:pPr>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全年（调整）绩效目标</w:t>
            </w:r>
          </w:p>
        </w:tc>
        <w:tc>
          <w:tcPr>
            <w:tcW w:w="3056" w:type="dxa"/>
            <w:gridSpan w:val="3"/>
            <w:tcBorders>
              <w:top w:val="single" w:color="auto" w:sz="4" w:space="0"/>
              <w:left w:val="nil"/>
              <w:bottom w:val="single" w:color="auto" w:sz="4" w:space="0"/>
              <w:right w:val="single" w:color="000000" w:sz="4" w:space="0"/>
            </w:tcBorders>
            <w:shd w:val="clear"/>
            <w:vAlign w:val="center"/>
          </w:tcPr>
          <w:p>
            <w:pPr>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全年目标实际完成情况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920" w:hRule="atLeast"/>
        </w:trPr>
        <w:tc>
          <w:tcPr>
            <w:tcW w:w="548" w:type="dxa"/>
            <w:vMerge w:val="continue"/>
            <w:tcBorders>
              <w:top w:val="single" w:color="auto" w:sz="4" w:space="0"/>
              <w:left w:val="single" w:color="auto" w:sz="4" w:space="0"/>
              <w:bottom w:val="single" w:color="000000" w:sz="4" w:space="0"/>
              <w:right w:val="single" w:color="auto" w:sz="4" w:space="0"/>
            </w:tcBorders>
            <w:shd w:val="clear"/>
            <w:vAlign w:val="center"/>
          </w:tcPr>
          <w:p>
            <w:pPr>
              <w:rPr>
                <w:rFonts w:hint="default" w:ascii="Times New Roman" w:hAnsi="Times New Roman" w:cs="Times New Roman"/>
                <w:sz w:val="20"/>
                <w:szCs w:val="20"/>
              </w:rPr>
            </w:pPr>
          </w:p>
        </w:tc>
        <w:tc>
          <w:tcPr>
            <w:tcW w:w="2926" w:type="dxa"/>
            <w:gridSpan w:val="3"/>
            <w:tcBorders>
              <w:top w:val="single" w:color="auto" w:sz="4" w:space="0"/>
              <w:left w:val="nil"/>
              <w:bottom w:val="single" w:color="auto" w:sz="4" w:space="0"/>
              <w:right w:val="nil"/>
            </w:tcBorders>
            <w:shd w:val="clear"/>
            <w:vAlign w:val="center"/>
          </w:tcPr>
          <w:p>
            <w:pPr>
              <w:spacing w:line="240" w:lineRule="exact"/>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一是发放移民补助资金；二是实施大中型水库移民基础设施建设：开工建设移民美丽家园项目4个，均为人居环境提升项目，建设花台5375平方米，景观墙1669米，安装太阳能路灯373个，产业路硬化10.59公里；开工建设生产开发及配套设施项目1个，入户硬化0.925公里，新建挡土墙673方；小水库项目1个；三是开展监督检查项目1个。</w:t>
            </w:r>
          </w:p>
        </w:tc>
        <w:tc>
          <w:tcPr>
            <w:tcW w:w="3550" w:type="dxa"/>
            <w:gridSpan w:val="4"/>
            <w:tcBorders>
              <w:top w:val="single" w:color="auto" w:sz="4" w:space="0"/>
              <w:left w:val="nil"/>
              <w:bottom w:val="single" w:color="auto" w:sz="4" w:space="0"/>
              <w:right w:val="single" w:color="000000" w:sz="4" w:space="0"/>
            </w:tcBorders>
            <w:shd w:val="clear"/>
            <w:vAlign w:val="center"/>
          </w:tcPr>
          <w:p>
            <w:pPr>
              <w:spacing w:line="240" w:lineRule="exact"/>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一是实施大中型水库移民基础设施建设：开工建设移民美丽家园项目10个，均为人居环境提升项目，建设花台5375平方米，景观墙1669米，安装太阳能路灯373个，产业路硬化2336米，道路硬化10.59公里；开工建设生产开发及配套设施项目1个，入户硬化0.925公里，新建挡土墙673方；二是实施小水库项目1个；三是兑现移民直补人数1914人。</w:t>
            </w:r>
          </w:p>
        </w:tc>
        <w:tc>
          <w:tcPr>
            <w:tcW w:w="3056" w:type="dxa"/>
            <w:gridSpan w:val="3"/>
            <w:tcBorders>
              <w:top w:val="single" w:color="auto" w:sz="4" w:space="0"/>
              <w:left w:val="nil"/>
              <w:bottom w:val="single" w:color="auto" w:sz="4" w:space="0"/>
              <w:right w:val="single" w:color="000000" w:sz="4" w:space="0"/>
            </w:tcBorders>
            <w:shd w:val="clear"/>
            <w:vAlign w:val="center"/>
          </w:tcPr>
          <w:p>
            <w:pPr>
              <w:spacing w:line="240" w:lineRule="exact"/>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一是实施大中型水库移民基础设施建设：开工建设移民美丽家园项目10个，均为人居环境提升项目，建设花台5375平方米，景观墙1669米，安装太阳能路灯373个，产业路硬化2336米，道路硬化10.59公里；开工建设生产开发及配套设施项目1个，入户硬化0.925公里，新建挡土墙673方；二是实施小水库项目1个；三是兑现移民直补人数1914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548" w:type="dxa"/>
            <w:vMerge w:val="restart"/>
            <w:tcBorders>
              <w:top w:val="nil"/>
              <w:left w:val="single" w:color="auto" w:sz="4" w:space="0"/>
              <w:bottom w:val="nil"/>
              <w:right w:val="single" w:color="auto" w:sz="4" w:space="0"/>
            </w:tcBorders>
            <w:shd w:val="clear"/>
            <w:vAlign w:val="center"/>
          </w:tcPr>
          <w:p>
            <w:pPr>
              <w:spacing w:line="240" w:lineRule="exact"/>
              <w:jc w:val="center"/>
              <w:rPr>
                <w:rFonts w:hint="eastAsia" w:ascii="宋体" w:hAnsi="宋体" w:eastAsia="宋体" w:cs="宋体"/>
                <w:color w:val="000000"/>
                <w:kern w:val="0"/>
                <w:sz w:val="22"/>
                <w:szCs w:val="22"/>
                <w:bdr w:val="none" w:color="auto" w:sz="0" w:space="0"/>
              </w:rPr>
            </w:pPr>
            <w:r>
              <w:rPr>
                <w:rFonts w:hint="eastAsia" w:ascii="宋体" w:hAnsi="宋体" w:eastAsia="宋体" w:cs="宋体"/>
                <w:color w:val="000000"/>
                <w:kern w:val="0"/>
                <w:sz w:val="22"/>
                <w:szCs w:val="22"/>
                <w:bdr w:val="none" w:color="auto" w:sz="0" w:space="0"/>
              </w:rPr>
              <w:t>绩效指标</w:t>
            </w:r>
          </w:p>
        </w:tc>
        <w:tc>
          <w:tcPr>
            <w:tcW w:w="1737" w:type="dxa"/>
            <w:tcBorders>
              <w:top w:val="nil"/>
              <w:left w:val="nil"/>
              <w:bottom w:val="single" w:color="auto" w:sz="4" w:space="0"/>
              <w:right w:val="single" w:color="auto" w:sz="4" w:space="0"/>
            </w:tcBorders>
            <w:shd w:val="clear"/>
            <w:vAlign w:val="center"/>
          </w:tcPr>
          <w:p>
            <w:pPr>
              <w:spacing w:line="240" w:lineRule="exact"/>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指标名称</w:t>
            </w:r>
          </w:p>
        </w:tc>
        <w:tc>
          <w:tcPr>
            <w:tcW w:w="575" w:type="dxa"/>
            <w:tcBorders>
              <w:top w:val="nil"/>
              <w:left w:val="nil"/>
              <w:bottom w:val="single" w:color="auto" w:sz="4" w:space="0"/>
              <w:right w:val="single" w:color="auto" w:sz="4" w:space="0"/>
            </w:tcBorders>
            <w:shd w:val="clear"/>
            <w:vAlign w:val="center"/>
          </w:tcPr>
          <w:p>
            <w:pPr>
              <w:spacing w:line="240" w:lineRule="exact"/>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计量   单位</w:t>
            </w:r>
          </w:p>
        </w:tc>
        <w:tc>
          <w:tcPr>
            <w:tcW w:w="614" w:type="dxa"/>
            <w:tcBorders>
              <w:top w:val="nil"/>
              <w:left w:val="nil"/>
              <w:bottom w:val="single" w:color="auto" w:sz="4" w:space="0"/>
              <w:right w:val="single" w:color="auto" w:sz="4" w:space="0"/>
            </w:tcBorders>
            <w:shd w:val="clear"/>
            <w:vAlign w:val="center"/>
          </w:tcPr>
          <w:p>
            <w:pPr>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指标      性质</w:t>
            </w:r>
          </w:p>
        </w:tc>
        <w:tc>
          <w:tcPr>
            <w:tcW w:w="907" w:type="dxa"/>
            <w:tcBorders>
              <w:top w:val="nil"/>
              <w:left w:val="nil"/>
              <w:bottom w:val="single" w:color="auto" w:sz="4" w:space="0"/>
              <w:right w:val="single" w:color="auto" w:sz="4" w:space="0"/>
            </w:tcBorders>
            <w:shd w:val="clear"/>
            <w:vAlign w:val="center"/>
          </w:tcPr>
          <w:p>
            <w:pPr>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年初</w:t>
            </w:r>
            <w:r>
              <w:rPr>
                <w:rFonts w:hint="eastAsia" w:ascii="宋体" w:hAnsi="宋体" w:eastAsia="宋体" w:cs="宋体"/>
                <w:color w:val="000000"/>
                <w:kern w:val="0"/>
                <w:sz w:val="16"/>
                <w:szCs w:val="16"/>
                <w:bdr w:val="none" w:color="auto" w:sz="0" w:space="0"/>
              </w:rPr>
              <w:br w:type="textWrapping"/>
            </w:r>
            <w:r>
              <w:rPr>
                <w:rFonts w:hint="eastAsia" w:ascii="宋体" w:hAnsi="宋体" w:eastAsia="宋体" w:cs="宋体"/>
                <w:color w:val="000000"/>
                <w:kern w:val="0"/>
                <w:sz w:val="16"/>
                <w:szCs w:val="16"/>
                <w:bdr w:val="none" w:color="auto" w:sz="0" w:space="0"/>
              </w:rPr>
              <w:t>指标值</w:t>
            </w:r>
          </w:p>
        </w:tc>
        <w:tc>
          <w:tcPr>
            <w:tcW w:w="989" w:type="dxa"/>
            <w:tcBorders>
              <w:top w:val="nil"/>
              <w:left w:val="nil"/>
              <w:bottom w:val="single" w:color="auto" w:sz="4" w:space="0"/>
              <w:right w:val="single" w:color="auto" w:sz="4" w:space="0"/>
            </w:tcBorders>
            <w:shd w:val="clear"/>
            <w:vAlign w:val="center"/>
          </w:tcPr>
          <w:p>
            <w:pPr>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调整</w:t>
            </w:r>
            <w:r>
              <w:rPr>
                <w:rFonts w:hint="eastAsia" w:ascii="宋体" w:hAnsi="宋体" w:eastAsia="宋体" w:cs="宋体"/>
                <w:color w:val="000000"/>
                <w:kern w:val="0"/>
                <w:sz w:val="16"/>
                <w:szCs w:val="16"/>
                <w:bdr w:val="none" w:color="auto" w:sz="0" w:space="0"/>
              </w:rPr>
              <w:br w:type="textWrapping"/>
            </w:r>
            <w:r>
              <w:rPr>
                <w:rFonts w:hint="eastAsia" w:ascii="宋体" w:hAnsi="宋体" w:eastAsia="宋体" w:cs="宋体"/>
                <w:color w:val="000000"/>
                <w:kern w:val="0"/>
                <w:sz w:val="16"/>
                <w:szCs w:val="16"/>
                <w:bdr w:val="none" w:color="auto" w:sz="0" w:space="0"/>
              </w:rPr>
              <w:t>指标值</w:t>
            </w:r>
          </w:p>
        </w:tc>
        <w:tc>
          <w:tcPr>
            <w:tcW w:w="800" w:type="dxa"/>
            <w:tcBorders>
              <w:top w:val="nil"/>
              <w:left w:val="nil"/>
              <w:bottom w:val="single" w:color="auto" w:sz="4" w:space="0"/>
              <w:right w:val="single" w:color="auto" w:sz="4" w:space="0"/>
            </w:tcBorders>
            <w:shd w:val="clear"/>
            <w:vAlign w:val="center"/>
          </w:tcPr>
          <w:p>
            <w:pPr>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全年</w:t>
            </w:r>
            <w:r>
              <w:rPr>
                <w:rFonts w:hint="eastAsia" w:ascii="宋体" w:hAnsi="宋体" w:eastAsia="宋体" w:cs="宋体"/>
                <w:color w:val="000000"/>
                <w:kern w:val="0"/>
                <w:sz w:val="16"/>
                <w:szCs w:val="16"/>
                <w:bdr w:val="none" w:color="auto" w:sz="0" w:space="0"/>
              </w:rPr>
              <w:br w:type="textWrapping"/>
            </w:r>
            <w:r>
              <w:rPr>
                <w:rFonts w:hint="eastAsia" w:ascii="宋体" w:hAnsi="宋体" w:eastAsia="宋体" w:cs="宋体"/>
                <w:color w:val="000000"/>
                <w:kern w:val="0"/>
                <w:sz w:val="16"/>
                <w:szCs w:val="16"/>
                <w:bdr w:val="none" w:color="auto" w:sz="0" w:space="0"/>
              </w:rPr>
              <w:t>完成值</w:t>
            </w:r>
          </w:p>
        </w:tc>
        <w:tc>
          <w:tcPr>
            <w:tcW w:w="854" w:type="dxa"/>
            <w:tcBorders>
              <w:top w:val="nil"/>
              <w:left w:val="nil"/>
              <w:bottom w:val="single" w:color="auto" w:sz="4" w:space="0"/>
              <w:right w:val="single" w:color="auto" w:sz="4" w:space="0"/>
            </w:tcBorders>
            <w:shd w:val="clear"/>
            <w:vAlign w:val="center"/>
          </w:tcPr>
          <w:p>
            <w:pPr>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得分系数（%）</w:t>
            </w:r>
          </w:p>
        </w:tc>
        <w:tc>
          <w:tcPr>
            <w:tcW w:w="972" w:type="dxa"/>
            <w:tcBorders>
              <w:top w:val="nil"/>
              <w:left w:val="nil"/>
              <w:bottom w:val="single" w:color="auto" w:sz="4" w:space="0"/>
              <w:right w:val="single" w:color="auto" w:sz="4" w:space="0"/>
            </w:tcBorders>
            <w:shd w:val="clear"/>
            <w:vAlign w:val="center"/>
          </w:tcPr>
          <w:p>
            <w:pPr>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指标权重</w:t>
            </w:r>
            <w:r>
              <w:rPr>
                <w:rFonts w:hint="eastAsia" w:ascii="宋体" w:hAnsi="宋体" w:eastAsia="宋体" w:cs="宋体"/>
                <w:color w:val="000000"/>
                <w:kern w:val="0"/>
                <w:sz w:val="16"/>
                <w:szCs w:val="16"/>
                <w:bdr w:val="none" w:color="auto" w:sz="0" w:space="0"/>
              </w:rPr>
              <w:br w:type="textWrapping"/>
            </w:r>
            <w:r>
              <w:rPr>
                <w:rFonts w:hint="eastAsia" w:ascii="宋体" w:hAnsi="宋体" w:eastAsia="宋体" w:cs="宋体"/>
                <w:color w:val="000000"/>
                <w:kern w:val="0"/>
                <w:sz w:val="16"/>
                <w:szCs w:val="16"/>
                <w:bdr w:val="none" w:color="auto" w:sz="0" w:space="0"/>
              </w:rPr>
              <w:t>（分)</w:t>
            </w:r>
          </w:p>
        </w:tc>
        <w:tc>
          <w:tcPr>
            <w:tcW w:w="993" w:type="dxa"/>
            <w:tcBorders>
              <w:top w:val="nil"/>
              <w:left w:val="nil"/>
              <w:bottom w:val="single" w:color="auto" w:sz="4" w:space="0"/>
              <w:right w:val="single" w:color="auto" w:sz="4" w:space="0"/>
            </w:tcBorders>
            <w:shd w:val="clear"/>
            <w:vAlign w:val="center"/>
          </w:tcPr>
          <w:p>
            <w:pPr>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指标得分（分）</w:t>
            </w:r>
          </w:p>
        </w:tc>
        <w:tc>
          <w:tcPr>
            <w:tcW w:w="1091" w:type="dxa"/>
            <w:tcBorders>
              <w:top w:val="nil"/>
              <w:left w:val="nil"/>
              <w:bottom w:val="single" w:color="auto" w:sz="4" w:space="0"/>
              <w:right w:val="single" w:color="auto" w:sz="4" w:space="0"/>
            </w:tcBorders>
            <w:shd w:val="clear"/>
            <w:vAlign w:val="center"/>
          </w:tcPr>
          <w:p>
            <w:pPr>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是否</w:t>
            </w:r>
            <w:r>
              <w:rPr>
                <w:rFonts w:hint="eastAsia" w:ascii="宋体" w:hAnsi="宋体" w:eastAsia="宋体" w:cs="宋体"/>
                <w:color w:val="000000"/>
                <w:kern w:val="0"/>
                <w:sz w:val="16"/>
                <w:szCs w:val="16"/>
                <w:bdr w:val="none" w:color="auto" w:sz="0" w:space="0"/>
              </w:rPr>
              <w:br w:type="textWrapping"/>
            </w:r>
            <w:r>
              <w:rPr>
                <w:rFonts w:hint="eastAsia" w:ascii="宋体" w:hAnsi="宋体" w:eastAsia="宋体" w:cs="宋体"/>
                <w:color w:val="000000"/>
                <w:kern w:val="0"/>
                <w:sz w:val="16"/>
                <w:szCs w:val="16"/>
                <w:bdr w:val="none" w:color="auto" w:sz="0" w:space="0"/>
              </w:rPr>
              <w:t>核心指标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47" w:hRule="atLeast"/>
        </w:trPr>
        <w:tc>
          <w:tcPr>
            <w:tcW w:w="548" w:type="dxa"/>
            <w:vMerge w:val="continue"/>
            <w:tcBorders>
              <w:top w:val="nil"/>
              <w:left w:val="single" w:color="auto" w:sz="4" w:space="0"/>
              <w:bottom w:val="nil"/>
              <w:right w:val="single" w:color="auto" w:sz="4" w:space="0"/>
            </w:tcBorders>
            <w:shd w:val="clear"/>
            <w:vAlign w:val="center"/>
          </w:tcPr>
          <w:p>
            <w:pPr>
              <w:rPr>
                <w:rFonts w:hint="default" w:ascii="Times New Roman" w:hAnsi="Times New Roman" w:cs="Times New Roman"/>
                <w:sz w:val="20"/>
                <w:szCs w:val="20"/>
              </w:rPr>
            </w:pPr>
          </w:p>
        </w:tc>
        <w:tc>
          <w:tcPr>
            <w:tcW w:w="1737" w:type="dxa"/>
            <w:tcBorders>
              <w:top w:val="nil"/>
              <w:left w:val="nil"/>
              <w:bottom w:val="single" w:color="auto" w:sz="4" w:space="0"/>
              <w:right w:val="single" w:color="auto" w:sz="4" w:space="0"/>
            </w:tcBorders>
            <w:shd w:val="clear"/>
            <w:vAlign w:val="center"/>
          </w:tcPr>
          <w:p>
            <w:pPr>
              <w:spacing w:line="240" w:lineRule="exact"/>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监督检查项目</w:t>
            </w:r>
          </w:p>
        </w:tc>
        <w:tc>
          <w:tcPr>
            <w:tcW w:w="575" w:type="dxa"/>
            <w:tcBorders>
              <w:top w:val="nil"/>
              <w:left w:val="nil"/>
              <w:bottom w:val="single" w:color="auto" w:sz="4" w:space="0"/>
              <w:right w:val="single" w:color="auto" w:sz="4" w:space="0"/>
            </w:tcBorders>
            <w:shd w:val="clear"/>
            <w:noWrap/>
            <w:vAlign w:val="center"/>
          </w:tcPr>
          <w:p>
            <w:pPr>
              <w:spacing w:line="240" w:lineRule="exact"/>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个</w:t>
            </w:r>
          </w:p>
        </w:tc>
        <w:tc>
          <w:tcPr>
            <w:tcW w:w="614" w:type="dxa"/>
            <w:tcBorders>
              <w:top w:val="nil"/>
              <w:left w:val="nil"/>
              <w:bottom w:val="single" w:color="auto" w:sz="4" w:space="0"/>
              <w:right w:val="single" w:color="auto" w:sz="4" w:space="0"/>
            </w:tcBorders>
            <w:shd w:val="clear"/>
            <w:noWrap/>
            <w:vAlign w:val="center"/>
          </w:tcPr>
          <w:p>
            <w:pPr>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w:t>
            </w:r>
          </w:p>
        </w:tc>
        <w:tc>
          <w:tcPr>
            <w:tcW w:w="907" w:type="dxa"/>
            <w:tcBorders>
              <w:top w:val="nil"/>
              <w:left w:val="nil"/>
              <w:bottom w:val="single" w:color="auto" w:sz="4" w:space="0"/>
              <w:right w:val="single" w:color="auto" w:sz="4" w:space="0"/>
            </w:tcBorders>
            <w:shd w:val="clear"/>
            <w:vAlign w:val="center"/>
          </w:tcPr>
          <w:p>
            <w:pPr>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1</w:t>
            </w:r>
          </w:p>
        </w:tc>
        <w:tc>
          <w:tcPr>
            <w:tcW w:w="989" w:type="dxa"/>
            <w:tcBorders>
              <w:top w:val="nil"/>
              <w:left w:val="nil"/>
              <w:bottom w:val="single" w:color="auto" w:sz="4" w:space="0"/>
              <w:right w:val="single" w:color="auto" w:sz="4" w:space="0"/>
            </w:tcBorders>
            <w:shd w:val="clear"/>
            <w:vAlign w:val="center"/>
          </w:tcPr>
          <w:p>
            <w:pPr>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0</w:t>
            </w:r>
          </w:p>
        </w:tc>
        <w:tc>
          <w:tcPr>
            <w:tcW w:w="800" w:type="dxa"/>
            <w:tcBorders>
              <w:top w:val="nil"/>
              <w:left w:val="nil"/>
              <w:bottom w:val="single" w:color="auto" w:sz="4" w:space="0"/>
              <w:right w:val="single" w:color="auto" w:sz="4" w:space="0"/>
            </w:tcBorders>
            <w:shd w:val="clear"/>
            <w:vAlign w:val="center"/>
          </w:tcPr>
          <w:p>
            <w:pPr>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0</w:t>
            </w:r>
          </w:p>
        </w:tc>
        <w:tc>
          <w:tcPr>
            <w:tcW w:w="854" w:type="dxa"/>
            <w:tcBorders>
              <w:top w:val="nil"/>
              <w:left w:val="nil"/>
              <w:bottom w:val="single" w:color="auto" w:sz="4" w:space="0"/>
              <w:right w:val="single" w:color="auto" w:sz="4" w:space="0"/>
            </w:tcBorders>
            <w:shd w:val="clear"/>
            <w:vAlign w:val="center"/>
          </w:tcPr>
          <w:p>
            <w:pPr>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100</w:t>
            </w:r>
          </w:p>
        </w:tc>
        <w:tc>
          <w:tcPr>
            <w:tcW w:w="972" w:type="dxa"/>
            <w:tcBorders>
              <w:top w:val="nil"/>
              <w:left w:val="nil"/>
              <w:bottom w:val="single" w:color="auto" w:sz="4" w:space="0"/>
              <w:right w:val="single" w:color="auto" w:sz="4" w:space="0"/>
            </w:tcBorders>
            <w:shd w:val="clear"/>
            <w:vAlign w:val="center"/>
          </w:tcPr>
          <w:p>
            <w:pPr>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1</w:t>
            </w:r>
          </w:p>
        </w:tc>
        <w:tc>
          <w:tcPr>
            <w:tcW w:w="993" w:type="dxa"/>
            <w:tcBorders>
              <w:top w:val="nil"/>
              <w:left w:val="nil"/>
              <w:bottom w:val="single" w:color="auto" w:sz="4" w:space="0"/>
              <w:right w:val="single" w:color="auto" w:sz="4" w:space="0"/>
            </w:tcBorders>
            <w:shd w:val="clear"/>
            <w:vAlign w:val="center"/>
          </w:tcPr>
          <w:p>
            <w:pPr>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　</w:t>
            </w:r>
          </w:p>
        </w:tc>
        <w:tc>
          <w:tcPr>
            <w:tcW w:w="1091" w:type="dxa"/>
            <w:tcBorders>
              <w:top w:val="nil"/>
              <w:left w:val="nil"/>
              <w:bottom w:val="single" w:color="auto" w:sz="4" w:space="0"/>
              <w:right w:val="single" w:color="auto" w:sz="4" w:space="0"/>
            </w:tcBorders>
            <w:shd w:val="clear"/>
            <w:vAlign w:val="center"/>
          </w:tcPr>
          <w:p>
            <w:pPr>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548" w:type="dxa"/>
            <w:vMerge w:val="continue"/>
            <w:tcBorders>
              <w:top w:val="nil"/>
              <w:left w:val="single" w:color="auto" w:sz="4" w:space="0"/>
              <w:bottom w:val="nil"/>
              <w:right w:val="single" w:color="auto" w:sz="4" w:space="0"/>
            </w:tcBorders>
            <w:shd w:val="clear"/>
            <w:vAlign w:val="center"/>
          </w:tcPr>
          <w:p>
            <w:pPr>
              <w:rPr>
                <w:rFonts w:hint="default" w:ascii="Times New Roman" w:hAnsi="Times New Roman" w:cs="Times New Roman"/>
                <w:sz w:val="20"/>
                <w:szCs w:val="20"/>
              </w:rPr>
            </w:pPr>
          </w:p>
        </w:tc>
        <w:tc>
          <w:tcPr>
            <w:tcW w:w="1737" w:type="dxa"/>
            <w:tcBorders>
              <w:top w:val="nil"/>
              <w:left w:val="nil"/>
              <w:bottom w:val="single" w:color="auto" w:sz="4" w:space="0"/>
              <w:right w:val="single" w:color="auto" w:sz="4" w:space="0"/>
            </w:tcBorders>
            <w:shd w:val="clear"/>
            <w:vAlign w:val="center"/>
          </w:tcPr>
          <w:p>
            <w:pPr>
              <w:spacing w:line="240" w:lineRule="exact"/>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生产开发及配套设施项目</w:t>
            </w:r>
          </w:p>
        </w:tc>
        <w:tc>
          <w:tcPr>
            <w:tcW w:w="575" w:type="dxa"/>
            <w:tcBorders>
              <w:top w:val="nil"/>
              <w:left w:val="nil"/>
              <w:bottom w:val="single" w:color="auto" w:sz="4" w:space="0"/>
              <w:right w:val="single" w:color="auto" w:sz="4" w:space="0"/>
            </w:tcBorders>
            <w:shd w:val="clear"/>
            <w:noWrap/>
            <w:vAlign w:val="center"/>
          </w:tcPr>
          <w:p>
            <w:pPr>
              <w:spacing w:line="240" w:lineRule="exact"/>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个</w:t>
            </w:r>
          </w:p>
        </w:tc>
        <w:tc>
          <w:tcPr>
            <w:tcW w:w="614" w:type="dxa"/>
            <w:tcBorders>
              <w:top w:val="nil"/>
              <w:left w:val="nil"/>
              <w:bottom w:val="single" w:color="auto" w:sz="4" w:space="0"/>
              <w:right w:val="single" w:color="auto" w:sz="4" w:space="0"/>
            </w:tcBorders>
            <w:shd w:val="clear"/>
            <w:noWrap/>
            <w:vAlign w:val="center"/>
          </w:tcPr>
          <w:p>
            <w:pPr>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w:t>
            </w:r>
          </w:p>
        </w:tc>
        <w:tc>
          <w:tcPr>
            <w:tcW w:w="907" w:type="dxa"/>
            <w:tcBorders>
              <w:top w:val="nil"/>
              <w:left w:val="nil"/>
              <w:bottom w:val="single" w:color="auto" w:sz="4" w:space="0"/>
              <w:right w:val="single" w:color="auto" w:sz="4" w:space="0"/>
            </w:tcBorders>
            <w:shd w:val="clear"/>
            <w:vAlign w:val="center"/>
          </w:tcPr>
          <w:p>
            <w:pPr>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3</w:t>
            </w:r>
          </w:p>
        </w:tc>
        <w:tc>
          <w:tcPr>
            <w:tcW w:w="989" w:type="dxa"/>
            <w:tcBorders>
              <w:top w:val="nil"/>
              <w:left w:val="nil"/>
              <w:bottom w:val="single" w:color="auto" w:sz="4" w:space="0"/>
              <w:right w:val="single" w:color="auto" w:sz="4" w:space="0"/>
            </w:tcBorders>
            <w:shd w:val="clear"/>
            <w:vAlign w:val="center"/>
          </w:tcPr>
          <w:p>
            <w:pPr>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3</w:t>
            </w:r>
          </w:p>
        </w:tc>
        <w:tc>
          <w:tcPr>
            <w:tcW w:w="800" w:type="dxa"/>
            <w:tcBorders>
              <w:top w:val="nil"/>
              <w:left w:val="nil"/>
              <w:bottom w:val="single" w:color="auto" w:sz="4" w:space="0"/>
              <w:right w:val="single" w:color="auto" w:sz="4" w:space="0"/>
            </w:tcBorders>
            <w:shd w:val="clear"/>
            <w:vAlign w:val="center"/>
          </w:tcPr>
          <w:p>
            <w:pPr>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3</w:t>
            </w:r>
          </w:p>
        </w:tc>
        <w:tc>
          <w:tcPr>
            <w:tcW w:w="854" w:type="dxa"/>
            <w:tcBorders>
              <w:top w:val="nil"/>
              <w:left w:val="nil"/>
              <w:bottom w:val="single" w:color="auto" w:sz="4" w:space="0"/>
              <w:right w:val="single" w:color="auto" w:sz="4" w:space="0"/>
            </w:tcBorders>
            <w:shd w:val="clear"/>
            <w:vAlign w:val="center"/>
          </w:tcPr>
          <w:p>
            <w:pPr>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100</w:t>
            </w:r>
          </w:p>
        </w:tc>
        <w:tc>
          <w:tcPr>
            <w:tcW w:w="972" w:type="dxa"/>
            <w:tcBorders>
              <w:top w:val="nil"/>
              <w:left w:val="nil"/>
              <w:bottom w:val="single" w:color="auto" w:sz="4" w:space="0"/>
              <w:right w:val="single" w:color="auto" w:sz="4" w:space="0"/>
            </w:tcBorders>
            <w:shd w:val="clear"/>
            <w:vAlign w:val="center"/>
          </w:tcPr>
          <w:p>
            <w:pPr>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5</w:t>
            </w:r>
          </w:p>
        </w:tc>
        <w:tc>
          <w:tcPr>
            <w:tcW w:w="993" w:type="dxa"/>
            <w:tcBorders>
              <w:top w:val="nil"/>
              <w:left w:val="nil"/>
              <w:bottom w:val="single" w:color="auto" w:sz="4" w:space="0"/>
              <w:right w:val="single" w:color="auto" w:sz="4" w:space="0"/>
            </w:tcBorders>
            <w:shd w:val="clear"/>
            <w:vAlign w:val="center"/>
          </w:tcPr>
          <w:p>
            <w:pPr>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　</w:t>
            </w:r>
          </w:p>
        </w:tc>
        <w:tc>
          <w:tcPr>
            <w:tcW w:w="1091" w:type="dxa"/>
            <w:tcBorders>
              <w:top w:val="nil"/>
              <w:left w:val="nil"/>
              <w:bottom w:val="single" w:color="auto" w:sz="4" w:space="0"/>
              <w:right w:val="single" w:color="auto" w:sz="4" w:space="0"/>
            </w:tcBorders>
            <w:shd w:val="clear"/>
            <w:vAlign w:val="center"/>
          </w:tcPr>
          <w:p>
            <w:pPr>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59" w:hRule="atLeast"/>
        </w:trPr>
        <w:tc>
          <w:tcPr>
            <w:tcW w:w="548" w:type="dxa"/>
            <w:vMerge w:val="continue"/>
            <w:tcBorders>
              <w:top w:val="nil"/>
              <w:left w:val="single" w:color="auto" w:sz="4" w:space="0"/>
              <w:bottom w:val="nil"/>
              <w:right w:val="single" w:color="auto" w:sz="4" w:space="0"/>
            </w:tcBorders>
            <w:shd w:val="clear"/>
            <w:vAlign w:val="center"/>
          </w:tcPr>
          <w:p>
            <w:pPr>
              <w:rPr>
                <w:rFonts w:hint="default" w:ascii="Times New Roman" w:hAnsi="Times New Roman" w:cs="Times New Roman"/>
                <w:sz w:val="20"/>
                <w:szCs w:val="20"/>
              </w:rPr>
            </w:pPr>
          </w:p>
        </w:tc>
        <w:tc>
          <w:tcPr>
            <w:tcW w:w="1737" w:type="dxa"/>
            <w:tcBorders>
              <w:top w:val="nil"/>
              <w:left w:val="nil"/>
              <w:bottom w:val="single" w:color="auto" w:sz="4" w:space="0"/>
              <w:right w:val="single" w:color="auto" w:sz="4" w:space="0"/>
            </w:tcBorders>
            <w:shd w:val="clear"/>
            <w:vAlign w:val="center"/>
          </w:tcPr>
          <w:p>
            <w:pPr>
              <w:spacing w:line="240" w:lineRule="exact"/>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移民美丽家园项目</w:t>
            </w:r>
          </w:p>
        </w:tc>
        <w:tc>
          <w:tcPr>
            <w:tcW w:w="575" w:type="dxa"/>
            <w:tcBorders>
              <w:top w:val="nil"/>
              <w:left w:val="nil"/>
              <w:bottom w:val="single" w:color="auto" w:sz="4" w:space="0"/>
              <w:right w:val="single" w:color="auto" w:sz="4" w:space="0"/>
            </w:tcBorders>
            <w:shd w:val="clear"/>
            <w:noWrap/>
            <w:vAlign w:val="center"/>
          </w:tcPr>
          <w:p>
            <w:pPr>
              <w:spacing w:line="240" w:lineRule="exact"/>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个</w:t>
            </w:r>
          </w:p>
        </w:tc>
        <w:tc>
          <w:tcPr>
            <w:tcW w:w="614" w:type="dxa"/>
            <w:tcBorders>
              <w:top w:val="nil"/>
              <w:left w:val="nil"/>
              <w:bottom w:val="single" w:color="auto" w:sz="4" w:space="0"/>
              <w:right w:val="single" w:color="auto" w:sz="4" w:space="0"/>
            </w:tcBorders>
            <w:shd w:val="clear"/>
            <w:noWrap/>
            <w:vAlign w:val="center"/>
          </w:tcPr>
          <w:p>
            <w:pPr>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w:t>
            </w:r>
          </w:p>
        </w:tc>
        <w:tc>
          <w:tcPr>
            <w:tcW w:w="907" w:type="dxa"/>
            <w:tcBorders>
              <w:top w:val="nil"/>
              <w:left w:val="nil"/>
              <w:bottom w:val="single" w:color="auto" w:sz="4" w:space="0"/>
              <w:right w:val="single" w:color="auto" w:sz="4" w:space="0"/>
            </w:tcBorders>
            <w:shd w:val="clear"/>
            <w:vAlign w:val="center"/>
          </w:tcPr>
          <w:p>
            <w:pPr>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10</w:t>
            </w:r>
          </w:p>
        </w:tc>
        <w:tc>
          <w:tcPr>
            <w:tcW w:w="989" w:type="dxa"/>
            <w:tcBorders>
              <w:top w:val="nil"/>
              <w:left w:val="nil"/>
              <w:bottom w:val="single" w:color="auto" w:sz="4" w:space="0"/>
              <w:right w:val="single" w:color="auto" w:sz="4" w:space="0"/>
            </w:tcBorders>
            <w:shd w:val="clear"/>
            <w:vAlign w:val="center"/>
          </w:tcPr>
          <w:p>
            <w:pPr>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10</w:t>
            </w:r>
          </w:p>
        </w:tc>
        <w:tc>
          <w:tcPr>
            <w:tcW w:w="800" w:type="dxa"/>
            <w:tcBorders>
              <w:top w:val="nil"/>
              <w:left w:val="nil"/>
              <w:bottom w:val="single" w:color="auto" w:sz="4" w:space="0"/>
              <w:right w:val="single" w:color="auto" w:sz="4" w:space="0"/>
            </w:tcBorders>
            <w:shd w:val="clear"/>
            <w:vAlign w:val="center"/>
          </w:tcPr>
          <w:p>
            <w:pPr>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10</w:t>
            </w:r>
          </w:p>
        </w:tc>
        <w:tc>
          <w:tcPr>
            <w:tcW w:w="854" w:type="dxa"/>
            <w:tcBorders>
              <w:top w:val="nil"/>
              <w:left w:val="nil"/>
              <w:bottom w:val="single" w:color="auto" w:sz="4" w:space="0"/>
              <w:right w:val="single" w:color="auto" w:sz="4" w:space="0"/>
            </w:tcBorders>
            <w:shd w:val="clear"/>
            <w:vAlign w:val="center"/>
          </w:tcPr>
          <w:p>
            <w:pPr>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100</w:t>
            </w:r>
          </w:p>
        </w:tc>
        <w:tc>
          <w:tcPr>
            <w:tcW w:w="972" w:type="dxa"/>
            <w:tcBorders>
              <w:top w:val="nil"/>
              <w:left w:val="nil"/>
              <w:bottom w:val="single" w:color="auto" w:sz="4" w:space="0"/>
              <w:right w:val="single" w:color="auto" w:sz="4" w:space="0"/>
            </w:tcBorders>
            <w:shd w:val="clear"/>
            <w:vAlign w:val="center"/>
          </w:tcPr>
          <w:p>
            <w:pPr>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15</w:t>
            </w:r>
          </w:p>
        </w:tc>
        <w:tc>
          <w:tcPr>
            <w:tcW w:w="993" w:type="dxa"/>
            <w:tcBorders>
              <w:top w:val="nil"/>
              <w:left w:val="nil"/>
              <w:bottom w:val="single" w:color="auto" w:sz="4" w:space="0"/>
              <w:right w:val="single" w:color="auto" w:sz="4" w:space="0"/>
            </w:tcBorders>
            <w:shd w:val="clear"/>
            <w:vAlign w:val="center"/>
          </w:tcPr>
          <w:p>
            <w:pPr>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　</w:t>
            </w:r>
          </w:p>
        </w:tc>
        <w:tc>
          <w:tcPr>
            <w:tcW w:w="1091" w:type="dxa"/>
            <w:tcBorders>
              <w:top w:val="nil"/>
              <w:left w:val="nil"/>
              <w:bottom w:val="single" w:color="auto" w:sz="4" w:space="0"/>
              <w:right w:val="single" w:color="auto" w:sz="4" w:space="0"/>
            </w:tcBorders>
            <w:shd w:val="clear"/>
            <w:vAlign w:val="center"/>
          </w:tcPr>
          <w:p>
            <w:pPr>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9" w:hRule="atLeast"/>
        </w:trPr>
        <w:tc>
          <w:tcPr>
            <w:tcW w:w="548" w:type="dxa"/>
            <w:vMerge w:val="continue"/>
            <w:tcBorders>
              <w:top w:val="nil"/>
              <w:left w:val="single" w:color="auto" w:sz="4" w:space="0"/>
              <w:bottom w:val="nil"/>
              <w:right w:val="single" w:color="auto" w:sz="4" w:space="0"/>
            </w:tcBorders>
            <w:shd w:val="clear"/>
            <w:vAlign w:val="center"/>
          </w:tcPr>
          <w:p>
            <w:pPr>
              <w:rPr>
                <w:rFonts w:hint="default" w:ascii="Times New Roman" w:hAnsi="Times New Roman" w:cs="Times New Roman"/>
                <w:sz w:val="20"/>
                <w:szCs w:val="20"/>
              </w:rPr>
            </w:pPr>
          </w:p>
        </w:tc>
        <w:tc>
          <w:tcPr>
            <w:tcW w:w="1737" w:type="dxa"/>
            <w:tcBorders>
              <w:top w:val="nil"/>
              <w:left w:val="nil"/>
              <w:bottom w:val="single" w:color="auto" w:sz="4" w:space="0"/>
              <w:right w:val="single" w:color="auto" w:sz="4" w:space="0"/>
            </w:tcBorders>
            <w:shd w:val="clear"/>
            <w:vAlign w:val="center"/>
          </w:tcPr>
          <w:p>
            <w:pPr>
              <w:spacing w:line="240" w:lineRule="exact"/>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移民直补受益移民数</w:t>
            </w:r>
          </w:p>
        </w:tc>
        <w:tc>
          <w:tcPr>
            <w:tcW w:w="575" w:type="dxa"/>
            <w:tcBorders>
              <w:top w:val="nil"/>
              <w:left w:val="nil"/>
              <w:bottom w:val="single" w:color="auto" w:sz="4" w:space="0"/>
              <w:right w:val="single" w:color="auto" w:sz="4" w:space="0"/>
            </w:tcBorders>
            <w:shd w:val="clear"/>
            <w:noWrap/>
            <w:vAlign w:val="center"/>
          </w:tcPr>
          <w:p>
            <w:pPr>
              <w:spacing w:line="240" w:lineRule="exact"/>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人</w:t>
            </w:r>
          </w:p>
        </w:tc>
        <w:tc>
          <w:tcPr>
            <w:tcW w:w="614" w:type="dxa"/>
            <w:tcBorders>
              <w:top w:val="nil"/>
              <w:left w:val="nil"/>
              <w:bottom w:val="single" w:color="auto" w:sz="4" w:space="0"/>
              <w:right w:val="single" w:color="auto" w:sz="4" w:space="0"/>
            </w:tcBorders>
            <w:shd w:val="clear"/>
            <w:noWrap/>
            <w:vAlign w:val="center"/>
          </w:tcPr>
          <w:p>
            <w:pPr>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w:t>
            </w:r>
          </w:p>
        </w:tc>
        <w:tc>
          <w:tcPr>
            <w:tcW w:w="907" w:type="dxa"/>
            <w:tcBorders>
              <w:top w:val="nil"/>
              <w:left w:val="nil"/>
              <w:bottom w:val="single" w:color="auto" w:sz="4" w:space="0"/>
              <w:right w:val="single" w:color="auto" w:sz="4" w:space="0"/>
            </w:tcBorders>
            <w:shd w:val="clear"/>
            <w:vAlign w:val="center"/>
          </w:tcPr>
          <w:p>
            <w:pPr>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1914</w:t>
            </w:r>
          </w:p>
        </w:tc>
        <w:tc>
          <w:tcPr>
            <w:tcW w:w="989" w:type="dxa"/>
            <w:tcBorders>
              <w:top w:val="nil"/>
              <w:left w:val="nil"/>
              <w:bottom w:val="single" w:color="auto" w:sz="4" w:space="0"/>
              <w:right w:val="single" w:color="auto" w:sz="4" w:space="0"/>
            </w:tcBorders>
            <w:shd w:val="clear"/>
            <w:vAlign w:val="center"/>
          </w:tcPr>
          <w:p>
            <w:pPr>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1914</w:t>
            </w:r>
          </w:p>
        </w:tc>
        <w:tc>
          <w:tcPr>
            <w:tcW w:w="800" w:type="dxa"/>
            <w:tcBorders>
              <w:top w:val="nil"/>
              <w:left w:val="nil"/>
              <w:bottom w:val="single" w:color="auto" w:sz="4" w:space="0"/>
              <w:right w:val="single" w:color="auto" w:sz="4" w:space="0"/>
            </w:tcBorders>
            <w:shd w:val="clear"/>
            <w:vAlign w:val="center"/>
          </w:tcPr>
          <w:p>
            <w:pPr>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1914</w:t>
            </w:r>
          </w:p>
        </w:tc>
        <w:tc>
          <w:tcPr>
            <w:tcW w:w="854" w:type="dxa"/>
            <w:tcBorders>
              <w:top w:val="nil"/>
              <w:left w:val="nil"/>
              <w:bottom w:val="single" w:color="auto" w:sz="4" w:space="0"/>
              <w:right w:val="single" w:color="auto" w:sz="4" w:space="0"/>
            </w:tcBorders>
            <w:shd w:val="clear"/>
            <w:vAlign w:val="center"/>
          </w:tcPr>
          <w:p>
            <w:pPr>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100</w:t>
            </w:r>
          </w:p>
        </w:tc>
        <w:tc>
          <w:tcPr>
            <w:tcW w:w="972" w:type="dxa"/>
            <w:tcBorders>
              <w:top w:val="nil"/>
              <w:left w:val="nil"/>
              <w:bottom w:val="single" w:color="auto" w:sz="4" w:space="0"/>
              <w:right w:val="single" w:color="auto" w:sz="4" w:space="0"/>
            </w:tcBorders>
            <w:shd w:val="clear"/>
            <w:vAlign w:val="center"/>
          </w:tcPr>
          <w:p>
            <w:pPr>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5</w:t>
            </w:r>
          </w:p>
        </w:tc>
        <w:tc>
          <w:tcPr>
            <w:tcW w:w="993" w:type="dxa"/>
            <w:tcBorders>
              <w:top w:val="nil"/>
              <w:left w:val="nil"/>
              <w:bottom w:val="single" w:color="auto" w:sz="4" w:space="0"/>
              <w:right w:val="single" w:color="auto" w:sz="4" w:space="0"/>
            </w:tcBorders>
            <w:shd w:val="clear"/>
            <w:vAlign w:val="center"/>
          </w:tcPr>
          <w:p>
            <w:pPr>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　</w:t>
            </w:r>
          </w:p>
        </w:tc>
        <w:tc>
          <w:tcPr>
            <w:tcW w:w="1091" w:type="dxa"/>
            <w:tcBorders>
              <w:top w:val="nil"/>
              <w:left w:val="nil"/>
              <w:bottom w:val="single" w:color="auto" w:sz="4" w:space="0"/>
              <w:right w:val="single" w:color="auto" w:sz="4" w:space="0"/>
            </w:tcBorders>
            <w:shd w:val="clear"/>
            <w:vAlign w:val="center"/>
          </w:tcPr>
          <w:p>
            <w:pPr>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548" w:type="dxa"/>
            <w:vMerge w:val="continue"/>
            <w:tcBorders>
              <w:top w:val="nil"/>
              <w:left w:val="single" w:color="auto" w:sz="4" w:space="0"/>
              <w:bottom w:val="nil"/>
              <w:right w:val="single" w:color="auto" w:sz="4" w:space="0"/>
            </w:tcBorders>
            <w:shd w:val="clear"/>
            <w:vAlign w:val="center"/>
          </w:tcPr>
          <w:p>
            <w:pPr>
              <w:rPr>
                <w:rFonts w:hint="default" w:ascii="Times New Roman" w:hAnsi="Times New Roman" w:cs="Times New Roman"/>
                <w:sz w:val="20"/>
                <w:szCs w:val="20"/>
              </w:rPr>
            </w:pPr>
          </w:p>
        </w:tc>
        <w:tc>
          <w:tcPr>
            <w:tcW w:w="1737" w:type="dxa"/>
            <w:tcBorders>
              <w:top w:val="nil"/>
              <w:left w:val="nil"/>
              <w:bottom w:val="single" w:color="auto" w:sz="4" w:space="0"/>
              <w:right w:val="single" w:color="auto" w:sz="4" w:space="0"/>
            </w:tcBorders>
            <w:shd w:val="clear"/>
            <w:vAlign w:val="center"/>
          </w:tcPr>
          <w:p>
            <w:pPr>
              <w:spacing w:line="240" w:lineRule="exact"/>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项目（不含移民培训）验收合格率</w:t>
            </w:r>
          </w:p>
        </w:tc>
        <w:tc>
          <w:tcPr>
            <w:tcW w:w="575" w:type="dxa"/>
            <w:tcBorders>
              <w:top w:val="nil"/>
              <w:left w:val="nil"/>
              <w:bottom w:val="single" w:color="auto" w:sz="4" w:space="0"/>
              <w:right w:val="single" w:color="auto" w:sz="4" w:space="0"/>
            </w:tcBorders>
            <w:shd w:val="clear"/>
            <w:noWrap/>
            <w:vAlign w:val="center"/>
          </w:tcPr>
          <w:p>
            <w:pPr>
              <w:spacing w:line="240" w:lineRule="exact"/>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w:t>
            </w:r>
          </w:p>
        </w:tc>
        <w:tc>
          <w:tcPr>
            <w:tcW w:w="614" w:type="dxa"/>
            <w:tcBorders>
              <w:top w:val="nil"/>
              <w:left w:val="nil"/>
              <w:bottom w:val="single" w:color="auto" w:sz="4" w:space="0"/>
              <w:right w:val="single" w:color="auto" w:sz="4" w:space="0"/>
            </w:tcBorders>
            <w:shd w:val="clear"/>
            <w:noWrap/>
            <w:vAlign w:val="center"/>
          </w:tcPr>
          <w:p>
            <w:pPr>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w:t>
            </w:r>
          </w:p>
        </w:tc>
        <w:tc>
          <w:tcPr>
            <w:tcW w:w="907" w:type="dxa"/>
            <w:tcBorders>
              <w:top w:val="nil"/>
              <w:left w:val="nil"/>
              <w:bottom w:val="single" w:color="auto" w:sz="4" w:space="0"/>
              <w:right w:val="single" w:color="auto" w:sz="4" w:space="0"/>
            </w:tcBorders>
            <w:shd w:val="clear"/>
            <w:vAlign w:val="center"/>
          </w:tcPr>
          <w:p>
            <w:pPr>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100</w:t>
            </w:r>
          </w:p>
        </w:tc>
        <w:tc>
          <w:tcPr>
            <w:tcW w:w="989" w:type="dxa"/>
            <w:tcBorders>
              <w:top w:val="nil"/>
              <w:left w:val="nil"/>
              <w:bottom w:val="single" w:color="auto" w:sz="4" w:space="0"/>
              <w:right w:val="single" w:color="auto" w:sz="4" w:space="0"/>
            </w:tcBorders>
            <w:shd w:val="clear"/>
            <w:vAlign w:val="center"/>
          </w:tcPr>
          <w:p>
            <w:pPr>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100</w:t>
            </w:r>
          </w:p>
        </w:tc>
        <w:tc>
          <w:tcPr>
            <w:tcW w:w="800" w:type="dxa"/>
            <w:tcBorders>
              <w:top w:val="nil"/>
              <w:left w:val="nil"/>
              <w:bottom w:val="single" w:color="auto" w:sz="4" w:space="0"/>
              <w:right w:val="single" w:color="auto" w:sz="4" w:space="0"/>
            </w:tcBorders>
            <w:shd w:val="clear"/>
            <w:vAlign w:val="center"/>
          </w:tcPr>
          <w:p>
            <w:pPr>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100</w:t>
            </w:r>
          </w:p>
        </w:tc>
        <w:tc>
          <w:tcPr>
            <w:tcW w:w="854" w:type="dxa"/>
            <w:tcBorders>
              <w:top w:val="nil"/>
              <w:left w:val="nil"/>
              <w:bottom w:val="single" w:color="auto" w:sz="4" w:space="0"/>
              <w:right w:val="single" w:color="auto" w:sz="4" w:space="0"/>
            </w:tcBorders>
            <w:shd w:val="clear"/>
            <w:vAlign w:val="center"/>
          </w:tcPr>
          <w:p>
            <w:pPr>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100</w:t>
            </w:r>
          </w:p>
        </w:tc>
        <w:tc>
          <w:tcPr>
            <w:tcW w:w="972" w:type="dxa"/>
            <w:tcBorders>
              <w:top w:val="nil"/>
              <w:left w:val="nil"/>
              <w:bottom w:val="single" w:color="auto" w:sz="4" w:space="0"/>
              <w:right w:val="single" w:color="auto" w:sz="4" w:space="0"/>
            </w:tcBorders>
            <w:shd w:val="clear"/>
            <w:vAlign w:val="center"/>
          </w:tcPr>
          <w:p>
            <w:pPr>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10</w:t>
            </w:r>
          </w:p>
        </w:tc>
        <w:tc>
          <w:tcPr>
            <w:tcW w:w="993" w:type="dxa"/>
            <w:tcBorders>
              <w:top w:val="nil"/>
              <w:left w:val="nil"/>
              <w:bottom w:val="single" w:color="auto" w:sz="4" w:space="0"/>
              <w:right w:val="single" w:color="auto" w:sz="4" w:space="0"/>
            </w:tcBorders>
            <w:shd w:val="clear"/>
            <w:vAlign w:val="center"/>
          </w:tcPr>
          <w:p>
            <w:pPr>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　</w:t>
            </w:r>
          </w:p>
        </w:tc>
        <w:tc>
          <w:tcPr>
            <w:tcW w:w="1091" w:type="dxa"/>
            <w:tcBorders>
              <w:top w:val="nil"/>
              <w:left w:val="nil"/>
              <w:bottom w:val="single" w:color="auto" w:sz="4" w:space="0"/>
              <w:right w:val="single" w:color="auto" w:sz="4" w:space="0"/>
            </w:tcBorders>
            <w:shd w:val="clear"/>
            <w:vAlign w:val="center"/>
          </w:tcPr>
          <w:p>
            <w:pPr>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548" w:type="dxa"/>
            <w:vMerge w:val="continue"/>
            <w:tcBorders>
              <w:top w:val="nil"/>
              <w:left w:val="single" w:color="auto" w:sz="4" w:space="0"/>
              <w:bottom w:val="nil"/>
              <w:right w:val="single" w:color="auto" w:sz="4" w:space="0"/>
            </w:tcBorders>
            <w:shd w:val="clear"/>
            <w:vAlign w:val="center"/>
          </w:tcPr>
          <w:p>
            <w:pPr>
              <w:rPr>
                <w:rFonts w:hint="default" w:ascii="Times New Roman" w:hAnsi="Times New Roman" w:cs="Times New Roman"/>
                <w:sz w:val="20"/>
                <w:szCs w:val="20"/>
              </w:rPr>
            </w:pPr>
          </w:p>
        </w:tc>
        <w:tc>
          <w:tcPr>
            <w:tcW w:w="1737" w:type="dxa"/>
            <w:tcBorders>
              <w:top w:val="nil"/>
              <w:left w:val="nil"/>
              <w:bottom w:val="single" w:color="auto" w:sz="4" w:space="0"/>
              <w:right w:val="single" w:color="auto" w:sz="4" w:space="0"/>
            </w:tcBorders>
            <w:shd w:val="clear"/>
            <w:vAlign w:val="center"/>
          </w:tcPr>
          <w:p>
            <w:pPr>
              <w:spacing w:line="240" w:lineRule="exact"/>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截至2022年底项目资金完成率</w:t>
            </w:r>
          </w:p>
        </w:tc>
        <w:tc>
          <w:tcPr>
            <w:tcW w:w="575" w:type="dxa"/>
            <w:tcBorders>
              <w:top w:val="nil"/>
              <w:left w:val="nil"/>
              <w:bottom w:val="single" w:color="auto" w:sz="4" w:space="0"/>
              <w:right w:val="single" w:color="auto" w:sz="4" w:space="0"/>
            </w:tcBorders>
            <w:shd w:val="clear"/>
            <w:noWrap/>
            <w:vAlign w:val="center"/>
          </w:tcPr>
          <w:p>
            <w:pPr>
              <w:spacing w:line="240" w:lineRule="exact"/>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w:t>
            </w:r>
          </w:p>
        </w:tc>
        <w:tc>
          <w:tcPr>
            <w:tcW w:w="614" w:type="dxa"/>
            <w:tcBorders>
              <w:top w:val="nil"/>
              <w:left w:val="nil"/>
              <w:bottom w:val="single" w:color="auto" w:sz="4" w:space="0"/>
              <w:right w:val="single" w:color="auto" w:sz="4" w:space="0"/>
            </w:tcBorders>
            <w:shd w:val="clear"/>
            <w:noWrap/>
            <w:vAlign w:val="center"/>
          </w:tcPr>
          <w:p>
            <w:pPr>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w:t>
            </w:r>
          </w:p>
        </w:tc>
        <w:tc>
          <w:tcPr>
            <w:tcW w:w="907" w:type="dxa"/>
            <w:tcBorders>
              <w:top w:val="nil"/>
              <w:left w:val="nil"/>
              <w:bottom w:val="single" w:color="auto" w:sz="4" w:space="0"/>
              <w:right w:val="single" w:color="auto" w:sz="4" w:space="0"/>
            </w:tcBorders>
            <w:shd w:val="clear"/>
            <w:vAlign w:val="center"/>
          </w:tcPr>
          <w:p>
            <w:pPr>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80</w:t>
            </w:r>
          </w:p>
        </w:tc>
        <w:tc>
          <w:tcPr>
            <w:tcW w:w="989" w:type="dxa"/>
            <w:tcBorders>
              <w:top w:val="nil"/>
              <w:left w:val="nil"/>
              <w:bottom w:val="single" w:color="auto" w:sz="4" w:space="0"/>
              <w:right w:val="single" w:color="auto" w:sz="4" w:space="0"/>
            </w:tcBorders>
            <w:shd w:val="clear"/>
            <w:vAlign w:val="center"/>
          </w:tcPr>
          <w:p>
            <w:pPr>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80</w:t>
            </w:r>
          </w:p>
        </w:tc>
        <w:tc>
          <w:tcPr>
            <w:tcW w:w="800" w:type="dxa"/>
            <w:tcBorders>
              <w:top w:val="nil"/>
              <w:left w:val="nil"/>
              <w:bottom w:val="single" w:color="auto" w:sz="4" w:space="0"/>
              <w:right w:val="single" w:color="auto" w:sz="4" w:space="0"/>
            </w:tcBorders>
            <w:shd w:val="clear"/>
            <w:vAlign w:val="center"/>
          </w:tcPr>
          <w:p>
            <w:pPr>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80</w:t>
            </w:r>
          </w:p>
        </w:tc>
        <w:tc>
          <w:tcPr>
            <w:tcW w:w="854" w:type="dxa"/>
            <w:tcBorders>
              <w:top w:val="nil"/>
              <w:left w:val="nil"/>
              <w:bottom w:val="single" w:color="auto" w:sz="4" w:space="0"/>
              <w:right w:val="single" w:color="auto" w:sz="4" w:space="0"/>
            </w:tcBorders>
            <w:shd w:val="clear"/>
            <w:vAlign w:val="center"/>
          </w:tcPr>
          <w:p>
            <w:pPr>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100</w:t>
            </w:r>
          </w:p>
        </w:tc>
        <w:tc>
          <w:tcPr>
            <w:tcW w:w="972" w:type="dxa"/>
            <w:tcBorders>
              <w:top w:val="nil"/>
              <w:left w:val="nil"/>
              <w:bottom w:val="single" w:color="auto" w:sz="4" w:space="0"/>
              <w:right w:val="single" w:color="auto" w:sz="4" w:space="0"/>
            </w:tcBorders>
            <w:shd w:val="clear"/>
            <w:vAlign w:val="center"/>
          </w:tcPr>
          <w:p>
            <w:pPr>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10</w:t>
            </w:r>
          </w:p>
        </w:tc>
        <w:tc>
          <w:tcPr>
            <w:tcW w:w="993" w:type="dxa"/>
            <w:tcBorders>
              <w:top w:val="nil"/>
              <w:left w:val="nil"/>
              <w:bottom w:val="single" w:color="auto" w:sz="4" w:space="0"/>
              <w:right w:val="single" w:color="auto" w:sz="4" w:space="0"/>
            </w:tcBorders>
            <w:shd w:val="clear"/>
            <w:vAlign w:val="center"/>
          </w:tcPr>
          <w:p>
            <w:pPr>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　</w:t>
            </w:r>
          </w:p>
        </w:tc>
        <w:tc>
          <w:tcPr>
            <w:tcW w:w="1091" w:type="dxa"/>
            <w:tcBorders>
              <w:top w:val="nil"/>
              <w:left w:val="nil"/>
              <w:bottom w:val="single" w:color="auto" w:sz="4" w:space="0"/>
              <w:right w:val="single" w:color="auto" w:sz="4" w:space="0"/>
            </w:tcBorders>
            <w:shd w:val="clear"/>
            <w:vAlign w:val="center"/>
          </w:tcPr>
          <w:p>
            <w:pPr>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27" w:hRule="atLeast"/>
        </w:trPr>
        <w:tc>
          <w:tcPr>
            <w:tcW w:w="548" w:type="dxa"/>
            <w:vMerge w:val="continue"/>
            <w:tcBorders>
              <w:top w:val="nil"/>
              <w:left w:val="single" w:color="auto" w:sz="4" w:space="0"/>
              <w:bottom w:val="nil"/>
              <w:right w:val="single" w:color="auto" w:sz="4" w:space="0"/>
            </w:tcBorders>
            <w:shd w:val="clear"/>
            <w:vAlign w:val="center"/>
          </w:tcPr>
          <w:p>
            <w:pPr>
              <w:rPr>
                <w:rFonts w:hint="default" w:ascii="Times New Roman" w:hAnsi="Times New Roman" w:cs="Times New Roman"/>
                <w:sz w:val="20"/>
                <w:szCs w:val="20"/>
              </w:rPr>
            </w:pPr>
          </w:p>
        </w:tc>
        <w:tc>
          <w:tcPr>
            <w:tcW w:w="1737" w:type="dxa"/>
            <w:tcBorders>
              <w:top w:val="nil"/>
              <w:left w:val="nil"/>
              <w:bottom w:val="single" w:color="auto" w:sz="4" w:space="0"/>
              <w:right w:val="single" w:color="auto" w:sz="4" w:space="0"/>
            </w:tcBorders>
            <w:shd w:val="clear"/>
            <w:vAlign w:val="center"/>
          </w:tcPr>
          <w:p>
            <w:pPr>
              <w:spacing w:line="240" w:lineRule="exact"/>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直补资金按时发放率</w:t>
            </w:r>
          </w:p>
        </w:tc>
        <w:tc>
          <w:tcPr>
            <w:tcW w:w="575" w:type="dxa"/>
            <w:tcBorders>
              <w:top w:val="nil"/>
              <w:left w:val="nil"/>
              <w:bottom w:val="single" w:color="auto" w:sz="4" w:space="0"/>
              <w:right w:val="single" w:color="auto" w:sz="4" w:space="0"/>
            </w:tcBorders>
            <w:shd w:val="clear"/>
            <w:noWrap/>
            <w:vAlign w:val="center"/>
          </w:tcPr>
          <w:p>
            <w:pPr>
              <w:spacing w:line="240" w:lineRule="exact"/>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w:t>
            </w:r>
          </w:p>
        </w:tc>
        <w:tc>
          <w:tcPr>
            <w:tcW w:w="614" w:type="dxa"/>
            <w:tcBorders>
              <w:top w:val="nil"/>
              <w:left w:val="nil"/>
              <w:bottom w:val="single" w:color="auto" w:sz="4" w:space="0"/>
              <w:right w:val="single" w:color="auto" w:sz="4" w:space="0"/>
            </w:tcBorders>
            <w:shd w:val="clear"/>
            <w:noWrap/>
            <w:vAlign w:val="center"/>
          </w:tcPr>
          <w:p>
            <w:pPr>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w:t>
            </w:r>
          </w:p>
        </w:tc>
        <w:tc>
          <w:tcPr>
            <w:tcW w:w="907" w:type="dxa"/>
            <w:tcBorders>
              <w:top w:val="nil"/>
              <w:left w:val="nil"/>
              <w:bottom w:val="single" w:color="auto" w:sz="4" w:space="0"/>
              <w:right w:val="single" w:color="auto" w:sz="4" w:space="0"/>
            </w:tcBorders>
            <w:shd w:val="clear"/>
            <w:vAlign w:val="center"/>
          </w:tcPr>
          <w:p>
            <w:pPr>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100</w:t>
            </w:r>
          </w:p>
        </w:tc>
        <w:tc>
          <w:tcPr>
            <w:tcW w:w="989" w:type="dxa"/>
            <w:tcBorders>
              <w:top w:val="nil"/>
              <w:left w:val="nil"/>
              <w:bottom w:val="single" w:color="auto" w:sz="4" w:space="0"/>
              <w:right w:val="single" w:color="auto" w:sz="4" w:space="0"/>
            </w:tcBorders>
            <w:shd w:val="clear"/>
            <w:vAlign w:val="center"/>
          </w:tcPr>
          <w:p>
            <w:pPr>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100</w:t>
            </w:r>
          </w:p>
        </w:tc>
        <w:tc>
          <w:tcPr>
            <w:tcW w:w="800" w:type="dxa"/>
            <w:tcBorders>
              <w:top w:val="nil"/>
              <w:left w:val="nil"/>
              <w:bottom w:val="single" w:color="auto" w:sz="4" w:space="0"/>
              <w:right w:val="single" w:color="auto" w:sz="4" w:space="0"/>
            </w:tcBorders>
            <w:shd w:val="clear"/>
            <w:vAlign w:val="center"/>
          </w:tcPr>
          <w:p>
            <w:pPr>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100</w:t>
            </w:r>
          </w:p>
        </w:tc>
        <w:tc>
          <w:tcPr>
            <w:tcW w:w="854" w:type="dxa"/>
            <w:tcBorders>
              <w:top w:val="nil"/>
              <w:left w:val="nil"/>
              <w:bottom w:val="single" w:color="auto" w:sz="4" w:space="0"/>
              <w:right w:val="single" w:color="auto" w:sz="4" w:space="0"/>
            </w:tcBorders>
            <w:shd w:val="clear"/>
            <w:vAlign w:val="center"/>
          </w:tcPr>
          <w:p>
            <w:pPr>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100</w:t>
            </w:r>
          </w:p>
        </w:tc>
        <w:tc>
          <w:tcPr>
            <w:tcW w:w="972" w:type="dxa"/>
            <w:tcBorders>
              <w:top w:val="nil"/>
              <w:left w:val="nil"/>
              <w:bottom w:val="single" w:color="auto" w:sz="4" w:space="0"/>
              <w:right w:val="single" w:color="auto" w:sz="4" w:space="0"/>
            </w:tcBorders>
            <w:shd w:val="clear"/>
            <w:vAlign w:val="center"/>
          </w:tcPr>
          <w:p>
            <w:pPr>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5</w:t>
            </w:r>
          </w:p>
        </w:tc>
        <w:tc>
          <w:tcPr>
            <w:tcW w:w="993" w:type="dxa"/>
            <w:tcBorders>
              <w:top w:val="nil"/>
              <w:left w:val="nil"/>
              <w:bottom w:val="single" w:color="auto" w:sz="4" w:space="0"/>
              <w:right w:val="single" w:color="auto" w:sz="4" w:space="0"/>
            </w:tcBorders>
            <w:shd w:val="clear"/>
            <w:vAlign w:val="center"/>
          </w:tcPr>
          <w:p>
            <w:pPr>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　</w:t>
            </w:r>
          </w:p>
        </w:tc>
        <w:tc>
          <w:tcPr>
            <w:tcW w:w="1091" w:type="dxa"/>
            <w:tcBorders>
              <w:top w:val="nil"/>
              <w:left w:val="nil"/>
              <w:bottom w:val="single" w:color="auto" w:sz="4" w:space="0"/>
              <w:right w:val="single" w:color="auto" w:sz="4" w:space="0"/>
            </w:tcBorders>
            <w:shd w:val="clear"/>
            <w:vAlign w:val="center"/>
          </w:tcPr>
          <w:p>
            <w:pPr>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548" w:type="dxa"/>
            <w:vMerge w:val="continue"/>
            <w:tcBorders>
              <w:top w:val="nil"/>
              <w:left w:val="single" w:color="auto" w:sz="4" w:space="0"/>
              <w:bottom w:val="nil"/>
              <w:right w:val="single" w:color="auto" w:sz="4" w:space="0"/>
            </w:tcBorders>
            <w:shd w:val="clear"/>
            <w:vAlign w:val="center"/>
          </w:tcPr>
          <w:p>
            <w:pPr>
              <w:rPr>
                <w:rFonts w:hint="default" w:ascii="Times New Roman" w:hAnsi="Times New Roman" w:cs="Times New Roman"/>
                <w:sz w:val="20"/>
                <w:szCs w:val="20"/>
              </w:rPr>
            </w:pPr>
          </w:p>
        </w:tc>
        <w:tc>
          <w:tcPr>
            <w:tcW w:w="1737" w:type="dxa"/>
            <w:tcBorders>
              <w:top w:val="nil"/>
              <w:left w:val="nil"/>
              <w:bottom w:val="single" w:color="auto" w:sz="4" w:space="0"/>
              <w:right w:val="single" w:color="auto" w:sz="4" w:space="0"/>
            </w:tcBorders>
            <w:shd w:val="clear"/>
            <w:vAlign w:val="center"/>
          </w:tcPr>
          <w:p>
            <w:pPr>
              <w:spacing w:line="240" w:lineRule="exact"/>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项目支出控制在批复的预算范围内的项目比例</w:t>
            </w:r>
          </w:p>
        </w:tc>
        <w:tc>
          <w:tcPr>
            <w:tcW w:w="575" w:type="dxa"/>
            <w:tcBorders>
              <w:top w:val="nil"/>
              <w:left w:val="nil"/>
              <w:bottom w:val="single" w:color="auto" w:sz="4" w:space="0"/>
              <w:right w:val="single" w:color="auto" w:sz="4" w:space="0"/>
            </w:tcBorders>
            <w:shd w:val="clear"/>
            <w:noWrap/>
            <w:vAlign w:val="center"/>
          </w:tcPr>
          <w:p>
            <w:pPr>
              <w:spacing w:line="240" w:lineRule="exact"/>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w:t>
            </w:r>
          </w:p>
        </w:tc>
        <w:tc>
          <w:tcPr>
            <w:tcW w:w="614" w:type="dxa"/>
            <w:tcBorders>
              <w:top w:val="nil"/>
              <w:left w:val="nil"/>
              <w:bottom w:val="single" w:color="auto" w:sz="4" w:space="0"/>
              <w:right w:val="single" w:color="auto" w:sz="4" w:space="0"/>
            </w:tcBorders>
            <w:shd w:val="clear"/>
            <w:noWrap/>
            <w:vAlign w:val="center"/>
          </w:tcPr>
          <w:p>
            <w:pPr>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w:t>
            </w:r>
          </w:p>
        </w:tc>
        <w:tc>
          <w:tcPr>
            <w:tcW w:w="907" w:type="dxa"/>
            <w:tcBorders>
              <w:top w:val="nil"/>
              <w:left w:val="nil"/>
              <w:bottom w:val="single" w:color="auto" w:sz="4" w:space="0"/>
              <w:right w:val="single" w:color="auto" w:sz="4" w:space="0"/>
            </w:tcBorders>
            <w:shd w:val="clear"/>
            <w:vAlign w:val="center"/>
          </w:tcPr>
          <w:p>
            <w:pPr>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100</w:t>
            </w:r>
          </w:p>
        </w:tc>
        <w:tc>
          <w:tcPr>
            <w:tcW w:w="989" w:type="dxa"/>
            <w:tcBorders>
              <w:top w:val="nil"/>
              <w:left w:val="nil"/>
              <w:bottom w:val="single" w:color="auto" w:sz="4" w:space="0"/>
              <w:right w:val="single" w:color="auto" w:sz="4" w:space="0"/>
            </w:tcBorders>
            <w:shd w:val="clear"/>
            <w:vAlign w:val="center"/>
          </w:tcPr>
          <w:p>
            <w:pPr>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100</w:t>
            </w:r>
          </w:p>
        </w:tc>
        <w:tc>
          <w:tcPr>
            <w:tcW w:w="800" w:type="dxa"/>
            <w:tcBorders>
              <w:top w:val="nil"/>
              <w:left w:val="nil"/>
              <w:bottom w:val="single" w:color="auto" w:sz="4" w:space="0"/>
              <w:right w:val="single" w:color="auto" w:sz="4" w:space="0"/>
            </w:tcBorders>
            <w:shd w:val="clear"/>
            <w:vAlign w:val="center"/>
          </w:tcPr>
          <w:p>
            <w:pPr>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100</w:t>
            </w:r>
          </w:p>
        </w:tc>
        <w:tc>
          <w:tcPr>
            <w:tcW w:w="854" w:type="dxa"/>
            <w:tcBorders>
              <w:top w:val="nil"/>
              <w:left w:val="nil"/>
              <w:bottom w:val="single" w:color="auto" w:sz="4" w:space="0"/>
              <w:right w:val="single" w:color="auto" w:sz="4" w:space="0"/>
            </w:tcBorders>
            <w:shd w:val="clear"/>
            <w:vAlign w:val="center"/>
          </w:tcPr>
          <w:p>
            <w:pPr>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100</w:t>
            </w:r>
          </w:p>
        </w:tc>
        <w:tc>
          <w:tcPr>
            <w:tcW w:w="972" w:type="dxa"/>
            <w:tcBorders>
              <w:top w:val="nil"/>
              <w:left w:val="nil"/>
              <w:bottom w:val="single" w:color="auto" w:sz="4" w:space="0"/>
              <w:right w:val="single" w:color="auto" w:sz="4" w:space="0"/>
            </w:tcBorders>
            <w:shd w:val="clear"/>
            <w:vAlign w:val="center"/>
          </w:tcPr>
          <w:p>
            <w:pPr>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5</w:t>
            </w:r>
          </w:p>
        </w:tc>
        <w:tc>
          <w:tcPr>
            <w:tcW w:w="993" w:type="dxa"/>
            <w:tcBorders>
              <w:top w:val="nil"/>
              <w:left w:val="nil"/>
              <w:bottom w:val="single" w:color="auto" w:sz="4" w:space="0"/>
              <w:right w:val="single" w:color="auto" w:sz="4" w:space="0"/>
            </w:tcBorders>
            <w:shd w:val="clear"/>
            <w:vAlign w:val="center"/>
          </w:tcPr>
          <w:p>
            <w:pPr>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　</w:t>
            </w:r>
          </w:p>
        </w:tc>
        <w:tc>
          <w:tcPr>
            <w:tcW w:w="1091" w:type="dxa"/>
            <w:tcBorders>
              <w:top w:val="nil"/>
              <w:left w:val="nil"/>
              <w:bottom w:val="single" w:color="auto" w:sz="4" w:space="0"/>
              <w:right w:val="single" w:color="auto" w:sz="4" w:space="0"/>
            </w:tcBorders>
            <w:shd w:val="clear"/>
            <w:vAlign w:val="center"/>
          </w:tcPr>
          <w:p>
            <w:pPr>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548" w:type="dxa"/>
            <w:vMerge w:val="continue"/>
            <w:tcBorders>
              <w:top w:val="nil"/>
              <w:left w:val="single" w:color="auto" w:sz="4" w:space="0"/>
              <w:bottom w:val="nil"/>
              <w:right w:val="single" w:color="auto" w:sz="4" w:space="0"/>
            </w:tcBorders>
            <w:shd w:val="clear"/>
            <w:vAlign w:val="center"/>
          </w:tcPr>
          <w:p>
            <w:pPr>
              <w:rPr>
                <w:rFonts w:hint="default" w:ascii="Times New Roman" w:hAnsi="Times New Roman" w:cs="Times New Roman"/>
                <w:sz w:val="20"/>
                <w:szCs w:val="20"/>
              </w:rPr>
            </w:pPr>
          </w:p>
        </w:tc>
        <w:tc>
          <w:tcPr>
            <w:tcW w:w="1737" w:type="dxa"/>
            <w:tcBorders>
              <w:top w:val="nil"/>
              <w:left w:val="nil"/>
              <w:bottom w:val="single" w:color="auto" w:sz="4" w:space="0"/>
              <w:right w:val="single" w:color="auto" w:sz="4" w:space="0"/>
            </w:tcBorders>
            <w:shd w:val="clear"/>
            <w:vAlign w:val="center"/>
          </w:tcPr>
          <w:p>
            <w:pPr>
              <w:spacing w:line="240" w:lineRule="exact"/>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增加移民人均可支配收入</w:t>
            </w:r>
          </w:p>
        </w:tc>
        <w:tc>
          <w:tcPr>
            <w:tcW w:w="575" w:type="dxa"/>
            <w:tcBorders>
              <w:top w:val="nil"/>
              <w:left w:val="nil"/>
              <w:bottom w:val="single" w:color="auto" w:sz="4" w:space="0"/>
              <w:right w:val="single" w:color="auto" w:sz="4" w:space="0"/>
            </w:tcBorders>
            <w:shd w:val="clear"/>
            <w:noWrap/>
            <w:vAlign w:val="center"/>
          </w:tcPr>
          <w:p>
            <w:pPr>
              <w:spacing w:line="240" w:lineRule="exact"/>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元</w:t>
            </w:r>
          </w:p>
        </w:tc>
        <w:tc>
          <w:tcPr>
            <w:tcW w:w="614" w:type="dxa"/>
            <w:tcBorders>
              <w:top w:val="nil"/>
              <w:left w:val="nil"/>
              <w:bottom w:val="single" w:color="auto" w:sz="4" w:space="0"/>
              <w:right w:val="single" w:color="auto" w:sz="4" w:space="0"/>
            </w:tcBorders>
            <w:shd w:val="clear"/>
            <w:noWrap/>
            <w:vAlign w:val="center"/>
          </w:tcPr>
          <w:p>
            <w:pPr>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w:t>
            </w:r>
          </w:p>
        </w:tc>
        <w:tc>
          <w:tcPr>
            <w:tcW w:w="907" w:type="dxa"/>
            <w:tcBorders>
              <w:top w:val="nil"/>
              <w:left w:val="nil"/>
              <w:bottom w:val="single" w:color="auto" w:sz="4" w:space="0"/>
              <w:right w:val="single" w:color="auto" w:sz="4" w:space="0"/>
            </w:tcBorders>
            <w:shd w:val="clear"/>
            <w:vAlign w:val="center"/>
          </w:tcPr>
          <w:p>
            <w:pPr>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600</w:t>
            </w:r>
          </w:p>
        </w:tc>
        <w:tc>
          <w:tcPr>
            <w:tcW w:w="989" w:type="dxa"/>
            <w:tcBorders>
              <w:top w:val="nil"/>
              <w:left w:val="nil"/>
              <w:bottom w:val="single" w:color="auto" w:sz="4" w:space="0"/>
              <w:right w:val="single" w:color="auto" w:sz="4" w:space="0"/>
            </w:tcBorders>
            <w:shd w:val="clear"/>
            <w:vAlign w:val="center"/>
          </w:tcPr>
          <w:p>
            <w:pPr>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600</w:t>
            </w:r>
          </w:p>
        </w:tc>
        <w:tc>
          <w:tcPr>
            <w:tcW w:w="800" w:type="dxa"/>
            <w:tcBorders>
              <w:top w:val="nil"/>
              <w:left w:val="nil"/>
              <w:bottom w:val="single" w:color="auto" w:sz="4" w:space="0"/>
              <w:right w:val="single" w:color="auto" w:sz="4" w:space="0"/>
            </w:tcBorders>
            <w:shd w:val="clear"/>
            <w:vAlign w:val="center"/>
          </w:tcPr>
          <w:p>
            <w:pPr>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600</w:t>
            </w:r>
          </w:p>
        </w:tc>
        <w:tc>
          <w:tcPr>
            <w:tcW w:w="854" w:type="dxa"/>
            <w:tcBorders>
              <w:top w:val="nil"/>
              <w:left w:val="nil"/>
              <w:bottom w:val="single" w:color="auto" w:sz="4" w:space="0"/>
              <w:right w:val="single" w:color="auto" w:sz="4" w:space="0"/>
            </w:tcBorders>
            <w:shd w:val="clear"/>
            <w:vAlign w:val="center"/>
          </w:tcPr>
          <w:p>
            <w:pPr>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100</w:t>
            </w:r>
          </w:p>
        </w:tc>
        <w:tc>
          <w:tcPr>
            <w:tcW w:w="972" w:type="dxa"/>
            <w:tcBorders>
              <w:top w:val="nil"/>
              <w:left w:val="nil"/>
              <w:bottom w:val="single" w:color="auto" w:sz="4" w:space="0"/>
              <w:right w:val="single" w:color="auto" w:sz="4" w:space="0"/>
            </w:tcBorders>
            <w:shd w:val="clear"/>
            <w:vAlign w:val="center"/>
          </w:tcPr>
          <w:p>
            <w:pPr>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4</w:t>
            </w:r>
          </w:p>
        </w:tc>
        <w:tc>
          <w:tcPr>
            <w:tcW w:w="993" w:type="dxa"/>
            <w:tcBorders>
              <w:top w:val="nil"/>
              <w:left w:val="nil"/>
              <w:bottom w:val="single" w:color="auto" w:sz="4" w:space="0"/>
              <w:right w:val="single" w:color="auto" w:sz="4" w:space="0"/>
            </w:tcBorders>
            <w:shd w:val="clear"/>
            <w:vAlign w:val="center"/>
          </w:tcPr>
          <w:p>
            <w:pPr>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　</w:t>
            </w:r>
          </w:p>
        </w:tc>
        <w:tc>
          <w:tcPr>
            <w:tcW w:w="1091" w:type="dxa"/>
            <w:tcBorders>
              <w:top w:val="nil"/>
              <w:left w:val="nil"/>
              <w:bottom w:val="single" w:color="auto" w:sz="4" w:space="0"/>
              <w:right w:val="single" w:color="auto" w:sz="4" w:space="0"/>
            </w:tcBorders>
            <w:shd w:val="clear"/>
            <w:vAlign w:val="center"/>
          </w:tcPr>
          <w:p>
            <w:pPr>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548" w:type="dxa"/>
            <w:vMerge w:val="continue"/>
            <w:tcBorders>
              <w:top w:val="nil"/>
              <w:left w:val="single" w:color="auto" w:sz="4" w:space="0"/>
              <w:bottom w:val="nil"/>
              <w:right w:val="single" w:color="auto" w:sz="4" w:space="0"/>
            </w:tcBorders>
            <w:shd w:val="clear"/>
            <w:vAlign w:val="center"/>
          </w:tcPr>
          <w:p>
            <w:pPr>
              <w:rPr>
                <w:rFonts w:hint="default" w:ascii="Times New Roman" w:hAnsi="Times New Roman" w:cs="Times New Roman"/>
                <w:sz w:val="20"/>
                <w:szCs w:val="20"/>
              </w:rPr>
            </w:pPr>
          </w:p>
        </w:tc>
        <w:tc>
          <w:tcPr>
            <w:tcW w:w="1737" w:type="dxa"/>
            <w:tcBorders>
              <w:top w:val="nil"/>
              <w:left w:val="nil"/>
              <w:bottom w:val="single" w:color="auto" w:sz="4" w:space="0"/>
              <w:right w:val="single" w:color="auto" w:sz="4" w:space="0"/>
            </w:tcBorders>
            <w:shd w:val="clear"/>
            <w:vAlign w:val="center"/>
          </w:tcPr>
          <w:p>
            <w:pPr>
              <w:spacing w:line="240" w:lineRule="exact"/>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增加达到当地县农村居民平均收入水平移民人口</w:t>
            </w:r>
          </w:p>
        </w:tc>
        <w:tc>
          <w:tcPr>
            <w:tcW w:w="575" w:type="dxa"/>
            <w:tcBorders>
              <w:top w:val="nil"/>
              <w:left w:val="nil"/>
              <w:bottom w:val="single" w:color="auto" w:sz="4" w:space="0"/>
              <w:right w:val="single" w:color="auto" w:sz="4" w:space="0"/>
            </w:tcBorders>
            <w:shd w:val="clear"/>
            <w:noWrap/>
            <w:vAlign w:val="center"/>
          </w:tcPr>
          <w:p>
            <w:pPr>
              <w:spacing w:line="240" w:lineRule="exact"/>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人</w:t>
            </w:r>
          </w:p>
        </w:tc>
        <w:tc>
          <w:tcPr>
            <w:tcW w:w="614" w:type="dxa"/>
            <w:tcBorders>
              <w:top w:val="nil"/>
              <w:left w:val="nil"/>
              <w:bottom w:val="single" w:color="auto" w:sz="4" w:space="0"/>
              <w:right w:val="single" w:color="auto" w:sz="4" w:space="0"/>
            </w:tcBorders>
            <w:shd w:val="clear"/>
            <w:noWrap/>
            <w:vAlign w:val="center"/>
          </w:tcPr>
          <w:p>
            <w:pPr>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w:t>
            </w:r>
          </w:p>
        </w:tc>
        <w:tc>
          <w:tcPr>
            <w:tcW w:w="907" w:type="dxa"/>
            <w:tcBorders>
              <w:top w:val="nil"/>
              <w:left w:val="nil"/>
              <w:bottom w:val="single" w:color="auto" w:sz="4" w:space="0"/>
              <w:right w:val="single" w:color="auto" w:sz="4" w:space="0"/>
            </w:tcBorders>
            <w:shd w:val="clear"/>
            <w:vAlign w:val="center"/>
          </w:tcPr>
          <w:p>
            <w:pPr>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190</w:t>
            </w:r>
          </w:p>
        </w:tc>
        <w:tc>
          <w:tcPr>
            <w:tcW w:w="989" w:type="dxa"/>
            <w:tcBorders>
              <w:top w:val="nil"/>
              <w:left w:val="nil"/>
              <w:bottom w:val="single" w:color="auto" w:sz="4" w:space="0"/>
              <w:right w:val="single" w:color="auto" w:sz="4" w:space="0"/>
            </w:tcBorders>
            <w:shd w:val="clear"/>
            <w:vAlign w:val="center"/>
          </w:tcPr>
          <w:p>
            <w:pPr>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190</w:t>
            </w:r>
          </w:p>
        </w:tc>
        <w:tc>
          <w:tcPr>
            <w:tcW w:w="800" w:type="dxa"/>
            <w:tcBorders>
              <w:top w:val="nil"/>
              <w:left w:val="nil"/>
              <w:bottom w:val="single" w:color="auto" w:sz="4" w:space="0"/>
              <w:right w:val="single" w:color="auto" w:sz="4" w:space="0"/>
            </w:tcBorders>
            <w:shd w:val="clear"/>
            <w:vAlign w:val="center"/>
          </w:tcPr>
          <w:p>
            <w:pPr>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190</w:t>
            </w:r>
          </w:p>
        </w:tc>
        <w:tc>
          <w:tcPr>
            <w:tcW w:w="854" w:type="dxa"/>
            <w:tcBorders>
              <w:top w:val="nil"/>
              <w:left w:val="nil"/>
              <w:bottom w:val="single" w:color="auto" w:sz="4" w:space="0"/>
              <w:right w:val="single" w:color="auto" w:sz="4" w:space="0"/>
            </w:tcBorders>
            <w:shd w:val="clear"/>
            <w:vAlign w:val="center"/>
          </w:tcPr>
          <w:p>
            <w:pPr>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100</w:t>
            </w:r>
          </w:p>
        </w:tc>
        <w:tc>
          <w:tcPr>
            <w:tcW w:w="972" w:type="dxa"/>
            <w:tcBorders>
              <w:top w:val="nil"/>
              <w:left w:val="nil"/>
              <w:bottom w:val="single" w:color="auto" w:sz="4" w:space="0"/>
              <w:right w:val="single" w:color="auto" w:sz="4" w:space="0"/>
            </w:tcBorders>
            <w:shd w:val="clear"/>
            <w:vAlign w:val="center"/>
          </w:tcPr>
          <w:p>
            <w:pPr>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10</w:t>
            </w:r>
          </w:p>
        </w:tc>
        <w:tc>
          <w:tcPr>
            <w:tcW w:w="993" w:type="dxa"/>
            <w:tcBorders>
              <w:top w:val="nil"/>
              <w:left w:val="nil"/>
              <w:bottom w:val="single" w:color="auto" w:sz="4" w:space="0"/>
              <w:right w:val="single" w:color="auto" w:sz="4" w:space="0"/>
            </w:tcBorders>
            <w:shd w:val="clear"/>
            <w:vAlign w:val="center"/>
          </w:tcPr>
          <w:p>
            <w:pPr>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　</w:t>
            </w:r>
          </w:p>
        </w:tc>
        <w:tc>
          <w:tcPr>
            <w:tcW w:w="1091" w:type="dxa"/>
            <w:tcBorders>
              <w:top w:val="nil"/>
              <w:left w:val="nil"/>
              <w:bottom w:val="single" w:color="auto" w:sz="4" w:space="0"/>
              <w:right w:val="single" w:color="auto" w:sz="4" w:space="0"/>
            </w:tcBorders>
            <w:shd w:val="clear"/>
            <w:vAlign w:val="center"/>
          </w:tcPr>
          <w:p>
            <w:pPr>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548" w:type="dxa"/>
            <w:vMerge w:val="continue"/>
            <w:tcBorders>
              <w:top w:val="nil"/>
              <w:left w:val="single" w:color="auto" w:sz="4" w:space="0"/>
              <w:bottom w:val="nil"/>
              <w:right w:val="single" w:color="auto" w:sz="4" w:space="0"/>
            </w:tcBorders>
            <w:shd w:val="clear"/>
            <w:vAlign w:val="center"/>
          </w:tcPr>
          <w:p>
            <w:pPr>
              <w:rPr>
                <w:rFonts w:hint="default" w:ascii="Times New Roman" w:hAnsi="Times New Roman" w:cs="Times New Roman"/>
                <w:sz w:val="20"/>
                <w:szCs w:val="20"/>
              </w:rPr>
            </w:pPr>
          </w:p>
        </w:tc>
        <w:tc>
          <w:tcPr>
            <w:tcW w:w="1737" w:type="dxa"/>
            <w:tcBorders>
              <w:top w:val="nil"/>
              <w:left w:val="nil"/>
              <w:bottom w:val="single" w:color="auto" w:sz="4" w:space="0"/>
              <w:right w:val="single" w:color="auto" w:sz="4" w:space="0"/>
            </w:tcBorders>
            <w:shd w:val="clear"/>
            <w:vAlign w:val="center"/>
          </w:tcPr>
          <w:p>
            <w:pPr>
              <w:spacing w:line="240" w:lineRule="exact"/>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项目扶持受益移民村（不含建成美丽移民村）</w:t>
            </w:r>
          </w:p>
        </w:tc>
        <w:tc>
          <w:tcPr>
            <w:tcW w:w="575" w:type="dxa"/>
            <w:tcBorders>
              <w:top w:val="nil"/>
              <w:left w:val="nil"/>
              <w:bottom w:val="single" w:color="auto" w:sz="4" w:space="0"/>
              <w:right w:val="single" w:color="auto" w:sz="4" w:space="0"/>
            </w:tcBorders>
            <w:shd w:val="clear"/>
            <w:noWrap/>
            <w:vAlign w:val="center"/>
          </w:tcPr>
          <w:p>
            <w:pPr>
              <w:spacing w:line="240" w:lineRule="exact"/>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个</w:t>
            </w:r>
          </w:p>
        </w:tc>
        <w:tc>
          <w:tcPr>
            <w:tcW w:w="614" w:type="dxa"/>
            <w:tcBorders>
              <w:top w:val="nil"/>
              <w:left w:val="nil"/>
              <w:bottom w:val="single" w:color="auto" w:sz="4" w:space="0"/>
              <w:right w:val="single" w:color="auto" w:sz="4" w:space="0"/>
            </w:tcBorders>
            <w:shd w:val="clear"/>
            <w:noWrap/>
            <w:vAlign w:val="center"/>
          </w:tcPr>
          <w:p>
            <w:pPr>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w:t>
            </w:r>
          </w:p>
        </w:tc>
        <w:tc>
          <w:tcPr>
            <w:tcW w:w="907" w:type="dxa"/>
            <w:tcBorders>
              <w:top w:val="nil"/>
              <w:left w:val="nil"/>
              <w:bottom w:val="single" w:color="auto" w:sz="4" w:space="0"/>
              <w:right w:val="single" w:color="auto" w:sz="4" w:space="0"/>
            </w:tcBorders>
            <w:shd w:val="clear"/>
            <w:vAlign w:val="center"/>
          </w:tcPr>
          <w:p>
            <w:pPr>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5</w:t>
            </w:r>
          </w:p>
        </w:tc>
        <w:tc>
          <w:tcPr>
            <w:tcW w:w="989" w:type="dxa"/>
            <w:tcBorders>
              <w:top w:val="nil"/>
              <w:left w:val="nil"/>
              <w:bottom w:val="single" w:color="auto" w:sz="4" w:space="0"/>
              <w:right w:val="single" w:color="auto" w:sz="4" w:space="0"/>
            </w:tcBorders>
            <w:shd w:val="clear"/>
            <w:vAlign w:val="center"/>
          </w:tcPr>
          <w:p>
            <w:pPr>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5</w:t>
            </w:r>
          </w:p>
        </w:tc>
        <w:tc>
          <w:tcPr>
            <w:tcW w:w="800" w:type="dxa"/>
            <w:tcBorders>
              <w:top w:val="nil"/>
              <w:left w:val="nil"/>
              <w:bottom w:val="single" w:color="auto" w:sz="4" w:space="0"/>
              <w:right w:val="single" w:color="auto" w:sz="4" w:space="0"/>
            </w:tcBorders>
            <w:shd w:val="clear"/>
            <w:vAlign w:val="center"/>
          </w:tcPr>
          <w:p>
            <w:pPr>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5</w:t>
            </w:r>
          </w:p>
        </w:tc>
        <w:tc>
          <w:tcPr>
            <w:tcW w:w="854" w:type="dxa"/>
            <w:tcBorders>
              <w:top w:val="nil"/>
              <w:left w:val="nil"/>
              <w:bottom w:val="single" w:color="auto" w:sz="4" w:space="0"/>
              <w:right w:val="single" w:color="auto" w:sz="4" w:space="0"/>
            </w:tcBorders>
            <w:shd w:val="clear"/>
            <w:vAlign w:val="center"/>
          </w:tcPr>
          <w:p>
            <w:pPr>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100</w:t>
            </w:r>
          </w:p>
        </w:tc>
        <w:tc>
          <w:tcPr>
            <w:tcW w:w="972" w:type="dxa"/>
            <w:tcBorders>
              <w:top w:val="nil"/>
              <w:left w:val="nil"/>
              <w:bottom w:val="single" w:color="auto" w:sz="4" w:space="0"/>
              <w:right w:val="single" w:color="auto" w:sz="4" w:space="0"/>
            </w:tcBorders>
            <w:shd w:val="clear"/>
            <w:vAlign w:val="center"/>
          </w:tcPr>
          <w:p>
            <w:pPr>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10</w:t>
            </w:r>
          </w:p>
        </w:tc>
        <w:tc>
          <w:tcPr>
            <w:tcW w:w="993" w:type="dxa"/>
            <w:tcBorders>
              <w:top w:val="nil"/>
              <w:left w:val="nil"/>
              <w:bottom w:val="single" w:color="auto" w:sz="4" w:space="0"/>
              <w:right w:val="single" w:color="auto" w:sz="4" w:space="0"/>
            </w:tcBorders>
            <w:shd w:val="clear"/>
            <w:vAlign w:val="center"/>
          </w:tcPr>
          <w:p>
            <w:pPr>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　</w:t>
            </w:r>
          </w:p>
        </w:tc>
        <w:tc>
          <w:tcPr>
            <w:tcW w:w="1091" w:type="dxa"/>
            <w:tcBorders>
              <w:top w:val="nil"/>
              <w:left w:val="nil"/>
              <w:bottom w:val="single" w:color="auto" w:sz="4" w:space="0"/>
              <w:right w:val="single" w:color="auto" w:sz="4" w:space="0"/>
            </w:tcBorders>
            <w:shd w:val="clear"/>
            <w:vAlign w:val="center"/>
          </w:tcPr>
          <w:p>
            <w:pPr>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548" w:type="dxa"/>
            <w:vMerge w:val="continue"/>
            <w:tcBorders>
              <w:top w:val="nil"/>
              <w:left w:val="single" w:color="auto" w:sz="4" w:space="0"/>
              <w:bottom w:val="nil"/>
              <w:right w:val="single" w:color="auto" w:sz="4" w:space="0"/>
            </w:tcBorders>
            <w:shd w:val="clear"/>
            <w:vAlign w:val="center"/>
          </w:tcPr>
          <w:p>
            <w:pPr>
              <w:rPr>
                <w:rFonts w:hint="default" w:ascii="Times New Roman" w:hAnsi="Times New Roman" w:cs="Times New Roman"/>
                <w:sz w:val="20"/>
                <w:szCs w:val="20"/>
              </w:rPr>
            </w:pPr>
          </w:p>
        </w:tc>
        <w:tc>
          <w:tcPr>
            <w:tcW w:w="1737" w:type="dxa"/>
            <w:tcBorders>
              <w:top w:val="nil"/>
              <w:left w:val="nil"/>
              <w:bottom w:val="single" w:color="auto" w:sz="4" w:space="0"/>
              <w:right w:val="single" w:color="auto" w:sz="4" w:space="0"/>
            </w:tcBorders>
            <w:shd w:val="clear"/>
            <w:vAlign w:val="center"/>
          </w:tcPr>
          <w:p>
            <w:pPr>
              <w:spacing w:line="240" w:lineRule="exact"/>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已建工程项目良性运行比例</w:t>
            </w:r>
          </w:p>
        </w:tc>
        <w:tc>
          <w:tcPr>
            <w:tcW w:w="575" w:type="dxa"/>
            <w:tcBorders>
              <w:top w:val="nil"/>
              <w:left w:val="nil"/>
              <w:bottom w:val="single" w:color="auto" w:sz="4" w:space="0"/>
              <w:right w:val="single" w:color="auto" w:sz="4" w:space="0"/>
            </w:tcBorders>
            <w:shd w:val="clear"/>
            <w:noWrap/>
            <w:vAlign w:val="center"/>
          </w:tcPr>
          <w:p>
            <w:pPr>
              <w:spacing w:line="240" w:lineRule="exact"/>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w:t>
            </w:r>
          </w:p>
        </w:tc>
        <w:tc>
          <w:tcPr>
            <w:tcW w:w="614" w:type="dxa"/>
            <w:tcBorders>
              <w:top w:val="nil"/>
              <w:left w:val="nil"/>
              <w:bottom w:val="single" w:color="auto" w:sz="4" w:space="0"/>
              <w:right w:val="single" w:color="auto" w:sz="4" w:space="0"/>
            </w:tcBorders>
            <w:shd w:val="clear"/>
            <w:noWrap/>
            <w:vAlign w:val="center"/>
          </w:tcPr>
          <w:p>
            <w:pPr>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w:t>
            </w:r>
          </w:p>
        </w:tc>
        <w:tc>
          <w:tcPr>
            <w:tcW w:w="907" w:type="dxa"/>
            <w:tcBorders>
              <w:top w:val="nil"/>
              <w:left w:val="nil"/>
              <w:bottom w:val="single" w:color="auto" w:sz="4" w:space="0"/>
              <w:right w:val="single" w:color="auto" w:sz="4" w:space="0"/>
            </w:tcBorders>
            <w:shd w:val="clear"/>
            <w:vAlign w:val="center"/>
          </w:tcPr>
          <w:p>
            <w:pPr>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100</w:t>
            </w:r>
          </w:p>
        </w:tc>
        <w:tc>
          <w:tcPr>
            <w:tcW w:w="989" w:type="dxa"/>
            <w:tcBorders>
              <w:top w:val="nil"/>
              <w:left w:val="nil"/>
              <w:bottom w:val="single" w:color="auto" w:sz="4" w:space="0"/>
              <w:right w:val="single" w:color="auto" w:sz="4" w:space="0"/>
            </w:tcBorders>
            <w:shd w:val="clear"/>
            <w:vAlign w:val="center"/>
          </w:tcPr>
          <w:p>
            <w:pPr>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100</w:t>
            </w:r>
          </w:p>
        </w:tc>
        <w:tc>
          <w:tcPr>
            <w:tcW w:w="800" w:type="dxa"/>
            <w:tcBorders>
              <w:top w:val="nil"/>
              <w:left w:val="nil"/>
              <w:bottom w:val="single" w:color="auto" w:sz="4" w:space="0"/>
              <w:right w:val="single" w:color="auto" w:sz="4" w:space="0"/>
            </w:tcBorders>
            <w:shd w:val="clear"/>
            <w:vAlign w:val="center"/>
          </w:tcPr>
          <w:p>
            <w:pPr>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100</w:t>
            </w:r>
          </w:p>
        </w:tc>
        <w:tc>
          <w:tcPr>
            <w:tcW w:w="854" w:type="dxa"/>
            <w:tcBorders>
              <w:top w:val="nil"/>
              <w:left w:val="nil"/>
              <w:bottom w:val="single" w:color="auto" w:sz="4" w:space="0"/>
              <w:right w:val="single" w:color="auto" w:sz="4" w:space="0"/>
            </w:tcBorders>
            <w:shd w:val="clear"/>
            <w:vAlign w:val="center"/>
          </w:tcPr>
          <w:p>
            <w:pPr>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100</w:t>
            </w:r>
          </w:p>
        </w:tc>
        <w:tc>
          <w:tcPr>
            <w:tcW w:w="972" w:type="dxa"/>
            <w:tcBorders>
              <w:top w:val="nil"/>
              <w:left w:val="nil"/>
              <w:bottom w:val="single" w:color="auto" w:sz="4" w:space="0"/>
              <w:right w:val="single" w:color="auto" w:sz="4" w:space="0"/>
            </w:tcBorders>
            <w:shd w:val="clear"/>
            <w:vAlign w:val="center"/>
          </w:tcPr>
          <w:p>
            <w:pPr>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5</w:t>
            </w:r>
          </w:p>
        </w:tc>
        <w:tc>
          <w:tcPr>
            <w:tcW w:w="993" w:type="dxa"/>
            <w:tcBorders>
              <w:top w:val="nil"/>
              <w:left w:val="nil"/>
              <w:bottom w:val="single" w:color="auto" w:sz="4" w:space="0"/>
              <w:right w:val="single" w:color="auto" w:sz="4" w:space="0"/>
            </w:tcBorders>
            <w:shd w:val="clear"/>
            <w:vAlign w:val="center"/>
          </w:tcPr>
          <w:p>
            <w:pPr>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　</w:t>
            </w:r>
          </w:p>
        </w:tc>
        <w:tc>
          <w:tcPr>
            <w:tcW w:w="1091" w:type="dxa"/>
            <w:tcBorders>
              <w:top w:val="nil"/>
              <w:left w:val="nil"/>
              <w:bottom w:val="single" w:color="auto" w:sz="4" w:space="0"/>
              <w:right w:val="single" w:color="auto" w:sz="4" w:space="0"/>
            </w:tcBorders>
            <w:shd w:val="clear"/>
            <w:vAlign w:val="center"/>
          </w:tcPr>
          <w:p>
            <w:pPr>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548" w:type="dxa"/>
            <w:vMerge w:val="continue"/>
            <w:tcBorders>
              <w:top w:val="nil"/>
              <w:left w:val="single" w:color="auto" w:sz="4" w:space="0"/>
              <w:bottom w:val="nil"/>
              <w:right w:val="single" w:color="auto" w:sz="4" w:space="0"/>
            </w:tcBorders>
            <w:shd w:val="clear"/>
            <w:vAlign w:val="center"/>
          </w:tcPr>
          <w:p>
            <w:pPr>
              <w:rPr>
                <w:rFonts w:hint="default" w:ascii="Times New Roman" w:hAnsi="Times New Roman" w:cs="Times New Roman"/>
                <w:sz w:val="20"/>
                <w:szCs w:val="20"/>
              </w:rPr>
            </w:pPr>
          </w:p>
        </w:tc>
        <w:tc>
          <w:tcPr>
            <w:tcW w:w="1737" w:type="dxa"/>
            <w:tcBorders>
              <w:top w:val="nil"/>
              <w:left w:val="nil"/>
              <w:bottom w:val="single" w:color="auto" w:sz="4" w:space="0"/>
              <w:right w:val="single" w:color="auto" w:sz="4" w:space="0"/>
            </w:tcBorders>
            <w:shd w:val="clear"/>
            <w:vAlign w:val="center"/>
          </w:tcPr>
          <w:p>
            <w:pPr>
              <w:spacing w:line="240" w:lineRule="exact"/>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移民对后期扶持政策满意度</w:t>
            </w:r>
          </w:p>
        </w:tc>
        <w:tc>
          <w:tcPr>
            <w:tcW w:w="575" w:type="dxa"/>
            <w:tcBorders>
              <w:top w:val="nil"/>
              <w:left w:val="nil"/>
              <w:bottom w:val="single" w:color="auto" w:sz="4" w:space="0"/>
              <w:right w:val="single" w:color="auto" w:sz="4" w:space="0"/>
            </w:tcBorders>
            <w:shd w:val="clear"/>
            <w:noWrap/>
            <w:vAlign w:val="center"/>
          </w:tcPr>
          <w:p>
            <w:pPr>
              <w:spacing w:line="240" w:lineRule="exact"/>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w:t>
            </w:r>
          </w:p>
        </w:tc>
        <w:tc>
          <w:tcPr>
            <w:tcW w:w="614" w:type="dxa"/>
            <w:tcBorders>
              <w:top w:val="nil"/>
              <w:left w:val="nil"/>
              <w:bottom w:val="single" w:color="auto" w:sz="4" w:space="0"/>
              <w:right w:val="single" w:color="auto" w:sz="4" w:space="0"/>
            </w:tcBorders>
            <w:shd w:val="clear"/>
            <w:noWrap/>
            <w:vAlign w:val="center"/>
          </w:tcPr>
          <w:p>
            <w:pPr>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w:t>
            </w:r>
          </w:p>
        </w:tc>
        <w:tc>
          <w:tcPr>
            <w:tcW w:w="907" w:type="dxa"/>
            <w:tcBorders>
              <w:top w:val="nil"/>
              <w:left w:val="nil"/>
              <w:bottom w:val="single" w:color="auto" w:sz="4" w:space="0"/>
              <w:right w:val="single" w:color="auto" w:sz="4" w:space="0"/>
            </w:tcBorders>
            <w:shd w:val="clear"/>
            <w:vAlign w:val="center"/>
          </w:tcPr>
          <w:p>
            <w:pPr>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95</w:t>
            </w:r>
          </w:p>
        </w:tc>
        <w:tc>
          <w:tcPr>
            <w:tcW w:w="989" w:type="dxa"/>
            <w:tcBorders>
              <w:top w:val="nil"/>
              <w:left w:val="nil"/>
              <w:bottom w:val="single" w:color="auto" w:sz="4" w:space="0"/>
              <w:right w:val="single" w:color="auto" w:sz="4" w:space="0"/>
            </w:tcBorders>
            <w:shd w:val="clear"/>
            <w:vAlign w:val="center"/>
          </w:tcPr>
          <w:p>
            <w:pPr>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95</w:t>
            </w:r>
          </w:p>
        </w:tc>
        <w:tc>
          <w:tcPr>
            <w:tcW w:w="800" w:type="dxa"/>
            <w:tcBorders>
              <w:top w:val="nil"/>
              <w:left w:val="nil"/>
              <w:bottom w:val="single" w:color="auto" w:sz="4" w:space="0"/>
              <w:right w:val="single" w:color="auto" w:sz="4" w:space="0"/>
            </w:tcBorders>
            <w:shd w:val="clear"/>
            <w:vAlign w:val="center"/>
          </w:tcPr>
          <w:p>
            <w:pPr>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95</w:t>
            </w:r>
          </w:p>
        </w:tc>
        <w:tc>
          <w:tcPr>
            <w:tcW w:w="854" w:type="dxa"/>
            <w:tcBorders>
              <w:top w:val="nil"/>
              <w:left w:val="nil"/>
              <w:bottom w:val="single" w:color="auto" w:sz="4" w:space="0"/>
              <w:right w:val="single" w:color="auto" w:sz="4" w:space="0"/>
            </w:tcBorders>
            <w:shd w:val="clear"/>
            <w:vAlign w:val="center"/>
          </w:tcPr>
          <w:p>
            <w:pPr>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100</w:t>
            </w:r>
          </w:p>
        </w:tc>
        <w:tc>
          <w:tcPr>
            <w:tcW w:w="972" w:type="dxa"/>
            <w:tcBorders>
              <w:top w:val="nil"/>
              <w:left w:val="nil"/>
              <w:bottom w:val="single" w:color="auto" w:sz="4" w:space="0"/>
              <w:right w:val="single" w:color="auto" w:sz="4" w:space="0"/>
            </w:tcBorders>
            <w:shd w:val="clear"/>
            <w:vAlign w:val="center"/>
          </w:tcPr>
          <w:p>
            <w:pPr>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5</w:t>
            </w:r>
          </w:p>
        </w:tc>
        <w:tc>
          <w:tcPr>
            <w:tcW w:w="993" w:type="dxa"/>
            <w:tcBorders>
              <w:top w:val="nil"/>
              <w:left w:val="nil"/>
              <w:bottom w:val="single" w:color="auto" w:sz="4" w:space="0"/>
              <w:right w:val="single" w:color="auto" w:sz="4" w:space="0"/>
            </w:tcBorders>
            <w:shd w:val="clear"/>
            <w:vAlign w:val="center"/>
          </w:tcPr>
          <w:p>
            <w:pPr>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　</w:t>
            </w:r>
          </w:p>
        </w:tc>
        <w:tc>
          <w:tcPr>
            <w:tcW w:w="1091" w:type="dxa"/>
            <w:tcBorders>
              <w:top w:val="nil"/>
              <w:left w:val="nil"/>
              <w:bottom w:val="single" w:color="auto" w:sz="4" w:space="0"/>
              <w:right w:val="single" w:color="auto" w:sz="4" w:space="0"/>
            </w:tcBorders>
            <w:shd w:val="clear"/>
            <w:vAlign w:val="center"/>
          </w:tcPr>
          <w:p>
            <w:pPr>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548" w:type="dxa"/>
            <w:tcBorders>
              <w:top w:val="single" w:color="auto" w:sz="4" w:space="0"/>
              <w:left w:val="single" w:color="auto" w:sz="4" w:space="0"/>
              <w:bottom w:val="single" w:color="auto" w:sz="4" w:space="0"/>
              <w:right w:val="single" w:color="auto" w:sz="4" w:space="0"/>
            </w:tcBorders>
            <w:shd w:val="clear"/>
            <w:vAlign w:val="center"/>
          </w:tcPr>
          <w:p>
            <w:pPr>
              <w:spacing w:line="240" w:lineRule="exact"/>
              <w:jc w:val="center"/>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说明</w:t>
            </w:r>
          </w:p>
        </w:tc>
        <w:tc>
          <w:tcPr>
            <w:tcW w:w="9532" w:type="dxa"/>
            <w:gridSpan w:val="10"/>
            <w:tcBorders>
              <w:top w:val="single" w:color="auto" w:sz="4" w:space="0"/>
              <w:left w:val="nil"/>
              <w:bottom w:val="single" w:color="auto" w:sz="4" w:space="0"/>
              <w:right w:val="single" w:color="000000" w:sz="4" w:space="0"/>
            </w:tcBorders>
            <w:shd w:val="clear"/>
            <w:vAlign w:val="center"/>
          </w:tcPr>
          <w:p>
            <w:pPr>
              <w:spacing w:line="240" w:lineRule="exact"/>
              <w:rPr>
                <w:rFonts w:hint="eastAsia" w:ascii="宋体" w:hAnsi="宋体" w:eastAsia="宋体" w:cs="宋体"/>
                <w:color w:val="000000"/>
                <w:kern w:val="0"/>
                <w:sz w:val="16"/>
                <w:szCs w:val="16"/>
                <w:bdr w:val="none" w:color="auto" w:sz="0" w:space="0"/>
              </w:rPr>
            </w:pPr>
            <w:r>
              <w:rPr>
                <w:rFonts w:hint="eastAsia" w:ascii="宋体" w:hAnsi="宋体" w:eastAsia="宋体" w:cs="宋体"/>
                <w:color w:val="000000"/>
                <w:kern w:val="0"/>
                <w:sz w:val="16"/>
                <w:szCs w:val="16"/>
                <w:bdr w:val="none" w:color="auto" w:sz="0" w:space="0"/>
              </w:rPr>
              <w:t>未完成绩效目标、完成绩效目标偏多（30%及以上）的需注明原因、改进措施及其他说明。</w:t>
            </w:r>
          </w:p>
        </w:tc>
      </w:tr>
    </w:tbl>
    <w:p>
      <w:pPr>
        <w:pStyle w:val="2"/>
        <w:rPr>
          <w:rFonts w:hint="eastAsia" w:ascii="宋体" w:hAnsi="宋体" w:eastAsia="宋体" w:cs="宋体"/>
          <w:b/>
          <w:kern w:val="0"/>
          <w:sz w:val="36"/>
          <w:szCs w:val="36"/>
        </w:rPr>
      </w:pPr>
      <w:r>
        <w:rPr>
          <w:rFonts w:hint="eastAsia" w:ascii="宋体" w:hAnsi="宋体" w:eastAsia="宋体" w:cs="宋体"/>
          <w:b/>
          <w:kern w:val="0"/>
          <w:sz w:val="36"/>
          <w:szCs w:val="36"/>
        </w:rPr>
        <w:t xml:space="preserve"> </w:t>
      </w:r>
    </w:p>
    <w:p>
      <w:pPr>
        <w:rPr>
          <w:rFonts w:hint="eastAsia" w:ascii="方正仿宋_GBK" w:hAnsi="方正仿宋_GBK" w:eastAsia="方正仿宋_GBK" w:cs="方正仿宋_GBK"/>
          <w:kern w:val="0"/>
          <w:sz w:val="32"/>
          <w:szCs w:val="32"/>
          <w:shd w:val="clear" w:fill="FFFFFF"/>
        </w:rPr>
        <w:sectPr>
          <w:footerReference r:id="rId4" w:type="default"/>
          <w:pgSz w:w="11915" w:h="16840"/>
          <w:pgMar w:top="1440" w:right="1797" w:bottom="1440" w:left="1797" w:header="851" w:footer="992" w:gutter="0"/>
          <w:cols w:space="0" w:num="1"/>
          <w:docGrid w:type="lines" w:linePitch="312" w:charSpace="0"/>
        </w:sectPr>
      </w:pPr>
    </w:p>
    <w:p>
      <w:pPr>
        <w:keepNext w:val="0"/>
        <w:keepLines w:val="0"/>
        <w:widowControl w:val="0"/>
        <w:suppressLineNumbers w:val="0"/>
        <w:autoSpaceDE w:val="0"/>
        <w:autoSpaceDN/>
        <w:spacing w:line="560" w:lineRule="exact"/>
        <w:ind w:left="0" w:firstLine="640" w:firstLineChars="200"/>
        <w:jc w:val="both"/>
        <w:rPr>
          <w:rFonts w:hint="eastAsia" w:ascii="方正仿宋_GBK" w:hAnsi="方正仿宋_GBK" w:eastAsia="方正仿宋_GBK" w:cs="方正仿宋_GBK"/>
          <w:kern w:val="0"/>
          <w:sz w:val="32"/>
          <w:szCs w:val="32"/>
          <w:shd w:val="clear" w:fill="FFFFFF"/>
        </w:rPr>
      </w:pPr>
      <w:r>
        <w:rPr>
          <w:rFonts w:hint="eastAsia" w:ascii="方正仿宋_GBK" w:hAnsi="方正仿宋_GBK" w:eastAsia="方正仿宋_GBK" w:cs="方正仿宋_GBK"/>
          <w:kern w:val="0"/>
          <w:sz w:val="32"/>
          <w:szCs w:val="32"/>
          <w:shd w:val="clear" w:fill="FFFFFF"/>
        </w:rPr>
        <w:t>2.绩效自评报告或案例（无）</w:t>
      </w:r>
    </w:p>
    <w:p>
      <w:pPr>
        <w:keepNext w:val="0"/>
        <w:keepLines w:val="0"/>
        <w:widowControl w:val="0"/>
        <w:suppressLineNumbers w:val="0"/>
        <w:autoSpaceDE w:val="0"/>
        <w:autoSpaceDN/>
        <w:spacing w:line="560" w:lineRule="exact"/>
        <w:ind w:left="0" w:firstLine="640" w:firstLineChars="200"/>
        <w:jc w:val="both"/>
        <w:rPr>
          <w:rFonts w:hint="eastAsia" w:ascii="方正仿宋_GBK" w:hAnsi="方正仿宋_GBK" w:eastAsia="方正仿宋_GBK" w:cs="方正仿宋_GBK"/>
          <w:kern w:val="0"/>
          <w:sz w:val="32"/>
          <w:szCs w:val="32"/>
          <w:shd w:val="clear" w:fill="FFFFFF"/>
        </w:rPr>
      </w:pPr>
      <w:r>
        <w:rPr>
          <w:rFonts w:hint="eastAsia" w:ascii="方正仿宋_GBK" w:hAnsi="方正仿宋_GBK" w:eastAsia="方正仿宋_GBK" w:cs="方正仿宋_GBK"/>
          <w:kern w:val="0"/>
          <w:sz w:val="32"/>
          <w:szCs w:val="32"/>
          <w:shd w:val="clear" w:fill="FFFFFF"/>
        </w:rPr>
        <w:t>3.关于绩效自评结果的说明。本年度开展的部门整体和46项目绩效自评，从评价情况来看，整体支出自评结果为“良”；项目资金使用绩效总体较好，自评结果“良”的项目占100%。</w:t>
      </w:r>
    </w:p>
    <w:p>
      <w:pPr>
        <w:keepNext w:val="0"/>
        <w:keepLines w:val="0"/>
        <w:widowControl w:val="0"/>
        <w:suppressLineNumbers w:val="0"/>
        <w:autoSpaceDE w:val="0"/>
        <w:autoSpaceDN/>
        <w:spacing w:line="560" w:lineRule="exact"/>
        <w:ind w:left="0" w:firstLine="640" w:firstLineChars="200"/>
        <w:jc w:val="both"/>
        <w:rPr>
          <w:rFonts w:hint="eastAsia" w:ascii="方正楷体_GBK" w:hAnsi="方正楷体_GBK" w:eastAsia="方正楷体_GBK" w:cs="方正楷体_GBK"/>
          <w:kern w:val="0"/>
          <w:sz w:val="32"/>
          <w:szCs w:val="32"/>
          <w:shd w:val="clear" w:fill="FFFFFF"/>
        </w:rPr>
      </w:pPr>
      <w:r>
        <w:rPr>
          <w:rFonts w:hint="eastAsia" w:ascii="方正楷体_GBK" w:hAnsi="方正楷体_GBK" w:eastAsia="方正楷体_GBK" w:cs="方正楷体_GBK"/>
          <w:kern w:val="0"/>
          <w:sz w:val="32"/>
          <w:szCs w:val="32"/>
          <w:shd w:val="clear" w:fill="FFFFFF"/>
        </w:rPr>
        <w:t>（三）重点绩效评价结果。</w:t>
      </w:r>
      <w:r>
        <w:rPr>
          <w:rFonts w:hint="eastAsia" w:ascii="方正仿宋_GBK" w:hAnsi="方正仿宋_GBK" w:eastAsia="方正仿宋_GBK" w:cs="方正仿宋_GBK"/>
          <w:kern w:val="0"/>
          <w:sz w:val="32"/>
          <w:szCs w:val="32"/>
          <w:shd w:val="clear" w:fill="FFFFFF"/>
        </w:rPr>
        <w:t>无</w:t>
      </w:r>
    </w:p>
    <w:p>
      <w:pPr>
        <w:pStyle w:val="20"/>
        <w:keepNext w:val="0"/>
        <w:keepLines w:val="0"/>
        <w:widowControl w:val="0"/>
        <w:suppressLineNumbers w:val="0"/>
        <w:autoSpaceDE w:val="0"/>
        <w:autoSpaceDN/>
        <w:adjustRightInd w:val="0"/>
        <w:snapToGrid w:val="0"/>
        <w:spacing w:line="560" w:lineRule="exact"/>
        <w:ind w:left="0" w:firstLine="640"/>
        <w:jc w:val="both"/>
        <w:rPr>
          <w:rFonts w:hint="eastAsia" w:ascii="方正黑体_GBK" w:hAnsi="方正黑体_GBK" w:eastAsia="方正黑体_GBK" w:cs="方正黑体_GBK"/>
          <w:kern w:val="2"/>
          <w:sz w:val="32"/>
          <w:szCs w:val="32"/>
        </w:rPr>
      </w:pPr>
      <w:r>
        <w:rPr>
          <w:rFonts w:hint="eastAsia" w:ascii="方正黑体_GBK" w:hAnsi="方正黑体_GBK" w:eastAsia="方正黑体_GBK" w:cs="方正黑体_GBK"/>
          <w:kern w:val="2"/>
          <w:sz w:val="32"/>
          <w:szCs w:val="32"/>
        </w:rPr>
        <w:t>六、专业名词解释</w:t>
      </w:r>
    </w:p>
    <w:p>
      <w:pPr>
        <w:pStyle w:val="23"/>
        <w:keepNext w:val="0"/>
        <w:keepLines w:val="0"/>
        <w:widowControl w:val="0"/>
        <w:suppressLineNumbers w:val="0"/>
        <w:autoSpaceDE w:val="0"/>
        <w:autoSpaceDN/>
        <w:snapToGrid w:val="0"/>
        <w:spacing w:before="0" w:beforeAutospacing="0" w:after="0" w:afterAutospacing="0" w:line="560" w:lineRule="exact"/>
        <w:ind w:left="0" w:right="0" w:firstLine="640" w:firstLineChars="200"/>
        <w:jc w:val="both"/>
        <w:rPr>
          <w:rFonts w:hint="eastAsia" w:ascii="方正仿宋_GBK" w:hAnsi="方正仿宋_GBK" w:eastAsia="方正仿宋_GBK" w:cs="方正仿宋_GBK"/>
          <w:kern w:val="0"/>
          <w:sz w:val="32"/>
          <w:szCs w:val="32"/>
          <w:shd w:val="clear" w:fill="FFFFFF"/>
        </w:rPr>
      </w:pPr>
      <w:r>
        <w:rPr>
          <w:rFonts w:hint="eastAsia" w:ascii="方正楷体_GBK" w:hAnsi="方正楷体_GBK" w:eastAsia="方正楷体_GBK" w:cs="方正楷体_GBK"/>
          <w:kern w:val="0"/>
          <w:sz w:val="32"/>
          <w:szCs w:val="32"/>
          <w:shd w:val="clear" w:fill="FFFFFF"/>
        </w:rPr>
        <w:t>（一）财政拨款收入：</w:t>
      </w:r>
      <w:r>
        <w:rPr>
          <w:rFonts w:hint="eastAsia" w:ascii="方正仿宋_GBK" w:hAnsi="方正仿宋_GBK" w:eastAsia="方正仿宋_GBK" w:cs="方正仿宋_GBK"/>
          <w:kern w:val="2"/>
          <w:sz w:val="32"/>
          <w:szCs w:val="32"/>
          <w:shd w:val="clear" w:fill="FFFFFF"/>
        </w:rPr>
        <w:t>指本年度从本级财政部门取得的财政拨款，包括一般公共预算财政拨款和政府性基金预算财政拨款。</w:t>
      </w:r>
    </w:p>
    <w:p>
      <w:pPr>
        <w:pStyle w:val="23"/>
        <w:keepNext w:val="0"/>
        <w:keepLines w:val="0"/>
        <w:widowControl w:val="0"/>
        <w:suppressLineNumbers w:val="0"/>
        <w:autoSpaceDE w:val="0"/>
        <w:autoSpaceDN/>
        <w:snapToGrid w:val="0"/>
        <w:spacing w:before="0" w:beforeAutospacing="0" w:after="0" w:afterAutospacing="0" w:line="560" w:lineRule="exact"/>
        <w:ind w:left="0" w:right="0" w:firstLine="640" w:firstLineChars="200"/>
        <w:jc w:val="both"/>
        <w:rPr>
          <w:rFonts w:hint="eastAsia" w:ascii="方正仿宋_GBK" w:hAnsi="方正仿宋_GBK" w:eastAsia="方正仿宋_GBK" w:cs="方正仿宋_GBK"/>
          <w:kern w:val="2"/>
          <w:sz w:val="32"/>
          <w:szCs w:val="32"/>
          <w:shd w:val="clear" w:fill="FFFFFF"/>
        </w:rPr>
      </w:pPr>
      <w:r>
        <w:rPr>
          <w:rFonts w:hint="eastAsia" w:ascii="方正楷体_GBK" w:hAnsi="方正楷体_GBK" w:eastAsia="方正楷体_GBK" w:cs="方正楷体_GBK"/>
          <w:kern w:val="0"/>
          <w:sz w:val="32"/>
          <w:szCs w:val="32"/>
          <w:shd w:val="clear" w:fill="FFFFFF"/>
        </w:rPr>
        <w:t>（二）年初结转和结余：</w:t>
      </w:r>
      <w:r>
        <w:rPr>
          <w:rFonts w:hint="eastAsia" w:ascii="方正仿宋_GBK" w:hAnsi="方正仿宋_GBK" w:eastAsia="方正仿宋_GBK" w:cs="方正仿宋_GBK"/>
          <w:kern w:val="2"/>
          <w:sz w:val="32"/>
          <w:szCs w:val="32"/>
          <w:shd w:val="clear" w:fill="FFFFFF"/>
        </w:rPr>
        <w:t>指单位上年结转本年使用的基本支出结转、项目支出结转和结余、经营结余。</w:t>
      </w:r>
    </w:p>
    <w:p>
      <w:pPr>
        <w:pStyle w:val="23"/>
        <w:keepNext w:val="0"/>
        <w:keepLines w:val="0"/>
        <w:widowControl w:val="0"/>
        <w:suppressLineNumbers w:val="0"/>
        <w:autoSpaceDE w:val="0"/>
        <w:autoSpaceDN/>
        <w:snapToGrid w:val="0"/>
        <w:spacing w:before="0" w:beforeAutospacing="0" w:after="0" w:afterAutospacing="0" w:line="560" w:lineRule="exact"/>
        <w:ind w:left="0" w:right="0" w:firstLine="640" w:firstLineChars="200"/>
        <w:jc w:val="both"/>
        <w:rPr>
          <w:rFonts w:hint="eastAsia" w:ascii="方正仿宋_GBK" w:hAnsi="方正仿宋_GBK" w:eastAsia="方正仿宋_GBK" w:cs="方正仿宋_GBK"/>
          <w:kern w:val="2"/>
          <w:sz w:val="32"/>
          <w:szCs w:val="32"/>
          <w:shd w:val="clear" w:fill="FFFFFF"/>
        </w:rPr>
      </w:pPr>
      <w:r>
        <w:rPr>
          <w:rFonts w:hint="eastAsia" w:ascii="方正楷体_GBK" w:hAnsi="方正楷体_GBK" w:eastAsia="方正楷体_GBK" w:cs="方正楷体_GBK"/>
          <w:kern w:val="0"/>
          <w:sz w:val="32"/>
          <w:szCs w:val="32"/>
          <w:shd w:val="clear" w:fill="FFFFFF"/>
        </w:rPr>
        <w:t>（三）年末结转和结余：</w:t>
      </w:r>
      <w:r>
        <w:rPr>
          <w:rFonts w:hint="eastAsia" w:ascii="方正仿宋_GBK" w:hAnsi="方正仿宋_GBK" w:eastAsia="方正仿宋_GBK" w:cs="方正仿宋_GBK"/>
          <w:kern w:val="2"/>
          <w:sz w:val="32"/>
          <w:szCs w:val="32"/>
          <w:shd w:val="clear" w:fill="FFFFFF"/>
        </w:rPr>
        <w:t>指单位结转下年的基本支出结转、项目支出结转和结余、经营结余。</w:t>
      </w:r>
    </w:p>
    <w:p>
      <w:pPr>
        <w:pStyle w:val="23"/>
        <w:keepNext w:val="0"/>
        <w:keepLines w:val="0"/>
        <w:widowControl w:val="0"/>
        <w:suppressLineNumbers w:val="0"/>
        <w:autoSpaceDE w:val="0"/>
        <w:autoSpaceDN/>
        <w:snapToGrid w:val="0"/>
        <w:spacing w:before="0" w:beforeAutospacing="0" w:after="0" w:afterAutospacing="0" w:line="560" w:lineRule="exact"/>
        <w:ind w:left="0" w:right="0" w:firstLine="640" w:firstLineChars="200"/>
        <w:jc w:val="both"/>
        <w:rPr>
          <w:rFonts w:hint="eastAsia" w:ascii="方正仿宋_GBK" w:hAnsi="方正仿宋_GBK" w:eastAsia="方正仿宋_GBK" w:cs="方正仿宋_GBK"/>
          <w:kern w:val="2"/>
          <w:sz w:val="32"/>
          <w:szCs w:val="32"/>
          <w:shd w:val="clear" w:fill="FFFFFF"/>
        </w:rPr>
      </w:pPr>
      <w:r>
        <w:rPr>
          <w:rFonts w:hint="eastAsia" w:ascii="方正楷体_GBK" w:hAnsi="方正楷体_GBK" w:eastAsia="方正楷体_GBK" w:cs="方正楷体_GBK"/>
          <w:kern w:val="0"/>
          <w:sz w:val="32"/>
          <w:szCs w:val="32"/>
          <w:shd w:val="clear" w:fill="FFFFFF"/>
        </w:rPr>
        <w:t>（四）基本支出：</w:t>
      </w:r>
      <w:r>
        <w:rPr>
          <w:rFonts w:hint="eastAsia" w:ascii="方正仿宋_GBK" w:hAnsi="方正仿宋_GBK" w:eastAsia="方正仿宋_GBK" w:cs="方正仿宋_GBK"/>
          <w:kern w:val="2"/>
          <w:sz w:val="32"/>
          <w:szCs w:val="32"/>
          <w:shd w:val="clear" w:fill="FFFFFF"/>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23"/>
        <w:keepNext w:val="0"/>
        <w:keepLines w:val="0"/>
        <w:widowControl w:val="0"/>
        <w:suppressLineNumbers w:val="0"/>
        <w:autoSpaceDE w:val="0"/>
        <w:autoSpaceDN/>
        <w:snapToGrid w:val="0"/>
        <w:spacing w:before="0" w:beforeAutospacing="0" w:after="0" w:afterAutospacing="0" w:line="560" w:lineRule="exact"/>
        <w:ind w:left="0" w:right="0" w:firstLine="640" w:firstLineChars="200"/>
        <w:jc w:val="both"/>
        <w:rPr>
          <w:rFonts w:hint="eastAsia" w:ascii="方正仿宋_GBK" w:hAnsi="方正仿宋_GBK" w:eastAsia="方正仿宋_GBK" w:cs="方正仿宋_GBK"/>
          <w:kern w:val="2"/>
          <w:sz w:val="32"/>
          <w:szCs w:val="32"/>
          <w:shd w:val="clear" w:fill="FFFFFF"/>
        </w:rPr>
      </w:pPr>
      <w:r>
        <w:rPr>
          <w:rFonts w:hint="eastAsia" w:ascii="方正楷体_GBK" w:hAnsi="方正楷体_GBK" w:eastAsia="方正楷体_GBK" w:cs="方正楷体_GBK"/>
          <w:kern w:val="0"/>
          <w:sz w:val="32"/>
          <w:szCs w:val="32"/>
          <w:shd w:val="clear" w:fill="FFFFFF"/>
        </w:rPr>
        <w:t>（五）项目支出：</w:t>
      </w:r>
      <w:r>
        <w:rPr>
          <w:rFonts w:hint="eastAsia" w:ascii="方正仿宋_GBK" w:hAnsi="方正仿宋_GBK" w:eastAsia="方正仿宋_GBK" w:cs="方正仿宋_GBK"/>
          <w:kern w:val="2"/>
          <w:sz w:val="32"/>
          <w:szCs w:val="32"/>
          <w:shd w:val="clear" w:fill="FFFFFF"/>
        </w:rPr>
        <w:t>指在基本支出之外为完成特定行政任务和事业发展目标所发生的支出。</w:t>
      </w:r>
    </w:p>
    <w:p>
      <w:pPr>
        <w:pStyle w:val="23"/>
        <w:keepNext w:val="0"/>
        <w:keepLines w:val="0"/>
        <w:widowControl w:val="0"/>
        <w:suppressLineNumbers w:val="0"/>
        <w:autoSpaceDE w:val="0"/>
        <w:autoSpaceDN/>
        <w:snapToGrid w:val="0"/>
        <w:spacing w:before="0" w:beforeAutospacing="0" w:after="0" w:afterAutospacing="0" w:line="560" w:lineRule="exact"/>
        <w:ind w:left="0" w:right="0" w:firstLine="640" w:firstLineChars="200"/>
        <w:jc w:val="both"/>
        <w:rPr>
          <w:rFonts w:hint="eastAsia" w:ascii="方正仿宋_GBK" w:hAnsi="方正仿宋_GBK" w:eastAsia="方正仿宋_GBK" w:cs="方正仿宋_GBK"/>
          <w:kern w:val="2"/>
          <w:sz w:val="32"/>
          <w:szCs w:val="32"/>
          <w:shd w:val="clear" w:fill="FFFFFF"/>
        </w:rPr>
      </w:pPr>
      <w:r>
        <w:rPr>
          <w:rFonts w:hint="eastAsia" w:ascii="方正楷体_GBK" w:hAnsi="方正楷体_GBK" w:eastAsia="方正楷体_GBK" w:cs="方正楷体_GBK"/>
          <w:kern w:val="0"/>
          <w:sz w:val="32"/>
          <w:szCs w:val="32"/>
          <w:shd w:val="clear" w:fill="FFFFFF"/>
        </w:rPr>
        <w:t>（六）“三公”经费：</w:t>
      </w:r>
      <w:r>
        <w:rPr>
          <w:rFonts w:hint="eastAsia" w:ascii="方正仿宋_GBK" w:hAnsi="方正仿宋_GBK" w:eastAsia="方正仿宋_GBK" w:cs="方正仿宋_GBK"/>
          <w:kern w:val="2"/>
          <w:sz w:val="32"/>
          <w:szCs w:val="32"/>
          <w:shd w:val="clear" w:fill="FFFFFF"/>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23"/>
        <w:keepNext w:val="0"/>
        <w:keepLines w:val="0"/>
        <w:widowControl w:val="0"/>
        <w:suppressLineNumbers w:val="0"/>
        <w:autoSpaceDE w:val="0"/>
        <w:autoSpaceDN/>
        <w:snapToGrid w:val="0"/>
        <w:spacing w:before="0" w:beforeAutospacing="0" w:after="0" w:afterAutospacing="0" w:line="560" w:lineRule="exact"/>
        <w:ind w:left="0" w:right="0" w:firstLine="640" w:firstLineChars="200"/>
        <w:jc w:val="both"/>
        <w:rPr>
          <w:rFonts w:hint="eastAsia" w:ascii="方正仿宋_GBK" w:hAnsi="方正仿宋_GBK" w:eastAsia="方正仿宋_GBK" w:cs="方正仿宋_GBK"/>
          <w:kern w:val="2"/>
          <w:sz w:val="32"/>
          <w:szCs w:val="32"/>
          <w:shd w:val="clear" w:fill="FFFFFF"/>
        </w:rPr>
      </w:pPr>
      <w:r>
        <w:rPr>
          <w:rFonts w:hint="eastAsia" w:ascii="方正楷体_GBK" w:hAnsi="方正楷体_GBK" w:eastAsia="方正楷体_GBK" w:cs="方正楷体_GBK"/>
          <w:kern w:val="0"/>
          <w:sz w:val="32"/>
          <w:szCs w:val="32"/>
          <w:shd w:val="clear" w:fill="FFFFFF"/>
        </w:rPr>
        <w:t>（七）机关运行经费：</w:t>
      </w:r>
      <w:r>
        <w:rPr>
          <w:rFonts w:hint="eastAsia" w:ascii="方正仿宋_GBK" w:hAnsi="方正仿宋_GBK" w:eastAsia="方正仿宋_GBK" w:cs="方正仿宋_GBK"/>
          <w:kern w:val="2"/>
          <w:sz w:val="32"/>
          <w:szCs w:val="32"/>
          <w:shd w:val="clear" w:fill="FFFFFF"/>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23"/>
        <w:keepNext w:val="0"/>
        <w:keepLines w:val="0"/>
        <w:widowControl w:val="0"/>
        <w:suppressLineNumbers w:val="0"/>
        <w:autoSpaceDE w:val="0"/>
        <w:autoSpaceDN/>
        <w:snapToGrid w:val="0"/>
        <w:spacing w:before="0" w:beforeAutospacing="0" w:after="0" w:afterAutospacing="0" w:line="560" w:lineRule="exact"/>
        <w:ind w:left="0" w:right="0" w:firstLine="640" w:firstLineChars="200"/>
        <w:jc w:val="both"/>
        <w:rPr>
          <w:rFonts w:hint="eastAsia" w:ascii="方正仿宋_GBK" w:hAnsi="方正仿宋_GBK" w:eastAsia="方正仿宋_GBK" w:cs="方正仿宋_GBK"/>
          <w:kern w:val="2"/>
          <w:sz w:val="32"/>
          <w:szCs w:val="32"/>
          <w:shd w:val="clear" w:fill="FFFFFF"/>
        </w:rPr>
      </w:pPr>
      <w:r>
        <w:rPr>
          <w:rFonts w:hint="eastAsia" w:ascii="方正楷体_GBK" w:hAnsi="方正楷体_GBK" w:eastAsia="方正楷体_GBK" w:cs="方正楷体_GBK"/>
          <w:kern w:val="0"/>
          <w:sz w:val="32"/>
          <w:szCs w:val="32"/>
          <w:shd w:val="clear" w:fill="FFFFFF"/>
        </w:rPr>
        <w:t>（八）工资福利支出（支出经济分类科目类级）：</w:t>
      </w:r>
      <w:r>
        <w:rPr>
          <w:rFonts w:hint="eastAsia" w:ascii="方正仿宋_GBK" w:hAnsi="方正仿宋_GBK" w:eastAsia="方正仿宋_GBK" w:cs="方正仿宋_GBK"/>
          <w:kern w:val="2"/>
          <w:sz w:val="32"/>
          <w:szCs w:val="32"/>
          <w:shd w:val="clear" w:fill="FFFFFF"/>
        </w:rPr>
        <w:t>反映单位开支的在职职工和编制外长期聘用人员的各类劳动报酬，以及为上述人员缴纳的各项社会保险费等。</w:t>
      </w:r>
    </w:p>
    <w:p>
      <w:pPr>
        <w:pStyle w:val="23"/>
        <w:keepNext w:val="0"/>
        <w:keepLines w:val="0"/>
        <w:widowControl w:val="0"/>
        <w:suppressLineNumbers w:val="0"/>
        <w:autoSpaceDE w:val="0"/>
        <w:autoSpaceDN/>
        <w:snapToGrid w:val="0"/>
        <w:spacing w:before="0" w:beforeAutospacing="0" w:after="0" w:afterAutospacing="0" w:line="560" w:lineRule="exact"/>
        <w:ind w:left="0" w:right="0" w:firstLine="640" w:firstLineChars="200"/>
        <w:jc w:val="both"/>
        <w:rPr>
          <w:rFonts w:hint="eastAsia" w:ascii="方正仿宋_GBK" w:hAnsi="方正仿宋_GBK" w:eastAsia="方正仿宋_GBK" w:cs="方正仿宋_GBK"/>
          <w:kern w:val="2"/>
          <w:sz w:val="32"/>
          <w:szCs w:val="32"/>
          <w:shd w:val="clear" w:fill="FFFFFF"/>
        </w:rPr>
      </w:pPr>
      <w:r>
        <w:rPr>
          <w:rFonts w:hint="eastAsia" w:ascii="方正楷体_GBK" w:hAnsi="方正楷体_GBK" w:eastAsia="方正楷体_GBK" w:cs="方正楷体_GBK"/>
          <w:kern w:val="0"/>
          <w:sz w:val="32"/>
          <w:szCs w:val="32"/>
          <w:shd w:val="clear" w:fill="FFFFFF"/>
        </w:rPr>
        <w:t>（九）商品和服务支出（支出经济分类科目类级）：</w:t>
      </w:r>
      <w:r>
        <w:rPr>
          <w:rFonts w:hint="eastAsia" w:ascii="方正仿宋_GBK" w:hAnsi="方正仿宋_GBK" w:eastAsia="方正仿宋_GBK" w:cs="方正仿宋_GBK"/>
          <w:kern w:val="2"/>
          <w:sz w:val="32"/>
          <w:szCs w:val="32"/>
          <w:shd w:val="clear" w:fill="FFFFFF"/>
        </w:rPr>
        <w:t>反映单位购买商品和服务的支出（不包括用于购置固定资产的支出、战略性和应急储备支出）。</w:t>
      </w:r>
    </w:p>
    <w:p>
      <w:pPr>
        <w:pStyle w:val="23"/>
        <w:keepNext w:val="0"/>
        <w:keepLines w:val="0"/>
        <w:widowControl w:val="0"/>
        <w:suppressLineNumbers w:val="0"/>
        <w:autoSpaceDE w:val="0"/>
        <w:autoSpaceDN/>
        <w:snapToGrid w:val="0"/>
        <w:spacing w:before="0" w:beforeAutospacing="0" w:after="0" w:afterAutospacing="0" w:line="560" w:lineRule="exact"/>
        <w:ind w:left="0" w:right="0" w:firstLine="640" w:firstLineChars="200"/>
        <w:jc w:val="both"/>
        <w:rPr>
          <w:rFonts w:hint="eastAsia" w:ascii="方正仿宋_GBK" w:hAnsi="方正仿宋_GBK" w:eastAsia="方正仿宋_GBK" w:cs="方正仿宋_GBK"/>
          <w:kern w:val="2"/>
          <w:sz w:val="32"/>
          <w:szCs w:val="32"/>
          <w:shd w:val="clear" w:fill="FFFFFF"/>
        </w:rPr>
      </w:pPr>
      <w:r>
        <w:rPr>
          <w:rFonts w:hint="eastAsia" w:ascii="方正楷体_GBK" w:hAnsi="方正楷体_GBK" w:eastAsia="方正楷体_GBK" w:cs="方正楷体_GBK"/>
          <w:kern w:val="0"/>
          <w:sz w:val="32"/>
          <w:szCs w:val="32"/>
          <w:shd w:val="clear" w:fill="FFFFFF"/>
        </w:rPr>
        <w:t>（十）对个人和家庭的补助（支出经济分类科目类级）：</w:t>
      </w:r>
      <w:r>
        <w:rPr>
          <w:rFonts w:hint="eastAsia" w:ascii="方正仿宋_GBK" w:hAnsi="方正仿宋_GBK" w:eastAsia="方正仿宋_GBK" w:cs="方正仿宋_GBK"/>
          <w:kern w:val="2"/>
          <w:sz w:val="32"/>
          <w:szCs w:val="32"/>
          <w:shd w:val="clear" w:fill="FFFFFF"/>
        </w:rPr>
        <w:t>反映用于对个人和家庭的补助支出。</w:t>
      </w:r>
    </w:p>
    <w:p>
      <w:pPr>
        <w:pStyle w:val="23"/>
        <w:keepNext w:val="0"/>
        <w:keepLines w:val="0"/>
        <w:widowControl w:val="0"/>
        <w:suppressLineNumbers w:val="0"/>
        <w:autoSpaceDE w:val="0"/>
        <w:autoSpaceDN/>
        <w:snapToGrid w:val="0"/>
        <w:spacing w:before="0" w:beforeAutospacing="0" w:after="0" w:afterAutospacing="0" w:line="560" w:lineRule="exact"/>
        <w:ind w:left="0" w:right="0" w:firstLine="640" w:firstLineChars="200"/>
        <w:jc w:val="both"/>
        <w:rPr>
          <w:rFonts w:hint="eastAsia" w:ascii="方正仿宋_GBK" w:hAnsi="方正仿宋_GBK" w:eastAsia="方正仿宋_GBK" w:cs="方正仿宋_GBK"/>
          <w:kern w:val="2"/>
          <w:sz w:val="32"/>
          <w:szCs w:val="32"/>
          <w:shd w:val="clear" w:fill="FFFFFF"/>
        </w:rPr>
      </w:pPr>
      <w:r>
        <w:rPr>
          <w:rFonts w:hint="eastAsia" w:ascii="方正楷体_GBK" w:hAnsi="方正楷体_GBK" w:eastAsia="方正楷体_GBK" w:cs="方正楷体_GBK"/>
          <w:kern w:val="0"/>
          <w:sz w:val="32"/>
          <w:szCs w:val="32"/>
          <w:shd w:val="clear" w:fill="FFFFFF"/>
        </w:rPr>
        <w:t>（十一）其他资本性支出（支出经济分类科目类级）：</w:t>
      </w:r>
      <w:r>
        <w:rPr>
          <w:rFonts w:hint="eastAsia" w:ascii="方正仿宋_GBK" w:hAnsi="方正仿宋_GBK" w:eastAsia="方正仿宋_GBK" w:cs="方正仿宋_GBK"/>
          <w:kern w:val="2"/>
          <w:sz w:val="32"/>
          <w:szCs w:val="32"/>
          <w:shd w:val="clear" w:fill="FFFFFF"/>
        </w:rPr>
        <w:t>反映非各级发展与改革部门集中安排的用于购置固定资产、战略性和应急性储备、土地和无形资产，以及构建基础设施、大型修缮和财政支持企业更新改造所发生的支出。</w:t>
      </w:r>
    </w:p>
    <w:p>
      <w:pPr>
        <w:pStyle w:val="20"/>
        <w:keepNext w:val="0"/>
        <w:keepLines w:val="0"/>
        <w:widowControl w:val="0"/>
        <w:suppressLineNumbers w:val="0"/>
        <w:autoSpaceDE w:val="0"/>
        <w:autoSpaceDN/>
        <w:adjustRightInd w:val="0"/>
        <w:snapToGrid w:val="0"/>
        <w:spacing w:line="560" w:lineRule="exact"/>
        <w:ind w:left="0" w:firstLine="640"/>
        <w:jc w:val="both"/>
        <w:rPr>
          <w:rFonts w:hint="eastAsia" w:ascii="方正黑体_GBK" w:hAnsi="方正黑体_GBK" w:eastAsia="方正黑体_GBK" w:cs="方正黑体_GBK"/>
          <w:kern w:val="2"/>
          <w:sz w:val="32"/>
          <w:szCs w:val="32"/>
        </w:rPr>
      </w:pPr>
      <w:r>
        <w:rPr>
          <w:rFonts w:hint="eastAsia" w:ascii="方正黑体_GBK" w:hAnsi="方正黑体_GBK" w:eastAsia="方正黑体_GBK" w:cs="方正黑体_GBK"/>
          <w:kern w:val="2"/>
          <w:sz w:val="32"/>
          <w:szCs w:val="32"/>
        </w:rPr>
        <w:t>七、决算公开联系方式及信息反馈渠道</w:t>
      </w:r>
    </w:p>
    <w:p>
      <w:pPr>
        <w:pStyle w:val="20"/>
        <w:keepNext w:val="0"/>
        <w:keepLines w:val="0"/>
        <w:widowControl w:val="0"/>
        <w:suppressLineNumbers w:val="0"/>
        <w:autoSpaceDE w:val="0"/>
        <w:autoSpaceDN/>
        <w:spacing w:line="560" w:lineRule="exact"/>
        <w:ind w:left="0" w:firstLine="640"/>
        <w:jc w:val="both"/>
        <w:rPr>
          <w:rFonts w:hint="eastAsia" w:ascii="方正仿宋_GBK" w:hAnsi="宋体" w:eastAsia="方正仿宋_GBK" w:cs="宋体"/>
          <w:kern w:val="2"/>
          <w:sz w:val="32"/>
          <w:szCs w:val="32"/>
          <w:shd w:val="clear" w:fill="FFFFFF"/>
        </w:rPr>
      </w:pPr>
      <w:r>
        <w:rPr>
          <w:rFonts w:hint="eastAsia" w:ascii="方正仿宋_GBK" w:hAnsi="方正仿宋_GBK" w:eastAsia="方正仿宋_GBK" w:cs="方正仿宋_GBK"/>
          <w:kern w:val="2"/>
          <w:sz w:val="32"/>
          <w:szCs w:val="32"/>
          <w:shd w:val="clear" w:fill="FFFFFF"/>
        </w:rPr>
        <w:t>本单位决算公开信息反馈和联系方式：</w:t>
      </w:r>
      <w:r>
        <w:rPr>
          <w:rFonts w:hint="eastAsia" w:ascii="方正仿宋_GBK" w:hAnsi="宋体" w:eastAsia="方正仿宋_GBK" w:cs="宋体"/>
          <w:kern w:val="2"/>
          <w:sz w:val="32"/>
          <w:szCs w:val="32"/>
          <w:shd w:val="clear" w:fill="FFFFFF"/>
        </w:rPr>
        <w:t xml:space="preserve"> </w:t>
      </w:r>
      <w:r>
        <w:rPr>
          <w:rFonts w:hint="eastAsia" w:ascii="方正仿宋_GBK" w:hAnsi="方正仿宋_GBK" w:eastAsia="方正仿宋_GBK" w:cs="方正仿宋_GBK"/>
          <w:kern w:val="2"/>
          <w:sz w:val="32"/>
          <w:szCs w:val="32"/>
          <w:shd w:val="clear" w:fill="FFFFFF"/>
        </w:rPr>
        <w:t>79233960</w:t>
      </w:r>
    </w:p>
    <w:p>
      <w:pPr>
        <w:pStyle w:val="15"/>
        <w:keepNext w:val="0"/>
        <w:keepLines w:val="0"/>
        <w:widowControl w:val="0"/>
        <w:suppressLineNumbers w:val="0"/>
        <w:autoSpaceDE w:val="0"/>
        <w:autoSpaceDN/>
        <w:spacing w:before="0" w:beforeAutospacing="0" w:line="560" w:lineRule="exact"/>
        <w:ind w:left="0" w:firstLine="640" w:firstLineChars="200"/>
        <w:jc w:val="both"/>
        <w:rPr>
          <w:rFonts w:hint="eastAsia" w:ascii="方正仿宋_GBK" w:hAnsi="方正仿宋_GBK" w:eastAsia="方正仿宋_GBK" w:cs="方正仿宋_GBK"/>
          <w:kern w:val="0"/>
          <w:sz w:val="32"/>
          <w:szCs w:val="32"/>
          <w:shd w:val="clear" w:fill="FFFFFF"/>
        </w:rPr>
      </w:pPr>
      <w:r>
        <w:rPr>
          <w:rFonts w:hint="eastAsia" w:ascii="方正仿宋_GBK" w:hAnsi="方正仿宋_GBK" w:eastAsia="方正仿宋_GBK" w:cs="方正仿宋_GBK"/>
          <w:kern w:val="0"/>
          <w:sz w:val="32"/>
          <w:szCs w:val="32"/>
          <w:shd w:val="clear" w:fill="FFFFFF"/>
        </w:rPr>
        <w:t xml:space="preserve"> </w:t>
      </w:r>
    </w:p>
    <w:p>
      <w:pPr>
        <w:pStyle w:val="15"/>
        <w:autoSpaceDE w:val="0"/>
        <w:autoSpaceDN/>
        <w:spacing w:before="0" w:beforeAutospacing="0" w:line="600" w:lineRule="exact"/>
        <w:rPr>
          <w:rFonts w:hint="eastAsia" w:ascii="宋体" w:hAnsi="宋体" w:eastAsia="宋体" w:cs="宋体"/>
          <w:kern w:val="0"/>
          <w:sz w:val="24"/>
          <w:szCs w:val="24"/>
        </w:rPr>
      </w:pPr>
      <w:r>
        <w:rPr>
          <w:rFonts w:hint="eastAsia" w:ascii="宋体" w:hAnsi="宋体" w:eastAsia="宋体" w:cs="宋体"/>
          <w:kern w:val="0"/>
          <w:sz w:val="24"/>
          <w:szCs w:val="24"/>
        </w:rPr>
        <w:t xml:space="preserve"> </w:t>
      </w:r>
    </w:p>
    <w:sectPr>
      <w:footerReference r:id="rId5" w:type="default"/>
      <w:pgSz w:w="16840" w:h="11915" w:orient="landscape"/>
      <w:pgMar w:top="1797" w:right="1440" w:bottom="1797" w:left="144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eastAsia" w:ascii="宋体" w:hAnsi="宋体" w:eastAsia="宋体" w:cs="宋体"/>
        <w:kern w:val="0"/>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eastAsia" w:ascii="宋体" w:hAnsi="宋体" w:eastAsia="宋体" w:cs="宋体"/>
        <w:kern w:val="0"/>
        <w:sz w:val="18"/>
        <w:szCs w:val="18"/>
      </w:rPr>
    </w:pPr>
    <w:r>
      <w:rPr>
        <w:rFonts w:hint="eastAsia" w:ascii="宋体" w:hAnsi="宋体" w:eastAsia="宋体" w:cs="宋体"/>
        <w:kern w:val="0"/>
        <w:sz w:val="18"/>
        <w:szCs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eastAsia" w:ascii="宋体" w:hAnsi="宋体" w:eastAsia="宋体" w:cs="宋体"/>
        <w:kern w:val="0"/>
        <w:sz w:val="18"/>
        <w:szCs w:val="18"/>
      </w:rPr>
    </w:pPr>
    <w:r>
      <w:rPr>
        <w:rFonts w:hint="eastAsia" w:ascii="宋体" w:hAnsi="宋体" w:eastAsia="宋体" w:cs="宋体"/>
        <w:kern w:val="0"/>
        <w:sz w:val="18"/>
        <w:szCs w:val="1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7"/>
  <w:displayHorizontalDrawingGridEvery w:val="0"/>
  <w:displayVerticalDrawingGridEvery w:val="2"/>
  <w:noPunctuationKerning w:val="true"/>
  <w:characterSpacingControl w:val="doNotCompress"/>
  <w:compat>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F57302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iPriority="99"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iPriority="99"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next w:val="2"/>
    <w:semiHidden/>
    <w:unhideWhenUsed/>
    <w:uiPriority w:val="99"/>
    <w:pPr>
      <w:keepNext w:val="0"/>
      <w:keepLines w:val="0"/>
      <w:widowControl/>
      <w:suppressLineNumbers w:val="0"/>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paragraph" w:styleId="3">
    <w:name w:val="heading 1"/>
    <w:basedOn w:val="1"/>
    <w:next w:val="1"/>
    <w:uiPriority w:val="0"/>
    <w:pPr>
      <w:keepNext w:val="0"/>
      <w:keepLines w:val="0"/>
      <w:widowControl/>
      <w:suppressLineNumbers w:val="0"/>
      <w:spacing w:before="0" w:beforeAutospacing="1" w:after="0" w:afterAutospacing="1"/>
      <w:ind w:left="0" w:right="0"/>
      <w:jc w:val="left"/>
      <w:outlineLvl w:val="0"/>
    </w:pPr>
    <w:rPr>
      <w:rFonts w:hint="eastAsia" w:ascii="宋体" w:hAnsi="宋体" w:eastAsia="宋体" w:cs="宋体"/>
      <w:b/>
      <w:kern w:val="44"/>
      <w:sz w:val="48"/>
      <w:szCs w:val="48"/>
      <w:lang w:val="en-US" w:eastAsia="zh-CN" w:bidi="ar"/>
    </w:rPr>
  </w:style>
  <w:style w:type="paragraph" w:styleId="2">
    <w:name w:val="heading 2"/>
    <w:basedOn w:val="1"/>
    <w:next w:val="1"/>
    <w:uiPriority w:val="0"/>
    <w:pPr>
      <w:keepNext w:val="0"/>
      <w:keepLines w:val="0"/>
      <w:widowControl/>
      <w:suppressLineNumbers w:val="0"/>
      <w:spacing w:before="0" w:beforeAutospacing="1" w:after="0" w:afterAutospacing="1"/>
      <w:ind w:left="0" w:right="0"/>
      <w:jc w:val="left"/>
      <w:outlineLvl w:val="1"/>
    </w:pPr>
    <w:rPr>
      <w:rFonts w:hint="eastAsia" w:ascii="宋体" w:hAnsi="宋体" w:eastAsia="宋体" w:cs="宋体"/>
      <w:b/>
      <w:kern w:val="0"/>
      <w:sz w:val="36"/>
      <w:szCs w:val="36"/>
      <w:lang w:val="en-US" w:eastAsia="zh-CN" w:bidi="ar"/>
    </w:rPr>
  </w:style>
  <w:style w:type="paragraph" w:styleId="4">
    <w:name w:val="heading 3"/>
    <w:basedOn w:val="1"/>
    <w:next w:val="1"/>
    <w:uiPriority w:val="0"/>
    <w:pPr>
      <w:keepNext w:val="0"/>
      <w:keepLines w:val="0"/>
      <w:widowControl/>
      <w:suppressLineNumbers w:val="0"/>
      <w:spacing w:before="0" w:beforeAutospacing="1" w:after="0" w:afterAutospacing="1"/>
      <w:ind w:left="0" w:right="0"/>
      <w:jc w:val="left"/>
      <w:outlineLvl w:val="2"/>
    </w:pPr>
    <w:rPr>
      <w:rFonts w:hint="eastAsia" w:ascii="宋体" w:hAnsi="宋体" w:eastAsia="宋体" w:cs="宋体"/>
      <w:b/>
      <w:kern w:val="0"/>
      <w:sz w:val="27"/>
      <w:szCs w:val="27"/>
      <w:lang w:val="en-US" w:eastAsia="zh-CN" w:bidi="ar"/>
    </w:rPr>
  </w:style>
  <w:style w:type="paragraph" w:styleId="5">
    <w:name w:val="heading 4"/>
    <w:basedOn w:val="1"/>
    <w:next w:val="1"/>
    <w:uiPriority w:val="0"/>
    <w:pPr>
      <w:keepNext w:val="0"/>
      <w:keepLines w:val="0"/>
      <w:widowControl/>
      <w:suppressLineNumbers w:val="0"/>
      <w:spacing w:before="0" w:beforeAutospacing="1" w:after="0" w:afterAutospacing="1"/>
      <w:ind w:left="0" w:right="0"/>
      <w:jc w:val="left"/>
      <w:outlineLvl w:val="3"/>
    </w:pPr>
    <w:rPr>
      <w:rFonts w:hint="eastAsia" w:ascii="宋体" w:hAnsi="宋体" w:eastAsia="宋体" w:cs="宋体"/>
      <w:b/>
      <w:kern w:val="0"/>
      <w:sz w:val="24"/>
      <w:szCs w:val="24"/>
      <w:lang w:val="en-US" w:eastAsia="zh-CN" w:bidi="ar"/>
    </w:rPr>
  </w:style>
  <w:style w:type="paragraph" w:styleId="6">
    <w:name w:val="heading 5"/>
    <w:basedOn w:val="1"/>
    <w:next w:val="1"/>
    <w:uiPriority w:val="0"/>
    <w:pPr>
      <w:keepNext w:val="0"/>
      <w:keepLines w:val="0"/>
      <w:widowControl/>
      <w:suppressLineNumbers w:val="0"/>
      <w:spacing w:before="0" w:beforeAutospacing="1" w:after="0" w:afterAutospacing="1"/>
      <w:ind w:left="0" w:right="0"/>
      <w:jc w:val="left"/>
      <w:outlineLvl w:val="4"/>
    </w:pPr>
    <w:rPr>
      <w:rFonts w:hint="eastAsia" w:ascii="宋体" w:hAnsi="宋体" w:eastAsia="宋体" w:cs="宋体"/>
      <w:b/>
      <w:kern w:val="0"/>
      <w:sz w:val="20"/>
      <w:szCs w:val="20"/>
      <w:lang w:val="en-US" w:eastAsia="zh-CN" w:bidi="ar"/>
    </w:rPr>
  </w:style>
  <w:style w:type="paragraph" w:styleId="7">
    <w:name w:val="heading 6"/>
    <w:basedOn w:val="1"/>
    <w:next w:val="1"/>
    <w:uiPriority w:val="0"/>
    <w:pPr>
      <w:keepNext w:val="0"/>
      <w:keepLines w:val="0"/>
      <w:widowControl/>
      <w:suppressLineNumbers w:val="0"/>
      <w:spacing w:before="0" w:beforeAutospacing="1" w:after="0" w:afterAutospacing="1"/>
      <w:ind w:left="0" w:right="0"/>
      <w:jc w:val="left"/>
      <w:outlineLvl w:val="5"/>
    </w:pPr>
    <w:rPr>
      <w:rFonts w:hint="eastAsia" w:ascii="宋体" w:hAnsi="宋体" w:eastAsia="宋体" w:cs="宋体"/>
      <w:b/>
      <w:kern w:val="0"/>
      <w:sz w:val="15"/>
      <w:szCs w:val="15"/>
      <w:lang w:val="en-US" w:eastAsia="zh-CN" w:bidi="ar"/>
    </w:rPr>
  </w:style>
  <w:style w:type="character" w:default="1" w:styleId="13">
    <w:name w:val="Default Paragraph Font"/>
    <w:semiHidden/>
    <w:unhideWhenUsed/>
    <w:uiPriority w:val="99"/>
  </w:style>
  <w:style w:type="table" w:default="1" w:styleId="12">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8">
    <w:name w:val="footer"/>
    <w:basedOn w:val="1"/>
    <w:uiPriority w:val="0"/>
    <w:pPr>
      <w:keepNext w:val="0"/>
      <w:keepLines w:val="0"/>
      <w:widowControl/>
      <w:suppressLineNumbers w:val="0"/>
      <w:snapToGrid w:val="0"/>
      <w:spacing w:before="0" w:beforeAutospacing="0" w:after="0" w:afterAutospacing="0"/>
      <w:ind w:left="0" w:right="0"/>
      <w:jc w:val="left"/>
    </w:pPr>
    <w:rPr>
      <w:rFonts w:hint="eastAsia" w:ascii="宋体" w:hAnsi="宋体" w:eastAsia="宋体" w:cs="宋体"/>
      <w:kern w:val="0"/>
      <w:sz w:val="18"/>
      <w:szCs w:val="18"/>
      <w:lang w:val="en-US" w:eastAsia="zh-CN" w:bidi="ar"/>
    </w:rPr>
  </w:style>
  <w:style w:type="paragraph" w:styleId="9">
    <w:name w:val="header"/>
    <w:basedOn w:val="1"/>
    <w:uiPriority w:val="0"/>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ind w:left="0" w:right="0"/>
      <w:jc w:val="both"/>
    </w:pPr>
    <w:rPr>
      <w:rFonts w:hint="eastAsia" w:ascii="宋体" w:hAnsi="宋体" w:eastAsia="宋体" w:cs="宋体"/>
      <w:kern w:val="0"/>
      <w:sz w:val="18"/>
      <w:szCs w:val="18"/>
      <w:lang w:val="en-US" w:eastAsia="zh-CN" w:bidi="ar"/>
    </w:rPr>
  </w:style>
  <w:style w:type="paragraph" w:styleId="10">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uiPriority w:val="0"/>
    <w:pPr>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paragraph" w:customStyle="1" w:styleId="14">
    <w:name w:val="HTML 预设格式 Char"/>
    <w:basedOn w:val="1"/>
    <w:uiPriority w:val="0"/>
    <w:pPr>
      <w:keepNext w:val="0"/>
      <w:keepLines w:val="0"/>
      <w:widowControl/>
      <w:suppressLineNumbers w:val="0"/>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paragraph" w:customStyle="1" w:styleId="15">
    <w:name w:val="普通(网站) Char Char"/>
    <w:basedOn w:val="1"/>
    <w:uiPriority w:val="0"/>
    <w:pPr>
      <w:keepNext w:val="0"/>
      <w:keepLines w:val="0"/>
      <w:widowControl/>
      <w:suppressLineNumbers w:val="0"/>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character" w:customStyle="1" w:styleId="16">
    <w:name w:val="19"/>
    <w:basedOn w:val="13"/>
    <w:uiPriority w:val="0"/>
    <w:rPr>
      <w:rFonts w:hint="default" w:ascii="Times New Roman" w:hAnsi="Times New Roman" w:cs="Times New Roman"/>
    </w:rPr>
  </w:style>
  <w:style w:type="character" w:customStyle="1" w:styleId="17">
    <w:name w:val="20"/>
    <w:basedOn w:val="13"/>
    <w:uiPriority w:val="0"/>
    <w:rPr>
      <w:rFonts w:hint="default" w:ascii="Times New Roman" w:hAnsi="Times New Roman" w:cs="Times New Roman"/>
    </w:rPr>
  </w:style>
  <w:style w:type="character" w:customStyle="1" w:styleId="18">
    <w:name w:val="17"/>
    <w:basedOn w:val="13"/>
    <w:uiPriority w:val="0"/>
    <w:rPr>
      <w:rFonts w:hint="default" w:ascii="Times New Roman" w:hAnsi="Times New Roman" w:cs="Times New Roman"/>
      <w:b/>
    </w:rPr>
  </w:style>
  <w:style w:type="character" w:customStyle="1" w:styleId="19">
    <w:name w:val="18"/>
    <w:basedOn w:val="13"/>
    <w:uiPriority w:val="0"/>
    <w:rPr>
      <w:rFonts w:hint="default" w:ascii="Times New Roman" w:hAnsi="Times New Roman" w:cs="Times New Roman"/>
    </w:rPr>
  </w:style>
  <w:style w:type="paragraph" w:customStyle="1" w:styleId="20">
    <w:name w:val="msolistparagraph"/>
    <w:basedOn w:val="1"/>
    <w:uiPriority w:val="0"/>
    <w:pPr>
      <w:keepNext w:val="0"/>
      <w:keepLines w:val="0"/>
      <w:widowControl w:val="0"/>
      <w:suppressLineNumbers w:val="0"/>
      <w:spacing w:before="0" w:beforeAutospacing="0" w:after="0" w:afterAutospacing="0"/>
      <w:ind w:left="0" w:right="0" w:firstLine="420" w:firstLineChars="200"/>
      <w:jc w:val="both"/>
    </w:pPr>
    <w:rPr>
      <w:rFonts w:hint="default" w:ascii="Times New Roman" w:hAnsi="Times New Roman" w:eastAsia="宋体" w:cs="Times New Roman"/>
      <w:kern w:val="2"/>
      <w:sz w:val="21"/>
      <w:szCs w:val="21"/>
      <w:lang w:val="en-US" w:eastAsia="zh-CN" w:bidi="ar"/>
    </w:rPr>
  </w:style>
  <w:style w:type="character" w:customStyle="1" w:styleId="21">
    <w:name w:val="10"/>
    <w:basedOn w:val="13"/>
    <w:uiPriority w:val="0"/>
    <w:rPr>
      <w:rFonts w:hint="default" w:ascii="Times New Roman" w:hAnsi="Times New Roman" w:cs="Times New Roman"/>
    </w:rPr>
  </w:style>
  <w:style w:type="character" w:customStyle="1" w:styleId="22">
    <w:name w:val="16"/>
    <w:basedOn w:val="13"/>
    <w:uiPriority w:val="0"/>
    <w:rPr>
      <w:rFonts w:hint="default" w:ascii="Times New Roman" w:hAnsi="Times New Roman" w:cs="Times New Roman"/>
    </w:rPr>
  </w:style>
  <w:style w:type="paragraph" w:customStyle="1" w:styleId="23">
    <w:name w:val="普通(网站) Char"/>
    <w:basedOn w:val="1"/>
    <w:uiPriority w:val="0"/>
    <w:pPr>
      <w:keepNext w:val="0"/>
      <w:keepLines w:val="0"/>
      <w:widowControl/>
      <w:suppressLineNumbers w:val="0"/>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character" w:customStyle="1" w:styleId="24">
    <w:name w:val="15"/>
    <w:basedOn w:val="13"/>
    <w:uiPriority w:val="0"/>
    <w:rPr>
      <w:rFonts w:hint="default" w:ascii="Times New Roman" w:hAnsi="Times New Roman" w:cs="Times New Roman"/>
    </w:rPr>
  </w:style>
  <w:style w:type="character" w:customStyle="1" w:styleId="25">
    <w:name w:val="21"/>
    <w:basedOn w:val="13"/>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17</Pages>
  <Characters>8429</Characters>
  <Lines>62</Lines>
  <Paragraphs>17</Paragraphs>
  <TotalTime>1</TotalTime>
  <ScaleCrop>false</ScaleCrop>
  <LinksUpToDate>false</LinksUpToDate>
  <Application>WPS Office_11.8.2.10125_F1E327BC-269C-435d-A152-05C5408002CA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2023-12-05T15:50:51Z</dcterms:created>
  <dc:creator>Administrator</dc:creator>
  <cp:lastModifiedBy> </cp:lastModifiedBy>
  <dcterms:modified xsi:type="dcterms:W3CDTF">2023-12-05T15:52:51Z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CD4C934A77D0433BB319B6B1F3115007_12</vt:lpwstr>
  </property>
</Properties>
</file>