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ascii="方正仿宋_GBK" w:eastAsia="方正仿宋_GBK"/>
          <w:snapToGrid w:val="0"/>
          <w:kern w:val="32"/>
          <w:sz w:val="28"/>
          <w:szCs w:val="28"/>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napToGrid w:val="0"/>
          <w:kern w:val="32"/>
          <w:sz w:val="32"/>
          <w:szCs w:val="32"/>
          <w:lang w:val="en-US" w:eastAsia="zh-CN"/>
        </w:rPr>
      </w:pPr>
      <w:r>
        <w:rPr>
          <w:rFonts w:hint="eastAsia" w:ascii="方正仿宋_GBK" w:hAnsi="方正仿宋_GBK" w:eastAsia="方正仿宋_GBK" w:cs="方正仿宋_GBK"/>
          <w:snapToGrid w:val="0"/>
          <w:kern w:val="32"/>
          <w:sz w:val="32"/>
          <w:szCs w:val="32"/>
          <w:lang w:eastAsia="zh-CN"/>
        </w:rPr>
        <w:t>黔江水利发〔</w:t>
      </w:r>
      <w:r>
        <w:rPr>
          <w:rFonts w:hint="eastAsia" w:ascii="方正仿宋_GBK" w:hAnsi="方正仿宋_GBK" w:eastAsia="方正仿宋_GBK" w:cs="方正仿宋_GBK"/>
          <w:snapToGrid w:val="0"/>
          <w:kern w:val="32"/>
          <w:sz w:val="32"/>
          <w:szCs w:val="32"/>
          <w:lang w:val="en-US" w:eastAsia="zh-CN"/>
        </w:rPr>
        <w:t>2022</w:t>
      </w:r>
      <w:r>
        <w:rPr>
          <w:rFonts w:hint="eastAsia" w:ascii="方正仿宋_GBK" w:hAnsi="方正仿宋_GBK" w:eastAsia="方正仿宋_GBK" w:cs="方正仿宋_GBK"/>
          <w:snapToGrid w:val="0"/>
          <w:kern w:val="32"/>
          <w:sz w:val="32"/>
          <w:szCs w:val="32"/>
          <w:lang w:eastAsia="zh-CN"/>
        </w:rPr>
        <w:t>〕</w:t>
      </w:r>
      <w:r>
        <w:rPr>
          <w:rFonts w:hint="eastAsia" w:ascii="方正仿宋_GBK" w:hAnsi="方正仿宋_GBK" w:eastAsia="方正仿宋_GBK" w:cs="方正仿宋_GBK"/>
          <w:snapToGrid w:val="0"/>
          <w:kern w:val="32"/>
          <w:sz w:val="32"/>
          <w:szCs w:val="32"/>
          <w:lang w:val="en-US" w:eastAsia="zh-CN"/>
        </w:rPr>
        <w:t>32号</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ascii="Times New Roman" w:hAnsi="Times New Roman" w:eastAsia="方正小标宋_GBK"/>
          <w:sz w:val="44"/>
          <w:szCs w:val="44"/>
        </w:rPr>
      </w:pPr>
    </w:p>
    <w:p>
      <w:pPr>
        <w:keepNext w:val="0"/>
        <w:keepLines w:val="0"/>
        <w:pageBreakBefore w:val="0"/>
        <w:widowControl w:val="0"/>
        <w:kinsoku/>
        <w:wordWrap/>
        <w:overflowPunct/>
        <w:topLinePunct w:val="0"/>
        <w:autoSpaceDE/>
        <w:bidi w:val="0"/>
        <w:adjustRightInd w:val="0"/>
        <w:snapToGrid w:val="0"/>
        <w:spacing w:line="560" w:lineRule="exact"/>
        <w:jc w:val="center"/>
        <w:textAlignment w:val="auto"/>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 xml:space="preserve">重庆市黔江区水利局 </w:t>
      </w:r>
    </w:p>
    <w:p>
      <w:pPr>
        <w:keepNext w:val="0"/>
        <w:keepLines w:val="0"/>
        <w:pageBreakBefore w:val="0"/>
        <w:widowControl w:val="0"/>
        <w:kinsoku/>
        <w:wordWrap/>
        <w:overflowPunct/>
        <w:topLinePunct w:val="0"/>
        <w:autoSpaceDE/>
        <w:bidi w:val="0"/>
        <w:adjustRightInd w:val="0"/>
        <w:snapToGrid w:val="0"/>
        <w:spacing w:line="560" w:lineRule="exact"/>
        <w:jc w:val="center"/>
        <w:textAlignment w:val="auto"/>
        <w:rPr>
          <w:rFonts w:ascii="方正仿宋_GBK" w:hAnsi="方正仿宋_GBK" w:cs="方正仿宋_GBK"/>
          <w:color w:val="000000"/>
          <w:sz w:val="44"/>
          <w:szCs w:val="44"/>
        </w:rPr>
      </w:pPr>
      <w:r>
        <w:rPr>
          <w:rFonts w:hint="eastAsia" w:ascii="方正小标宋_GBK" w:hAnsi="方正小标宋_GBK" w:eastAsia="方正小标宋_GBK" w:cs="方正小标宋_GBK"/>
          <w:color w:val="000000"/>
          <w:sz w:val="44"/>
          <w:szCs w:val="44"/>
        </w:rPr>
        <w:t>关于印发《2022年全区水利建设施工领域安全生产集中执法行动方案》的通知</w:t>
      </w:r>
    </w:p>
    <w:p>
      <w:pPr>
        <w:keepNext w:val="0"/>
        <w:keepLines w:val="0"/>
        <w:pageBreakBefore w:val="0"/>
        <w:widowControl w:val="0"/>
        <w:kinsoku/>
        <w:wordWrap/>
        <w:overflowPunct/>
        <w:topLinePunct w:val="0"/>
        <w:autoSpaceDE/>
        <w:bidi w:val="0"/>
        <w:adjustRightInd w:val="0"/>
        <w:snapToGrid w:val="0"/>
        <w:spacing w:line="560" w:lineRule="exact"/>
        <w:ind w:firstLine="420" w:firstLineChars="200"/>
        <w:jc w:val="left"/>
        <w:textAlignment w:val="auto"/>
        <w:rPr>
          <w:rFonts w:ascii="方正仿宋_GBK" w:hAnsi="方正仿宋_GBK" w:cs="方正仿宋_GBK"/>
          <w:color w:val="000000"/>
          <w:szCs w:val="32"/>
        </w:rPr>
      </w:pPr>
    </w:p>
    <w:p>
      <w:pPr>
        <w:keepNext w:val="0"/>
        <w:keepLines w:val="0"/>
        <w:pageBreakBefore w:val="0"/>
        <w:widowControl w:val="0"/>
        <w:kinsoku/>
        <w:wordWrap/>
        <w:overflowPunct/>
        <w:topLinePunct w:val="0"/>
        <w:autoSpaceDE/>
        <w:bidi w:val="0"/>
        <w:adjustRightInd w:val="0"/>
        <w:snapToGrid w:val="0"/>
        <w:spacing w:line="560" w:lineRule="exact"/>
        <w:jc w:val="left"/>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机关各科室、局属各单位，泰来公司，润民公司：</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仿宋_GBK" w:eastAsia="方正仿宋_GBK"/>
          <w:sz w:val="32"/>
          <w:szCs w:val="32"/>
        </w:rPr>
        <w:t>为进一步强化全区水利行业建设施工领域安全生产工作，推进水利行业安全生产形势持续向好，</w:t>
      </w:r>
      <w:r>
        <w:rPr>
          <w:rFonts w:hint="eastAsia" w:ascii="方正仿宋_GBK" w:hAnsi="方正仿宋_GBK" w:eastAsia="方正仿宋_GBK" w:cs="方正仿宋_GBK"/>
          <w:color w:val="000000"/>
          <w:sz w:val="32"/>
          <w:szCs w:val="32"/>
        </w:rPr>
        <w:t>现将《2022年全区水利建设施工领域安全生产集中执法行动方案》印发给你们，请认真抓好贯彻落实。</w:t>
      </w:r>
    </w:p>
    <w:p>
      <w:pPr>
        <w:pStyle w:val="2"/>
        <w:keepNext w:val="0"/>
        <w:keepLines w:val="0"/>
        <w:pageBreakBefore w:val="0"/>
        <w:widowControl w:val="0"/>
        <w:kinsoku/>
        <w:wordWrap/>
        <w:overflowPunct/>
        <w:topLinePunct w:val="0"/>
        <w:autoSpaceDE/>
        <w:autoSpaceDN w:val="0"/>
        <w:bidi w:val="0"/>
        <w:adjustRightInd w:val="0"/>
        <w:snapToGrid w:val="0"/>
        <w:spacing w:line="500" w:lineRule="exact"/>
        <w:textAlignment w:val="auto"/>
        <w:rPr>
          <w:rFonts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right="960"/>
        <w:jc w:val="center"/>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重庆市黔江区水利局</w:t>
      </w:r>
    </w:p>
    <w:p>
      <w:pPr>
        <w:keepNext w:val="0"/>
        <w:keepLines w:val="0"/>
        <w:pageBreakBefore w:val="0"/>
        <w:widowControl w:val="0"/>
        <w:kinsoku/>
        <w:wordWrap/>
        <w:overflowPunct/>
        <w:topLinePunct w:val="0"/>
        <w:autoSpaceDE/>
        <w:autoSpaceDN/>
        <w:bidi w:val="0"/>
        <w:adjustRightInd w:val="0"/>
        <w:snapToGrid w:val="0"/>
        <w:spacing w:line="560" w:lineRule="exact"/>
        <w:ind w:right="1280"/>
        <w:jc w:val="right"/>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2022年4月</w:t>
      </w:r>
      <w:r>
        <w:rPr>
          <w:rFonts w:hint="eastAsia" w:ascii="方正仿宋_GBK" w:hAnsi="方正仿宋_GBK" w:eastAsia="方正仿宋_GBK" w:cs="方正仿宋_GBK"/>
          <w:color w:val="000000"/>
          <w:sz w:val="32"/>
          <w:szCs w:val="32"/>
          <w:lang w:val="en-US" w:eastAsia="zh-CN"/>
        </w:rPr>
        <w:t>14</w:t>
      </w:r>
      <w:r>
        <w:rPr>
          <w:rFonts w:hint="eastAsia" w:ascii="方正仿宋_GBK" w:hAnsi="方正仿宋_GBK" w:eastAsia="方正仿宋_GBK" w:cs="方正仿宋_GBK"/>
          <w:color w:val="000000"/>
          <w:sz w:val="32"/>
          <w:szCs w:val="32"/>
        </w:rPr>
        <w:t>日</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方正小标宋_GBK"/>
          <w:color w:val="000000"/>
          <w:sz w:val="44"/>
          <w:szCs w:val="44"/>
        </w:rPr>
      </w:pPr>
      <w:r>
        <w:rPr>
          <w:rFonts w:hint="eastAsia" w:ascii="方正仿宋_GBK" w:hAnsi="方正仿宋_GBK" w:eastAsia="方正仿宋_GBK" w:cs="方正仿宋_GBK"/>
          <w:color w:val="000000"/>
          <w:sz w:val="32"/>
          <w:szCs w:val="32"/>
        </w:rPr>
        <w:t>注：请各业主单位将此文件转至各施工单位、监理单位</w:t>
      </w:r>
      <w:r>
        <w:rPr>
          <w:rFonts w:hint="eastAsia" w:ascii="方正仿宋_GBK" w:hAnsi="方正仿宋_GBK" w:eastAsia="方正仿宋_GBK" w:cs="方正仿宋_GBK"/>
          <w:color w:val="000000"/>
          <w:sz w:val="32"/>
          <w:szCs w:val="32"/>
        </w:rPr>
        <w:br w:type="page"/>
      </w:r>
      <w:r>
        <w:rPr>
          <w:rFonts w:hint="eastAsia" w:ascii="方正小标宋_GBK" w:hAnsi="方正小标宋_GBK" w:eastAsia="方正小标宋_GBK" w:cs="方正小标宋_GBK"/>
          <w:color w:val="000000"/>
          <w:sz w:val="44"/>
          <w:szCs w:val="44"/>
        </w:rPr>
        <w:t>2022年全区水利建设施工领域</w:t>
      </w:r>
    </w:p>
    <w:p>
      <w:pPr>
        <w:keepNext w:val="0"/>
        <w:keepLines w:val="0"/>
        <w:pageBreakBefore w:val="0"/>
        <w:widowControl w:val="0"/>
        <w:kinsoku/>
        <w:wordWrap/>
        <w:overflowPunct/>
        <w:topLinePunct w:val="0"/>
        <w:bidi w:val="0"/>
        <w:adjustRightInd w:val="0"/>
        <w:snapToGrid w:val="0"/>
        <w:spacing w:line="560" w:lineRule="exact"/>
        <w:jc w:val="center"/>
        <w:textAlignment w:val="auto"/>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安全生产集中执法行动方案</w:t>
      </w:r>
    </w:p>
    <w:p>
      <w:pPr>
        <w:keepNext w:val="0"/>
        <w:keepLines w:val="0"/>
        <w:pageBreakBefore w:val="0"/>
        <w:widowControl w:val="0"/>
        <w:kinsoku/>
        <w:wordWrap/>
        <w:overflowPunct/>
        <w:topLinePunct w:val="0"/>
        <w:bidi w:val="0"/>
        <w:adjustRightInd w:val="0"/>
        <w:snapToGrid w:val="0"/>
        <w:spacing w:line="560" w:lineRule="exact"/>
        <w:ind w:firstLine="420" w:firstLineChars="200"/>
        <w:jc w:val="center"/>
        <w:textAlignment w:val="auto"/>
        <w:rPr>
          <w:rFonts w:ascii="方正仿宋_GBK" w:hAnsi="方正仿宋_GBK" w:cs="方正仿宋_GBK"/>
          <w:color w:val="000000"/>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根据重庆市水利局办公室《关于印发2022年全市水利建设施工领域安全生产集中执法行动方案的通知》和区安委会《关于印发〈2022年度全区建设施工领域安全生产集中执法行动工作方案〉的通知》（黔江安委〔2022〕4号）精神，为全面推动安全生产专项整治三年行动，持续深入推进全区水利建设施工领域安全生产“两重大一突出”专项治理工作，有效防范化解全区水利建设施工领域重大安全风险，减少全区水利建设施工领域事故总量，</w:t>
      </w:r>
      <w:r>
        <w:rPr>
          <w:rFonts w:hint="eastAsia" w:ascii="方正仿宋_GBK" w:hAnsi="方正仿宋_GBK" w:eastAsia="方正仿宋_GBK" w:cs="方正仿宋_GBK"/>
          <w:sz w:val="32"/>
          <w:szCs w:val="32"/>
        </w:rPr>
        <w:t>坚决杜绝较大及以上事故发生，经研究，</w:t>
      </w:r>
      <w:r>
        <w:rPr>
          <w:rFonts w:hint="eastAsia" w:ascii="方正仿宋_GBK" w:hAnsi="方正仿宋_GBK" w:eastAsia="方正仿宋_GBK" w:cs="方正仿宋_GBK"/>
          <w:color w:val="000000"/>
          <w:sz w:val="32"/>
          <w:szCs w:val="32"/>
        </w:rPr>
        <w:t>决定开展2022年度全区水利行业建设施工领域安全生产集中执法行动</w:t>
      </w:r>
      <w:r>
        <w:rPr>
          <w:rFonts w:hint="eastAsia" w:ascii="方正仿宋_GBK" w:hAnsi="方正仿宋_GBK" w:eastAsia="方正仿宋_GBK" w:cs="方正仿宋_GBK"/>
          <w:sz w:val="32"/>
          <w:szCs w:val="32"/>
        </w:rPr>
        <w:t>，特制定本方案。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一、指导思想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以习近平新时代中国特色社会主义思想为指导，深入贯彻落实党的十九大和十九届历次全会精神，坚持人民至上、生命至上，牢固树立安全发展理念，紧紧围绕市委、市政府和区委、区政府关于安全生产的部署安排，以“严防严控一般事故、坚决杜绝较大事故”为目标，以大排查大整治大执法为工作主线，以安全生产“两重大一突出”为执法重点，围绕严格落实企业主体责任，持续深化“两防”专项整治，在常态化执法检查基础上，开展建设安全集中整治和集中执法行动，严肃查处全区水利行业建设施工领域安全生产突出违法行为，切实解决水利建设施工领域安全生产突出问题，为党的二十大和市第六次党代会胜利召开营造良好的水利环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二、执法内容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聚焦关键岗位人员到岗履职、施工现场安全措施落实和施工行为管理、危大工程管控及安全投入落实等情况，围绕参建各方建设单位安全质量首要责任、施工单位主体责任和监理单位监理责任落实方面存在的突出违法行为（具体内容见附件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三、组织实施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sz w:val="32"/>
          <w:szCs w:val="32"/>
        </w:rPr>
        <w:t>（一）常态执法。</w:t>
      </w:r>
      <w:r>
        <w:rPr>
          <w:rFonts w:hint="eastAsia" w:ascii="方正仿宋_GBK" w:hAnsi="方正仿宋_GBK" w:eastAsia="方正仿宋_GBK" w:cs="方正仿宋_GBK"/>
          <w:sz w:val="32"/>
          <w:szCs w:val="32"/>
        </w:rPr>
        <w:t>针对本方案提出的执法内容，结合年度执法计划，常态化开展执法检查，严肃查处突出违法行为。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sz w:val="32"/>
          <w:szCs w:val="32"/>
        </w:rPr>
        <w:t>（二）集中执法。</w:t>
      </w:r>
      <w:r>
        <w:rPr>
          <w:rFonts w:hint="eastAsia" w:ascii="方正仿宋_GBK" w:hAnsi="方正仿宋_GBK" w:eastAsia="方正仿宋_GBK" w:cs="方正仿宋_GBK"/>
          <w:sz w:val="32"/>
          <w:szCs w:val="32"/>
        </w:rPr>
        <w:t>在常态化执法基础上，针对重点时段，开展5轮建设安全集中执法行动（简称“建安”行动）。“建安”行动开展期间，将日常监管工作和集中执法检查相结合，统筹有序开展工作由相关负责人带队，所有执法人员进现场、找问题、抓执法，有力震慑违法行为。</w:t>
      </w:r>
      <w:r>
        <w:rPr>
          <w:rFonts w:hint="eastAsia" w:ascii="方正仿宋_GBK" w:hAnsi="方正仿宋_GBK" w:eastAsia="方正仿宋_GBK" w:cs="方正仿宋_GBK"/>
          <w:color w:val="000000"/>
          <w:sz w:val="32"/>
          <w:szCs w:val="32"/>
        </w:rPr>
        <w:t xml:space="preserve">各牵头科室要根据方案按照“四不两直”、“行政+专家”的形式对重点项目进行实地检查。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color w:val="000000"/>
          <w:sz w:val="32"/>
          <w:szCs w:val="32"/>
        </w:rPr>
        <w:t>1.“建安”1号行动。</w:t>
      </w:r>
      <w:r>
        <w:rPr>
          <w:rFonts w:hint="eastAsia" w:ascii="方正仿宋_GBK" w:hAnsi="方正仿宋_GBK" w:eastAsia="方正仿宋_GBK" w:cs="方正仿宋_GBK"/>
          <w:color w:val="000000"/>
          <w:sz w:val="32"/>
          <w:szCs w:val="32"/>
        </w:rPr>
        <w:t>4月11日至4月15日，清理一季度安全生产监督检查中违法行为销号情况，重点督促企业落实安全生产“五到位”。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color w:val="000000"/>
          <w:sz w:val="32"/>
          <w:szCs w:val="32"/>
        </w:rPr>
        <w:t>牵头科室：安全科；配合科室：规划建设科、</w:t>
      </w:r>
      <w:r>
        <w:rPr>
          <w:rFonts w:hint="eastAsia" w:ascii="方正仿宋_GBK" w:hAnsi="仿宋" w:eastAsia="方正仿宋_GBK" w:cs="方正黑体_GBK"/>
          <w:bCs/>
          <w:color w:val="000000"/>
          <w:sz w:val="32"/>
          <w:szCs w:val="32"/>
        </w:rPr>
        <w:t>水利综合行政执法支队</w:t>
      </w:r>
      <w:r>
        <w:rPr>
          <w:rFonts w:hint="eastAsia" w:ascii="方正仿宋_GBK" w:hAnsi="仿宋" w:eastAsia="方正仿宋_GBK" w:cs="方正黑体_GBK"/>
          <w:color w:val="000000"/>
          <w:sz w:val="32"/>
          <w:szCs w:val="32"/>
        </w:rPr>
        <w:t>等相关科室。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color w:val="000000"/>
          <w:sz w:val="32"/>
          <w:szCs w:val="32"/>
        </w:rPr>
        <w:t>2.“建安”2号行动。</w:t>
      </w:r>
      <w:r>
        <w:rPr>
          <w:rFonts w:hint="eastAsia" w:ascii="方正仿宋_GBK" w:hAnsi="方正仿宋_GBK" w:eastAsia="方正仿宋_GBK" w:cs="方正仿宋_GBK"/>
          <w:color w:val="000000"/>
          <w:sz w:val="32"/>
          <w:szCs w:val="32"/>
        </w:rPr>
        <w:t>5月9日至5月13日，围绕高温汛期等关键时期施工安全隐患排查治理，重点整治高处坠落、车辆伤害、物体打击等方面的违法行为。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bCs/>
          <w:color w:val="000000"/>
          <w:sz w:val="32"/>
          <w:szCs w:val="32"/>
        </w:rPr>
        <w:t>牵头科室：水利综合行政执法支队；配合科室：规划建设科、农村水利科、安全科、</w:t>
      </w:r>
      <w:r>
        <w:rPr>
          <w:rFonts w:hint="eastAsia" w:ascii="方正仿宋_GBK" w:hAnsi="仿宋" w:eastAsia="方正仿宋_GBK" w:cs="方正黑体_GBK"/>
          <w:color w:val="000000"/>
          <w:sz w:val="32"/>
          <w:szCs w:val="32"/>
        </w:rPr>
        <w:t>水利工程移民服务中心、水文勘测管理中心</w:t>
      </w:r>
      <w:r>
        <w:rPr>
          <w:rFonts w:hint="eastAsia" w:ascii="方正仿宋_GBK" w:hAnsi="仿宋" w:eastAsia="方正仿宋_GBK" w:cs="方正黑体_GBK"/>
          <w:bCs/>
          <w:color w:val="000000"/>
          <w:sz w:val="32"/>
          <w:szCs w:val="32"/>
        </w:rPr>
        <w:t>等相关科室。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color w:val="000000"/>
          <w:sz w:val="32"/>
          <w:szCs w:val="32"/>
        </w:rPr>
      </w:pPr>
      <w:r>
        <w:rPr>
          <w:rFonts w:hint="eastAsia" w:ascii="方正仿宋_GBK" w:hAnsi="仿宋" w:eastAsia="方正仿宋_GBK" w:cs="方正黑体_GBK"/>
          <w:color w:val="000000"/>
          <w:sz w:val="32"/>
          <w:szCs w:val="32"/>
        </w:rPr>
        <w:t>3.“建安”3号行动。7</w:t>
      </w:r>
      <w:r>
        <w:rPr>
          <w:rFonts w:hint="eastAsia" w:ascii="方正仿宋_GBK" w:hAnsi="方正仿宋_GBK" w:eastAsia="方正仿宋_GBK" w:cs="方正仿宋_GBK"/>
          <w:color w:val="000000"/>
          <w:sz w:val="32"/>
          <w:szCs w:val="32"/>
        </w:rPr>
        <w:t>月1日至7月8日，围绕重要时段，重点整治危大工程、坍塌等方面的违法行为，对“两单两卡”工作开展专项执法检查。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bCs/>
          <w:color w:val="000000"/>
          <w:sz w:val="32"/>
          <w:szCs w:val="32"/>
        </w:rPr>
        <w:t>牵头科室：规划建设科；配合科室：农村水利科、安全科、水利综合行政执法支队、</w:t>
      </w:r>
      <w:r>
        <w:rPr>
          <w:rFonts w:hint="eastAsia" w:ascii="方正仿宋_GBK" w:hAnsi="仿宋" w:eastAsia="方正仿宋_GBK" w:cs="方正黑体_GBK"/>
          <w:color w:val="000000"/>
          <w:sz w:val="32"/>
          <w:szCs w:val="32"/>
        </w:rPr>
        <w:t>水利工程移民服务中心、水文勘测管理中心</w:t>
      </w:r>
      <w:r>
        <w:rPr>
          <w:rFonts w:hint="eastAsia" w:ascii="方正仿宋_GBK" w:hAnsi="仿宋" w:eastAsia="方正仿宋_GBK" w:cs="方正黑体_GBK"/>
          <w:bCs/>
          <w:color w:val="000000"/>
          <w:sz w:val="32"/>
          <w:szCs w:val="32"/>
        </w:rPr>
        <w:t>等相关科室。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color w:val="000000"/>
          <w:sz w:val="32"/>
          <w:szCs w:val="32"/>
        </w:rPr>
      </w:pPr>
      <w:r>
        <w:rPr>
          <w:rFonts w:hint="eastAsia" w:ascii="方正仿宋_GBK" w:hAnsi="仿宋" w:eastAsia="方正仿宋_GBK" w:cs="方正黑体_GBK"/>
          <w:color w:val="000000"/>
          <w:sz w:val="32"/>
          <w:szCs w:val="32"/>
        </w:rPr>
        <w:t>4.“建安”4号行动。</w:t>
      </w:r>
      <w:r>
        <w:rPr>
          <w:rFonts w:hint="eastAsia" w:ascii="方正仿宋_GBK" w:hAnsi="方正仿宋_GBK" w:eastAsia="方正仿宋_GBK" w:cs="方正仿宋_GBK"/>
          <w:color w:val="000000"/>
          <w:sz w:val="32"/>
          <w:szCs w:val="32"/>
        </w:rPr>
        <w:t>9月1日至9月9日，围绕“中秋、国庆”重要节日，重点整治触电、机械伤害、起重伤害等方面的违法行为。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Times New Roman" w:eastAsia="方正仿宋_GBK"/>
          <w:sz w:val="32"/>
          <w:szCs w:val="32"/>
        </w:rPr>
      </w:pPr>
      <w:r>
        <w:rPr>
          <w:rFonts w:hint="eastAsia" w:ascii="方正仿宋_GBK" w:hAnsi="方正仿宋_GBK" w:eastAsia="方正仿宋_GBK" w:cs="方正仿宋_GBK"/>
          <w:bCs/>
          <w:color w:val="000000"/>
          <w:sz w:val="32"/>
          <w:szCs w:val="32"/>
        </w:rPr>
        <w:t>牵头科室：</w:t>
      </w:r>
      <w:r>
        <w:rPr>
          <w:rFonts w:hint="eastAsia" w:ascii="方正仿宋_GBK" w:hAnsi="仿宋" w:eastAsia="方正仿宋_GBK" w:cs="方正黑体_GBK"/>
          <w:bCs/>
          <w:color w:val="000000"/>
          <w:sz w:val="32"/>
          <w:szCs w:val="32"/>
        </w:rPr>
        <w:t>安全科</w:t>
      </w:r>
      <w:r>
        <w:rPr>
          <w:rFonts w:hint="eastAsia" w:ascii="方正仿宋_GBK" w:hAnsi="方正仿宋_GBK" w:eastAsia="方正仿宋_GBK" w:cs="方正仿宋_GBK"/>
          <w:bCs/>
          <w:color w:val="000000"/>
          <w:sz w:val="32"/>
          <w:szCs w:val="32"/>
        </w:rPr>
        <w:t>；配合科室：</w:t>
      </w:r>
      <w:r>
        <w:rPr>
          <w:rFonts w:hint="eastAsia" w:ascii="方正仿宋_GBK" w:hAnsi="仿宋" w:eastAsia="方正仿宋_GBK" w:cs="方正黑体_GBK"/>
          <w:bCs/>
          <w:color w:val="000000"/>
          <w:sz w:val="32"/>
          <w:szCs w:val="32"/>
        </w:rPr>
        <w:t>规划建设科、水利综合行政执法支队、</w:t>
      </w:r>
      <w:r>
        <w:rPr>
          <w:rFonts w:hint="eastAsia" w:ascii="方正仿宋_GBK" w:hAnsi="方正仿宋_GBK" w:eastAsia="方正仿宋_GBK" w:cs="方正仿宋_GBK"/>
          <w:bCs/>
          <w:color w:val="000000"/>
          <w:sz w:val="32"/>
          <w:szCs w:val="32"/>
        </w:rPr>
        <w:t>农村水利科</w:t>
      </w:r>
      <w:r>
        <w:rPr>
          <w:rFonts w:hint="eastAsia" w:ascii="方正仿宋_GBK" w:hAnsi="仿宋" w:eastAsia="方正仿宋_GBK" w:cs="方正黑体_GBK"/>
          <w:color w:val="000000"/>
          <w:sz w:val="32"/>
          <w:szCs w:val="32"/>
        </w:rPr>
        <w:t>、水利工程移民服务中心、水文勘测管理中心</w:t>
      </w:r>
      <w:r>
        <w:rPr>
          <w:rFonts w:hint="eastAsia" w:ascii="方正仿宋_GBK" w:hAnsi="方正仿宋_GBK" w:eastAsia="方正仿宋_GBK" w:cs="方正仿宋_GBK"/>
          <w:bCs/>
          <w:color w:val="000000"/>
          <w:sz w:val="32"/>
          <w:szCs w:val="32"/>
        </w:rPr>
        <w:t>等相关科室。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仿宋_GBK" w:hAnsi="仿宋" w:eastAsia="方正仿宋_GBK" w:cs="方正黑体_GBK"/>
          <w:color w:val="000000"/>
          <w:sz w:val="32"/>
          <w:szCs w:val="32"/>
        </w:rPr>
        <w:t>5.“建安”5号行动。11月1日至11月9日，围绕岁末特殊时段，重点整治盲目赶工期、抢进度等方面的违法行为。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牵头科室：</w:t>
      </w:r>
      <w:r>
        <w:rPr>
          <w:rFonts w:hint="eastAsia" w:ascii="方正仿宋_GBK" w:hAnsi="仿宋" w:eastAsia="方正仿宋_GBK" w:cs="方正黑体_GBK"/>
          <w:bCs/>
          <w:color w:val="000000"/>
          <w:sz w:val="32"/>
          <w:szCs w:val="32"/>
        </w:rPr>
        <w:t>水利综合行政执法支队</w:t>
      </w:r>
      <w:r>
        <w:rPr>
          <w:rFonts w:hint="eastAsia" w:ascii="方正仿宋_GBK" w:hAnsi="方正仿宋_GBK" w:eastAsia="方正仿宋_GBK" w:cs="方正仿宋_GBK"/>
          <w:bCs/>
          <w:color w:val="000000"/>
          <w:sz w:val="32"/>
          <w:szCs w:val="32"/>
        </w:rPr>
        <w:t>；配合科室：规划建设科</w:t>
      </w:r>
      <w:r>
        <w:rPr>
          <w:rFonts w:hint="eastAsia" w:ascii="方正仿宋_GBK" w:hAnsi="仿宋" w:eastAsia="方正仿宋_GBK" w:cs="方正黑体_GBK"/>
          <w:bCs/>
          <w:color w:val="000000"/>
          <w:sz w:val="32"/>
          <w:szCs w:val="32"/>
        </w:rPr>
        <w:t>、</w:t>
      </w:r>
      <w:r>
        <w:rPr>
          <w:rFonts w:hint="eastAsia" w:ascii="方正仿宋_GBK" w:hAnsi="方正仿宋_GBK" w:eastAsia="方正仿宋_GBK" w:cs="方正仿宋_GBK"/>
          <w:bCs/>
          <w:color w:val="000000"/>
          <w:sz w:val="32"/>
          <w:szCs w:val="32"/>
        </w:rPr>
        <w:t>安全科、农村水利科</w:t>
      </w:r>
      <w:r>
        <w:rPr>
          <w:rFonts w:hint="eastAsia" w:ascii="方正仿宋_GBK" w:hAnsi="仿宋" w:eastAsia="方正仿宋_GBK" w:cs="方正黑体_GBK"/>
          <w:color w:val="000000"/>
          <w:sz w:val="32"/>
          <w:szCs w:val="32"/>
        </w:rPr>
        <w:t>、水利工程移民服务中心、水文勘测管理中心</w:t>
      </w:r>
      <w:r>
        <w:rPr>
          <w:rFonts w:hint="eastAsia" w:ascii="方正仿宋_GBK" w:hAnsi="方正仿宋_GBK" w:eastAsia="方正仿宋_GBK" w:cs="方正仿宋_GBK"/>
          <w:bCs/>
          <w:color w:val="000000"/>
          <w:sz w:val="32"/>
          <w:szCs w:val="32"/>
        </w:rPr>
        <w:t>等相关科室。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四、工作要求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（一）加强组织领导。</w:t>
      </w:r>
      <w:r>
        <w:rPr>
          <w:rFonts w:hint="eastAsia" w:ascii="方正仿宋_GBK" w:hAnsi="仿宋" w:eastAsia="方正仿宋_GBK" w:cs="方正黑体_GBK"/>
          <w:color w:val="000000"/>
          <w:sz w:val="32"/>
          <w:szCs w:val="32"/>
        </w:rPr>
        <w:t>成立区水利局建设施工领域安全生产工作领导小组，由局主要领导任组长，分管安全生产工作的领导任常务副组长，其余班子成员为副组长，各科室（单位）负责人为成员。领导小组每季度听取一次水利建设安全工作情况报告并组织研究解决水利建设安全重大问题，班子成员每月至少带队检查一次分管业务范围内建设安全工作，领导小组下涉办公室在安全科，负责日常工作。各科室</w:t>
      </w:r>
      <w:r>
        <w:rPr>
          <w:rFonts w:hint="eastAsia" w:ascii="方正仿宋_GBK" w:hAnsi="仿宋" w:eastAsia="方正仿宋_GBK" w:cs="方正黑体_GBK"/>
          <w:color w:val="000000"/>
          <w:sz w:val="32"/>
          <w:szCs w:val="32"/>
          <w:lang w:eastAsia="zh-CN"/>
        </w:rPr>
        <w:t>（</w:t>
      </w:r>
      <w:r>
        <w:rPr>
          <w:rFonts w:hint="eastAsia" w:ascii="方正仿宋_GBK" w:hAnsi="仿宋" w:eastAsia="方正仿宋_GBK" w:cs="方正黑体_GBK"/>
          <w:color w:val="000000"/>
          <w:sz w:val="32"/>
          <w:szCs w:val="32"/>
        </w:rPr>
        <w:t>单位</w:t>
      </w:r>
      <w:r>
        <w:rPr>
          <w:rFonts w:hint="eastAsia" w:ascii="方正仿宋_GBK" w:hAnsi="仿宋" w:eastAsia="方正仿宋_GBK" w:cs="方正黑体_GBK"/>
          <w:color w:val="000000"/>
          <w:sz w:val="32"/>
          <w:szCs w:val="32"/>
          <w:lang w:eastAsia="zh-CN"/>
        </w:rPr>
        <w:t>）</w:t>
      </w:r>
      <w:r>
        <w:rPr>
          <w:rFonts w:hint="eastAsia" w:ascii="方正仿宋_GBK" w:hAnsi="仿宋" w:eastAsia="方正仿宋_GBK" w:cs="方正黑体_GBK"/>
          <w:color w:val="000000"/>
          <w:sz w:val="32"/>
          <w:szCs w:val="32"/>
        </w:rPr>
        <w:t>按照职能职责负责抓好业务范围内建设安全各项工作落实见效。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（二）在建项目“三个责任人”全覆盖。</w:t>
      </w:r>
      <w:r>
        <w:rPr>
          <w:rFonts w:hint="eastAsia" w:ascii="方正仿宋_GBK" w:hAnsi="仿宋" w:eastAsia="方正仿宋_GBK" w:cs="方正黑体_GBK"/>
          <w:color w:val="000000"/>
          <w:sz w:val="32"/>
          <w:szCs w:val="32"/>
        </w:rPr>
        <w:t>一是“三个责任人”分级分类挂牌公示。按照项目大小和类别，区级重点水利建设项目已完成挂牌公示。各业务科室要对一般水利建设项目“三个责任人”进行清理，于4月30日前将</w:t>
      </w:r>
      <w:r>
        <w:rPr>
          <w:rFonts w:hint="eastAsia" w:ascii="方正仿宋_GBK" w:eastAsia="方正仿宋_GBK"/>
          <w:spacing w:val="-4"/>
          <w:sz w:val="32"/>
          <w:szCs w:val="32"/>
        </w:rPr>
        <w:t>水利建设项目安全生产“三个责任人”统计表（附件4）交安全科</w:t>
      </w:r>
      <w:r>
        <w:rPr>
          <w:rFonts w:hint="eastAsia" w:ascii="方正仿宋_GBK" w:hAnsi="仿宋" w:eastAsia="方正仿宋_GBK" w:cs="方正黑体_GBK"/>
          <w:color w:val="000000"/>
          <w:sz w:val="32"/>
          <w:szCs w:val="32"/>
        </w:rPr>
        <w:t>，7月底前要完成水利建设项目行政负责人、业务科室负责人和企业单位负责人“三个责任人”上墙公示全覆盖，保证监管不留盲区。二是责任人务实履职。“三个责任人”定期检查指导定点联系项目工地，切实解决只挂牌不监管、履职不力的问题。三是履职评估。建设施工领域安全生产工作领导小组要定期针对“三个责任人”履职情况开展抽查检查，督促其务实履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（三）强力推动一线岗位责任。</w:t>
      </w:r>
      <w:r>
        <w:rPr>
          <w:rFonts w:hint="eastAsia" w:ascii="方正仿宋_GBK" w:hAnsi="仿宋" w:eastAsia="方正仿宋_GBK" w:cs="方正黑体_GBK"/>
          <w:color w:val="000000"/>
          <w:sz w:val="32"/>
          <w:szCs w:val="32"/>
        </w:rPr>
        <w:t>要加大力度推动水利行业领域一线岗位责任落实，6月底前完成试点，9月底前资质以上建筑企业全面实施“一线责任制”工作，12月底前实现辖区水利建设施工领域全覆盖。水利建设施工企业要落实“日周月”隐患排查，严格开展安全员、监理工程师每日排查，项目经理周排查，企业负责人、总监理工程师月排查，排查记录表可参照附件5。</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（四）强化严格执法。</w:t>
      </w:r>
      <w:r>
        <w:rPr>
          <w:rFonts w:hint="eastAsia" w:ascii="方正仿宋_GBK" w:hAnsi="仿宋" w:eastAsia="方正仿宋_GBK" w:cs="方正黑体_GBK"/>
          <w:color w:val="000000"/>
          <w:sz w:val="32"/>
          <w:szCs w:val="32"/>
        </w:rPr>
        <w:t>一是提升执法力度。要严格落实“日周月”检查执法（科室每日检查执法、分管负责人每周带队检查执法、主要负责人每月示范检查执法）要求，在执法“清零”基础上，提升执法强度和执法质量。二是加大重点企业在建项目执法力度。要梳理辖区内近3年发生过建设施工事故的建设、施工总承包、监理企业的在建项目名录，作为重点执法对象，加强执法频次和力度，对2022年再次发生事故的，要倒查其安全责任落实情况，针对问题从严处罚。由安全科负责每月25日前向市水利局报送集中执法情况，由牵头科室负责每季度向区建安办报送典型案例不少于1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（五）强化事故查处。</w:t>
      </w:r>
      <w:r>
        <w:rPr>
          <w:rFonts w:hint="eastAsia" w:ascii="方正仿宋_GBK" w:hAnsi="仿宋" w:eastAsia="方正仿宋_GBK" w:cs="方正黑体_GBK"/>
          <w:color w:val="000000"/>
          <w:sz w:val="32"/>
          <w:szCs w:val="32"/>
        </w:rPr>
        <w:t>严格建设施工事故“有案必查”“一案双查”“三责同追”“四不放过”，严厉打击迟报、漏报、谎报、瞒报等违法违规行为，对出现相关违法违规行为的企业，要通过联合惩戒、诚信管理等方式予以严惩。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方正仿宋_GBK" w:hAnsi="仿宋" w:eastAsia="方正仿宋_GBK" w:cs="方正黑体_GBK"/>
          <w:color w:val="000000"/>
          <w:sz w:val="32"/>
          <w:szCs w:val="32"/>
        </w:rPr>
      </w:pPr>
      <w:r>
        <w:rPr>
          <w:rFonts w:hint="eastAsia" w:ascii="方正楷体_GBK" w:hAnsi="方正楷体_GBK" w:eastAsia="方正楷体_GBK" w:cs="方正楷体_GBK"/>
          <w:color w:val="000000"/>
          <w:sz w:val="32"/>
          <w:szCs w:val="32"/>
        </w:rPr>
        <w:t>（六）严格诚信管理。</w:t>
      </w:r>
      <w:r>
        <w:rPr>
          <w:rFonts w:hint="eastAsia" w:ascii="方正仿宋_GBK" w:hAnsi="仿宋" w:eastAsia="方正仿宋_GBK" w:cs="方正黑体_GBK"/>
          <w:color w:val="000000"/>
          <w:sz w:val="32"/>
          <w:szCs w:val="32"/>
        </w:rPr>
        <w:t>各</w:t>
      </w:r>
      <w:r>
        <w:rPr>
          <w:rFonts w:hint="eastAsia" w:ascii="方正仿宋_GBK" w:hAnsi="仿宋" w:eastAsia="方正仿宋_GBK" w:cs="方正黑体_GBK"/>
          <w:color w:val="000000"/>
          <w:sz w:val="32"/>
          <w:szCs w:val="32"/>
          <w:lang w:eastAsia="zh-CN"/>
        </w:rPr>
        <w:t>科室（单位）</w:t>
      </w:r>
      <w:r>
        <w:rPr>
          <w:rFonts w:hint="eastAsia" w:ascii="方正仿宋_GBK" w:hAnsi="仿宋" w:eastAsia="方正仿宋_GBK" w:cs="方正黑体_GBK"/>
          <w:color w:val="000000"/>
          <w:sz w:val="32"/>
          <w:szCs w:val="32"/>
        </w:rPr>
        <w:t>要切实加强诚信管理工作，严格落实激励约束措施，倒逼其做好安全生产工作。要将安全隐患多、问题整改不落实的企业信息及时抄报市局监督处、建设处。建设处在收到抄告信息后</w:t>
      </w:r>
      <w:r>
        <w:rPr>
          <w:rFonts w:hint="eastAsia" w:ascii="方正仿宋_GBK" w:hAnsi="仿宋" w:eastAsia="方正仿宋_GBK" w:cs="方正黑体_GBK"/>
          <w:color w:val="000000"/>
          <w:sz w:val="32"/>
          <w:szCs w:val="32"/>
          <w:lang w:eastAsia="zh-CN"/>
        </w:rPr>
        <w:t>将</w:t>
      </w:r>
      <w:r>
        <w:rPr>
          <w:rFonts w:hint="eastAsia" w:ascii="方正仿宋_GBK" w:hAnsi="仿宋" w:eastAsia="方正仿宋_GBK" w:cs="方正黑体_GBK"/>
          <w:color w:val="000000"/>
          <w:sz w:val="32"/>
          <w:szCs w:val="32"/>
        </w:rPr>
        <w:t>按照法律及信用管理规定将企业列为重点关注对象、失信联合惩戒对象，要在行政许可、招标投标、优惠政策等方面对问题企业予以限制。</w:t>
      </w:r>
    </w:p>
    <w:p>
      <w:pPr>
        <w:keepNext w:val="0"/>
        <w:keepLines w:val="0"/>
        <w:pageBreakBefore w:val="0"/>
        <w:widowControl w:val="0"/>
        <w:kinsoku/>
        <w:wordWrap/>
        <w:overflowPunct/>
        <w:topLinePunct w:val="0"/>
        <w:bidi w:val="0"/>
        <w:spacing w:line="560" w:lineRule="exact"/>
        <w:ind w:firstLine="632"/>
        <w:textAlignment w:val="auto"/>
        <w:rPr>
          <w:rFonts w:hint="eastAsia" w:ascii="方正仿宋_GBK" w:eastAsia="方正仿宋_GBK"/>
          <w:sz w:val="32"/>
          <w:szCs w:val="32"/>
        </w:rPr>
      </w:pPr>
    </w:p>
    <w:p>
      <w:pPr>
        <w:keepNext w:val="0"/>
        <w:keepLines w:val="0"/>
        <w:pageBreakBefore w:val="0"/>
        <w:widowControl w:val="0"/>
        <w:kinsoku/>
        <w:wordWrap/>
        <w:overflowPunct/>
        <w:topLinePunct w:val="0"/>
        <w:bidi w:val="0"/>
        <w:spacing w:line="560" w:lineRule="exact"/>
        <w:ind w:firstLine="632"/>
        <w:textAlignment w:val="auto"/>
        <w:rPr>
          <w:rFonts w:ascii="方正仿宋_GBK" w:eastAsia="方正仿宋_GBK"/>
          <w:sz w:val="32"/>
          <w:szCs w:val="32"/>
        </w:rPr>
      </w:pPr>
      <w:r>
        <w:rPr>
          <w:rFonts w:hint="eastAsia" w:ascii="方正仿宋_GBK" w:eastAsia="方正仿宋_GBK"/>
          <w:sz w:val="32"/>
          <w:szCs w:val="32"/>
        </w:rPr>
        <w:t>附件：1.重点执法内容</w:t>
      </w:r>
    </w:p>
    <w:p>
      <w:pPr>
        <w:keepNext w:val="0"/>
        <w:keepLines w:val="0"/>
        <w:pageBreakBefore w:val="0"/>
        <w:widowControl w:val="0"/>
        <w:kinsoku/>
        <w:wordWrap/>
        <w:overflowPunct/>
        <w:topLinePunct w:val="0"/>
        <w:bidi w:val="0"/>
        <w:spacing w:line="560" w:lineRule="exact"/>
        <w:ind w:firstLine="1590" w:firstLineChars="497"/>
        <w:textAlignment w:val="auto"/>
        <w:rPr>
          <w:rFonts w:ascii="方正仿宋_GBK" w:eastAsia="方正仿宋_GBK"/>
          <w:sz w:val="32"/>
          <w:szCs w:val="32"/>
        </w:rPr>
      </w:pPr>
      <w:r>
        <w:rPr>
          <w:rFonts w:hint="eastAsia" w:ascii="方正仿宋_GBK" w:eastAsia="方正仿宋_GBK"/>
          <w:sz w:val="32"/>
          <w:szCs w:val="32"/>
        </w:rPr>
        <w:t>2.“2022年度水利建安行动”集中执法情况汇总表</w:t>
      </w:r>
    </w:p>
    <w:p>
      <w:pPr>
        <w:keepNext w:val="0"/>
        <w:keepLines w:val="0"/>
        <w:pageBreakBefore w:val="0"/>
        <w:widowControl w:val="0"/>
        <w:kinsoku/>
        <w:wordWrap/>
        <w:overflowPunct/>
        <w:topLinePunct w:val="0"/>
        <w:bidi w:val="0"/>
        <w:spacing w:line="560" w:lineRule="exact"/>
        <w:ind w:left="1725" w:leftChars="747" w:hanging="156" w:hangingChars="50"/>
        <w:textAlignment w:val="auto"/>
        <w:rPr>
          <w:rFonts w:hint="eastAsia" w:ascii="方正仿宋_GBK" w:eastAsia="方正仿宋_GBK"/>
          <w:spacing w:val="-4"/>
          <w:sz w:val="32"/>
          <w:szCs w:val="32"/>
        </w:rPr>
      </w:pPr>
      <w:r>
        <w:rPr>
          <w:rFonts w:hint="eastAsia" w:ascii="方正仿宋_GBK" w:eastAsia="方正仿宋_GBK"/>
          <w:spacing w:val="-4"/>
          <w:sz w:val="32"/>
          <w:szCs w:val="32"/>
        </w:rPr>
        <w:t>3.“2022年度水利建安行动”罚款、停工详情统计表</w:t>
      </w:r>
    </w:p>
    <w:p>
      <w:pPr>
        <w:keepNext w:val="0"/>
        <w:keepLines w:val="0"/>
        <w:pageBreakBefore w:val="0"/>
        <w:widowControl w:val="0"/>
        <w:kinsoku/>
        <w:wordWrap/>
        <w:overflowPunct/>
        <w:topLinePunct w:val="0"/>
        <w:bidi w:val="0"/>
        <w:spacing w:line="560" w:lineRule="exact"/>
        <w:ind w:left="1725" w:leftChars="747" w:hanging="156" w:hangingChars="50"/>
        <w:textAlignment w:val="auto"/>
        <w:rPr>
          <w:rFonts w:hint="eastAsia" w:ascii="方正仿宋_GBK" w:eastAsia="方正仿宋_GBK"/>
          <w:spacing w:val="-4"/>
          <w:sz w:val="32"/>
          <w:szCs w:val="32"/>
        </w:rPr>
      </w:pPr>
      <w:r>
        <w:rPr>
          <w:rFonts w:hint="eastAsia" w:ascii="方正仿宋_GBK" w:eastAsia="方正仿宋_GBK"/>
          <w:spacing w:val="-4"/>
          <w:sz w:val="32"/>
          <w:szCs w:val="32"/>
        </w:rPr>
        <w:t>4</w:t>
      </w:r>
      <w:r>
        <w:rPr>
          <w:rFonts w:hint="eastAsia" w:ascii="方正仿宋_GBK" w:eastAsia="方正仿宋_GBK"/>
          <w:sz w:val="32"/>
          <w:szCs w:val="32"/>
        </w:rPr>
        <w:t>.</w:t>
      </w:r>
      <w:r>
        <w:rPr>
          <w:rFonts w:hint="eastAsia" w:ascii="方正仿宋_GBK" w:eastAsia="方正仿宋_GBK"/>
          <w:spacing w:val="-4"/>
          <w:sz w:val="32"/>
          <w:szCs w:val="32"/>
        </w:rPr>
        <w:t xml:space="preserve"> 水利建设项目安全生产“三个责任人”统计表</w:t>
      </w:r>
    </w:p>
    <w:p>
      <w:pPr>
        <w:keepNext w:val="0"/>
        <w:keepLines w:val="0"/>
        <w:pageBreakBefore w:val="0"/>
        <w:widowControl w:val="0"/>
        <w:kinsoku/>
        <w:wordWrap/>
        <w:overflowPunct/>
        <w:topLinePunct w:val="0"/>
        <w:bidi w:val="0"/>
        <w:spacing w:line="560" w:lineRule="exact"/>
        <w:ind w:left="1725" w:leftChars="747" w:hanging="156" w:hangingChars="50"/>
        <w:textAlignment w:val="auto"/>
        <w:rPr>
          <w:rFonts w:hint="eastAsia" w:ascii="方正仿宋_GBK" w:eastAsia="方正仿宋_GBK"/>
          <w:spacing w:val="-4"/>
          <w:sz w:val="32"/>
          <w:szCs w:val="32"/>
        </w:rPr>
      </w:pPr>
      <w:r>
        <w:rPr>
          <w:rFonts w:hint="eastAsia" w:ascii="方正仿宋_GBK" w:eastAsia="方正仿宋_GBK"/>
          <w:spacing w:val="-4"/>
          <w:sz w:val="32"/>
          <w:szCs w:val="32"/>
        </w:rPr>
        <w:t>5. 施工现场日周月安全检查记录表（仅作参考）</w:t>
      </w:r>
    </w:p>
    <w:p>
      <w:pPr>
        <w:pStyle w:val="2"/>
        <w:keepNext w:val="0"/>
        <w:keepLines w:val="0"/>
        <w:pageBreakBefore w:val="0"/>
        <w:widowControl w:val="0"/>
        <w:kinsoku/>
        <w:wordWrap/>
        <w:overflowPunct/>
        <w:topLinePunct w:val="0"/>
        <w:bidi w:val="0"/>
        <w:spacing w:line="560" w:lineRule="exact"/>
        <w:textAlignment w:val="auto"/>
        <w:rPr>
          <w:rFonts w:hint="eastAsia" w:ascii="方正仿宋_GBK" w:eastAsia="方正仿宋_GBK"/>
          <w:spacing w:val="-4"/>
          <w:sz w:val="32"/>
          <w:szCs w:val="32"/>
        </w:rPr>
      </w:pPr>
    </w:p>
    <w:p>
      <w:pPr>
        <w:pStyle w:val="2"/>
        <w:spacing w:line="600" w:lineRule="exact"/>
        <w:rPr>
          <w:rFonts w:ascii="Times New Roman" w:hAnsi="Times New Roman" w:eastAsia="宋体" w:cs="Times New Roman"/>
        </w:rPr>
      </w:pPr>
    </w:p>
    <w:p>
      <w:pPr>
        <w:adjustRightInd w:val="0"/>
        <w:snapToGrid w:val="0"/>
        <w:spacing w:line="600" w:lineRule="exact"/>
        <w:rPr>
          <w:rFonts w:ascii="方正黑体_GBK" w:eastAsia="方正黑体_GBK"/>
          <w:sz w:val="32"/>
          <w:szCs w:val="32"/>
        </w:rPr>
      </w:pPr>
    </w:p>
    <w:p>
      <w:pPr>
        <w:adjustRightInd w:val="0"/>
        <w:snapToGrid w:val="0"/>
        <w:spacing w:line="600" w:lineRule="exact"/>
        <w:rPr>
          <w:rFonts w:ascii="方正黑体_GBK" w:eastAsia="方正黑体_GBK"/>
          <w:sz w:val="32"/>
          <w:szCs w:val="32"/>
        </w:rPr>
      </w:pPr>
    </w:p>
    <w:p>
      <w:pPr>
        <w:adjustRightInd w:val="0"/>
        <w:snapToGrid w:val="0"/>
        <w:spacing w:line="600" w:lineRule="exact"/>
        <w:rPr>
          <w:rFonts w:hint="eastAsia" w:ascii="方正黑体_GBK" w:eastAsia="方正黑体_GBK"/>
          <w:sz w:val="32"/>
          <w:szCs w:val="32"/>
        </w:rPr>
      </w:pPr>
    </w:p>
    <w:p>
      <w:pPr>
        <w:pStyle w:val="2"/>
        <w:rPr>
          <w:rFonts w:hint="eastAsia" w:ascii="方正黑体_GBK" w:eastAsia="方正黑体_GBK"/>
          <w:sz w:val="32"/>
          <w:szCs w:val="32"/>
        </w:rPr>
      </w:pPr>
    </w:p>
    <w:p>
      <w:pPr>
        <w:pStyle w:val="2"/>
        <w:rPr>
          <w:rFonts w:hint="eastAsia" w:ascii="方正黑体_GBK" w:eastAsia="方正黑体_GBK"/>
          <w:sz w:val="32"/>
          <w:szCs w:val="32"/>
        </w:rPr>
      </w:pPr>
    </w:p>
    <w:p>
      <w:pPr>
        <w:pStyle w:val="2"/>
        <w:rPr>
          <w:rFonts w:hint="eastAsia" w:ascii="方正黑体_GBK" w:eastAsia="方正黑体_GBK"/>
          <w:sz w:val="32"/>
          <w:szCs w:val="32"/>
        </w:rPr>
      </w:pPr>
    </w:p>
    <w:p>
      <w:pPr>
        <w:pStyle w:val="2"/>
        <w:rPr>
          <w:rFonts w:hint="eastAsia" w:ascii="方正黑体_GBK" w:eastAsia="方正黑体_GBK"/>
          <w:sz w:val="32"/>
          <w:szCs w:val="32"/>
        </w:rPr>
      </w:pPr>
    </w:p>
    <w:p>
      <w:pPr>
        <w:pStyle w:val="2"/>
        <w:rPr>
          <w:rFonts w:hint="eastAsia" w:ascii="方正黑体_GBK" w:eastAsia="方正黑体_GBK"/>
          <w:sz w:val="32"/>
          <w:szCs w:val="32"/>
        </w:rPr>
      </w:pPr>
    </w:p>
    <w:p>
      <w:pPr>
        <w:pStyle w:val="2"/>
        <w:rPr>
          <w:rFonts w:hint="eastAsia" w:ascii="方正黑体_GBK" w:eastAsia="方正黑体_GBK"/>
          <w:sz w:val="32"/>
          <w:szCs w:val="32"/>
        </w:rPr>
      </w:pPr>
    </w:p>
    <w:p>
      <w:pPr>
        <w:pStyle w:val="3"/>
        <w:rPr>
          <w:rFonts w:hint="eastAsia"/>
        </w:rPr>
      </w:pPr>
    </w:p>
    <w:p>
      <w:pPr>
        <w:keepNext w:val="0"/>
        <w:keepLines w:val="0"/>
        <w:pageBreakBefore w:val="0"/>
        <w:widowControl w:val="0"/>
        <w:kinsoku/>
        <w:wordWrap/>
        <w:overflowPunct/>
        <w:topLinePunct w:val="0"/>
        <w:bidi w:val="0"/>
        <w:adjustRightInd w:val="0"/>
        <w:snapToGrid w:val="0"/>
        <w:spacing w:line="500" w:lineRule="exact"/>
        <w:textAlignment w:val="auto"/>
        <w:rPr>
          <w:rFonts w:ascii="方正黑体_GBK" w:eastAsia="方正黑体_GBK"/>
          <w:sz w:val="32"/>
          <w:szCs w:val="32"/>
        </w:rPr>
      </w:pPr>
      <w:r>
        <w:rPr>
          <w:rFonts w:hint="eastAsia" w:ascii="方正黑体_GBK" w:eastAsia="方正黑体_GBK"/>
          <w:sz w:val="32"/>
          <w:szCs w:val="32"/>
        </w:rPr>
        <w:t>附件1</w:t>
      </w:r>
    </w:p>
    <w:p>
      <w:pPr>
        <w:keepNext w:val="0"/>
        <w:keepLines w:val="0"/>
        <w:pageBreakBefore w:val="0"/>
        <w:widowControl w:val="0"/>
        <w:kinsoku/>
        <w:wordWrap/>
        <w:overflowPunct/>
        <w:topLinePunct w:val="0"/>
        <w:autoSpaceDE w:val="0"/>
        <w:autoSpaceDN w:val="0"/>
        <w:bidi w:val="0"/>
        <w:adjustRightInd w:val="0"/>
        <w:spacing w:line="500" w:lineRule="exact"/>
        <w:jc w:val="center"/>
        <w:textAlignment w:val="auto"/>
        <w:rPr>
          <w:rFonts w:ascii="方正小标宋_GBK" w:eastAsia="方正小标宋_GBK" w:cs="仿宋_GB2312"/>
          <w:color w:val="000000"/>
          <w:kern w:val="0"/>
          <w:sz w:val="44"/>
          <w:szCs w:val="44"/>
        </w:rPr>
      </w:pPr>
      <w:r>
        <w:rPr>
          <w:rFonts w:hint="eastAsia" w:ascii="方正小标宋_GBK" w:eastAsia="方正小标宋_GBK" w:cs="仿宋_GB2312"/>
          <w:color w:val="000000"/>
          <w:kern w:val="0"/>
          <w:sz w:val="44"/>
          <w:szCs w:val="44"/>
        </w:rPr>
        <w:t>重点执法内容</w:t>
      </w:r>
    </w:p>
    <w:tbl>
      <w:tblPr>
        <w:tblStyle w:val="7"/>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75"/>
        <w:gridCol w:w="2567"/>
        <w:gridCol w:w="5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黑体_GBK" w:hAnsi="方正黑体_GBK" w:eastAsia="方正黑体_GBK" w:cs="方正黑体_GBK"/>
                <w:b w:val="0"/>
                <w:bCs/>
                <w:color w:val="000000"/>
                <w:kern w:val="0"/>
                <w:sz w:val="21"/>
                <w:szCs w:val="21"/>
              </w:rPr>
            </w:pPr>
            <w:r>
              <w:rPr>
                <w:rFonts w:hint="eastAsia" w:ascii="方正黑体_GBK" w:hAnsi="方正黑体_GBK" w:eastAsia="方正黑体_GBK" w:cs="方正黑体_GBK"/>
                <w:b w:val="0"/>
                <w:bCs/>
                <w:color w:val="000000"/>
                <w:kern w:val="0"/>
                <w:sz w:val="21"/>
                <w:szCs w:val="21"/>
              </w:rPr>
              <w:t>执法对象</w:t>
            </w:r>
          </w:p>
        </w:tc>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黑体_GBK" w:hAnsi="方正黑体_GBK" w:eastAsia="方正黑体_GBK" w:cs="方正黑体_GBK"/>
                <w:b w:val="0"/>
                <w:bCs/>
                <w:color w:val="000000"/>
                <w:kern w:val="0"/>
                <w:sz w:val="21"/>
                <w:szCs w:val="21"/>
              </w:rPr>
            </w:pPr>
            <w:r>
              <w:rPr>
                <w:rFonts w:hint="eastAsia" w:ascii="方正黑体_GBK" w:hAnsi="方正黑体_GBK" w:eastAsia="方正黑体_GBK" w:cs="方正黑体_GBK"/>
                <w:b w:val="0"/>
                <w:bCs/>
                <w:color w:val="000000"/>
                <w:kern w:val="0"/>
                <w:sz w:val="21"/>
                <w:szCs w:val="21"/>
              </w:rPr>
              <w:t>责任类型</w:t>
            </w:r>
          </w:p>
        </w:tc>
        <w:tc>
          <w:tcPr>
            <w:tcW w:w="786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黑体_GBK" w:hAnsi="方正黑体_GBK" w:eastAsia="方正黑体_GBK" w:cs="方正黑体_GBK"/>
                <w:b w:val="0"/>
                <w:bCs/>
                <w:color w:val="000000"/>
                <w:kern w:val="0"/>
                <w:sz w:val="21"/>
                <w:szCs w:val="21"/>
              </w:rPr>
            </w:pPr>
            <w:r>
              <w:rPr>
                <w:rFonts w:hint="eastAsia" w:ascii="方正黑体_GBK" w:hAnsi="方正黑体_GBK" w:eastAsia="方正黑体_GBK" w:cs="方正黑体_GBK"/>
                <w:b w:val="0"/>
                <w:bCs/>
                <w:color w:val="000000"/>
                <w:kern w:val="0"/>
                <w:sz w:val="21"/>
                <w:szCs w:val="21"/>
              </w:rPr>
              <w:t>突出违法行为清单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建设单位</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首要责任</w:t>
            </w: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jc w:val="lef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（一）未执行法定程序和发包制度</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1.未取得施工许可等建设手续擅自开工；</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2.肢解发包工程、违规指定分包单位。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jc w:val="lef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（二）未保证安全投入</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3.未按规定单列和提取安全措施费；</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4.未及时拨付涉及危大工程措施费；</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5.未检查安全措施费使用。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jc w:val="lef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（三）未保证合理工期和造价</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6.盲目压缩造价，因不可抗力、重大活动保障等原因停工不给予合理工期补偿；</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7.盲目赶工抢期，调整合同约定工期不调整相应工程费用；</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8.迫使参建单位简化工序、以“优化”为名降低勘察设计标准。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jc w:val="lef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（四）未认真防控重大风险</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9.未对隧道等开展总体风险评估；</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10.在勘察、设计、施工阶段未全过程组织动态风险管控；</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11.复杂地质条件隧道在工程量清单中没有保证瓦斯、突泥、突水等灾害的防治措施费用。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jc w:val="lef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（五）危大工程管控</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12.对危大工程不实施全程管理；</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13.无危大工程辨识清单；</w:t>
            </w:r>
          </w:p>
          <w:p>
            <w:pPr>
              <w:keepNext w:val="0"/>
              <w:keepLines w:val="0"/>
              <w:pageBreakBefore w:val="0"/>
              <w:kinsoku/>
              <w:wordWrap/>
              <w:overflowPunct/>
              <w:topLinePunct w:val="0"/>
              <w:bidi w:val="0"/>
              <w:adjustRightInd/>
              <w:snapToGrid w:val="0"/>
              <w:spacing w:line="240" w:lineRule="exact"/>
              <w:textAlignment w:val="auto"/>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14.不督促危大工程隐患整改。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施工单位</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主体责任</w:t>
            </w: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（一）危大工程管控</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1.无辨识清单或辨识不全；</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2.未在施工现场公告清单；</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3.未编制专项方案或方案明显抄袭；</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4.专项方案内容不齐全或针对性不足、或未按要求签字盖章；</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5.超规模危大工程专项方案未组织论证；</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6.未按照专项方案施工（如材料、技术参数与方案不符）。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（二）项目经理</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7.人证不符、“挂证”；</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8备案项目经理未在岗履职；</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9.签署虚假文件记录；</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10.危大工程实施时未带班；</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11.未参加危大工程论证验收和关键节点安全检查；</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12.未组织“日周月”隐患检查；</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13.未在日常检查记录、整改报告上签字或由他人代签。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（三）技术负责人</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14.专项方案明显抄袭或针对性明显不足；</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15.施工单位技术负责人未对专项方案审核签字；</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16.专项方案审核签字作假或由他人代签；</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17.技术负责人未参加专项方案论证；擅自修改专项施工方案；</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18.未进行专项方案技术交底；</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19.专项方案技术交底记录作假或他人代签。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（四）专职安全员</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20.人、证不符；</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21.无正当理由不在岗；</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22.危大工程未在现场监督；</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23.未开展“日周月”隐患排查；</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24.“日周月”安全隐患排查记录作假；</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25.未在安全技术交底记录上签字确认；</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26.发现危大工程未按方案实施未报告。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（五）高处坠落</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27.施工单位或协作队伍未发放安全带；</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28.高处作业人员未使用安全带，或安全带使用不当；</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29.作业面未设置可靠挂点；</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30.临边未设置护栏或护栏设置不当；</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31.洞口未设置盖板、平网等防坠措施；</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32.攀登、平台、悬空作业未设置有效通道、作业平台和攀登用具。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（六）物体打击</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33.施工单位或协作队伍未发放安全帽；</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34.乱堆乱码和随意抛丢物料材料；</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35.通道口、集中加工场上方不设防护棚，上下交叉作业未设置有效水平防护；</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36.通行道路、拆除作业不设警戒线；起吊物下方有人员通行和作业。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（七）坍塌风险</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37.模板支撑体系、起重吊装、安装拆卸、工具式脚手架、悬挑脚手架、爬架、隧道暗挖、临时栈桥、水下围堰等重点工序存在突出问题，受力部位上超荷载、材料使用上减型号、技术上减参数、方案上减程序；</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38.深基坑、边坡工程、隧道开挖前掌握不清、开挖中方法不当、开挖后支护不及时、过程中工序衔接不紧。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（八）触电风险</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39.开关箱未设短路、过载、漏电保护器；</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40.动力开关箱与照明开关箱没有分设；</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41.配电箱、开关箱进出线有接头；</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42.负荷线有破损和接头；</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43.使用家用插线板；</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44.开关箱至设备端使用“花线”的。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（九）起重伤害</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45.起重吊装作业无人指挥、无证指挥；</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46.起重机械以小标大、以旧代新、标准节混装、非原厂制造；</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47.无方案组织实施安装、拆卸、顶升等作业。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（十）车辆伤害</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48.工程车辆超载超限、人货混装、超员载人、无牌无证；</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49.驾驶人员无证驾驶、超速行驶；</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50.通行区域未落实人车分流；</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51.多车通行和倒车时无人指挥；</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52.隧道内灯光不好情形下通行；</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53.施工便道不符合规范要求。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监理单位</w:t>
            </w:r>
          </w:p>
        </w:tc>
        <w:tc>
          <w:tcPr>
            <w:tcW w:w="6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center"/>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监理责任</w:t>
            </w: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（一）危大工程管控</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1.未将危大工程列入监理实施细则；</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2.未按规定审核专项方案；</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3.未对危大工程实施现场监理；</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4.未对超规模危大工程实施旁站监理；</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5.发现危大工程隐患未督促整改或发出停工指令。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pacing w:line="240" w:lineRule="exact"/>
              <w:jc w:val="left"/>
              <w:textAlignment w:val="auto"/>
              <w:rPr>
                <w:rFonts w:ascii="方正仿宋_GBK" w:hAnsi="方正仿宋_GBK" w:eastAsia="方正仿宋_GBK" w:cs="方正仿宋_GBK"/>
                <w:color w:val="000000"/>
                <w:kern w:val="0"/>
                <w:sz w:val="21"/>
                <w:szCs w:val="21"/>
              </w:rPr>
            </w:pPr>
          </w:p>
        </w:tc>
        <w:tc>
          <w:tcPr>
            <w:tcW w:w="2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（二）监理工程师</w:t>
            </w:r>
          </w:p>
        </w:tc>
        <w:tc>
          <w:tcPr>
            <w:tcW w:w="52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6.现场人员与合同备案不符；</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7.未配置安全监理工程师、无危大工程监理细则、无安全监理日志；</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8.专项方案未经总监理工程师审查签字、加盖执业印章；</w:t>
            </w:r>
          </w:p>
          <w:p>
            <w:pPr>
              <w:keepNext w:val="0"/>
              <w:keepLines w:val="0"/>
              <w:pageBreakBefore w:val="0"/>
              <w:kinsoku/>
              <w:wordWrap/>
              <w:overflowPunct/>
              <w:topLinePunct w:val="0"/>
              <w:autoSpaceDE w:val="0"/>
              <w:autoSpaceDN w:val="0"/>
              <w:bidi w:val="0"/>
              <w:adjustRightInd/>
              <w:snapToGrid w:val="0"/>
              <w:spacing w:line="240" w:lineRule="exact"/>
              <w:jc w:val="left"/>
              <w:textAlignment w:val="auto"/>
              <w:rPr>
                <w:rFonts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9.未参加危大工程论证、验收。</w:t>
            </w:r>
          </w:p>
        </w:tc>
      </w:tr>
    </w:tbl>
    <w:p>
      <w:pPr>
        <w:widowControl/>
        <w:spacing w:line="600" w:lineRule="exact"/>
        <w:jc w:val="left"/>
        <w:rPr>
          <w:rFonts w:ascii="方正仿宋_GBK" w:hAnsi="方正仿宋_GBK" w:cs="方正仿宋_GBK"/>
          <w:color w:val="000000"/>
          <w:szCs w:val="32"/>
        </w:rPr>
        <w:sectPr>
          <w:footerReference r:id="rId3" w:type="default"/>
          <w:pgSz w:w="11906" w:h="16838"/>
          <w:pgMar w:top="2098" w:right="1531" w:bottom="1984" w:left="1531" w:header="851" w:footer="1474" w:gutter="0"/>
          <w:pgNumType w:fmt="numberInDash"/>
          <w:cols w:space="0" w:num="1"/>
          <w:docGrid w:type="lines" w:linePitch="318" w:charSpace="0"/>
        </w:sectPr>
      </w:pPr>
    </w:p>
    <w:p>
      <w:pPr>
        <w:adjustRightInd w:val="0"/>
        <w:snapToGrid w:val="0"/>
        <w:spacing w:line="600" w:lineRule="exact"/>
        <w:rPr>
          <w:rFonts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附件2</w:t>
      </w:r>
    </w:p>
    <w:p>
      <w:pPr>
        <w:adjustRightInd w:val="0"/>
        <w:snapToGrid w:val="0"/>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“2022年度水利建安行动”集中执法情况汇总表</w:t>
      </w:r>
    </w:p>
    <w:p>
      <w:pPr>
        <w:adjustRightInd w:val="0"/>
        <w:snapToGrid w:val="0"/>
        <w:spacing w:line="600" w:lineRule="exact"/>
        <w:rPr>
          <w:rFonts w:ascii="方正仿宋_GBK" w:hAnsi="方正仿宋_GBK" w:eastAsia="方正仿宋_GBK" w:cs="方正仿宋_GBK"/>
          <w:color w:val="000000"/>
          <w:kern w:val="0"/>
          <w:sz w:val="22"/>
        </w:rPr>
      </w:pPr>
      <w:r>
        <w:rPr>
          <w:rFonts w:hint="eastAsia" w:ascii="方正仿宋_GBK" w:hAnsi="方正仿宋_GBK" w:eastAsia="方正仿宋_GBK" w:cs="方正仿宋_GBK"/>
          <w:color w:val="000000"/>
          <w:kern w:val="0"/>
          <w:sz w:val="22"/>
        </w:rPr>
        <w:t>填报单位（签章）：                                联系电话:                                      填报时间：     年   月   日</w:t>
      </w:r>
    </w:p>
    <w:tbl>
      <w:tblPr>
        <w:tblStyle w:val="7"/>
        <w:tblW w:w="13935" w:type="dxa"/>
        <w:jc w:val="center"/>
        <w:tblLayout w:type="fixed"/>
        <w:tblCellMar>
          <w:top w:w="0" w:type="dxa"/>
          <w:left w:w="108" w:type="dxa"/>
          <w:bottom w:w="0" w:type="dxa"/>
          <w:right w:w="108" w:type="dxa"/>
        </w:tblCellMar>
      </w:tblPr>
      <w:tblGrid>
        <w:gridCol w:w="929"/>
        <w:gridCol w:w="885"/>
        <w:gridCol w:w="784"/>
        <w:gridCol w:w="658"/>
        <w:gridCol w:w="652"/>
        <w:gridCol w:w="627"/>
        <w:gridCol w:w="842"/>
        <w:gridCol w:w="993"/>
        <w:gridCol w:w="1278"/>
        <w:gridCol w:w="1137"/>
        <w:gridCol w:w="710"/>
        <w:gridCol w:w="852"/>
        <w:gridCol w:w="993"/>
        <w:gridCol w:w="1135"/>
        <w:gridCol w:w="1454"/>
        <w:gridCol w:w="6"/>
      </w:tblGrid>
      <w:tr>
        <w:tblPrEx>
          <w:tblCellMar>
            <w:top w:w="0" w:type="dxa"/>
            <w:left w:w="108" w:type="dxa"/>
            <w:bottom w:w="0" w:type="dxa"/>
            <w:right w:w="108" w:type="dxa"/>
          </w:tblCellMar>
        </w:tblPrEx>
        <w:trPr>
          <w:trHeight w:val="604" w:hRule="atLeast"/>
          <w:jc w:val="center"/>
        </w:trPr>
        <w:tc>
          <w:tcPr>
            <w:tcW w:w="930" w:type="dxa"/>
            <w:vMerge w:val="restart"/>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区县</w:t>
            </w:r>
          </w:p>
        </w:tc>
        <w:tc>
          <w:tcPr>
            <w:tcW w:w="3607" w:type="dxa"/>
            <w:gridSpan w:val="5"/>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行政执法总体情况</w:t>
            </w:r>
          </w:p>
        </w:tc>
        <w:tc>
          <w:tcPr>
            <w:tcW w:w="4253" w:type="dxa"/>
            <w:gridSpan w:val="4"/>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行政处罚具体情况</w:t>
            </w:r>
          </w:p>
        </w:tc>
        <w:tc>
          <w:tcPr>
            <w:tcW w:w="5149" w:type="dxa"/>
            <w:gridSpan w:val="6"/>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其他处理情况</w:t>
            </w:r>
          </w:p>
        </w:tc>
      </w:tr>
      <w:tr>
        <w:tblPrEx>
          <w:tblCellMar>
            <w:top w:w="0" w:type="dxa"/>
            <w:left w:w="108" w:type="dxa"/>
            <w:bottom w:w="0" w:type="dxa"/>
            <w:right w:w="108" w:type="dxa"/>
          </w:tblCellMar>
        </w:tblPrEx>
        <w:trPr>
          <w:gridAfter w:val="1"/>
          <w:wAfter w:w="5" w:type="dxa"/>
          <w:trHeight w:val="665" w:hRule="atLeast"/>
          <w:jc w:val="center"/>
        </w:trPr>
        <w:tc>
          <w:tcPr>
            <w:tcW w:w="93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方正黑体_GBK" w:hAnsi="方正黑体_GBK" w:eastAsia="方正黑体_GBK" w:cs="方正黑体_GBK"/>
                <w:color w:val="000000"/>
                <w:szCs w:val="21"/>
              </w:rPr>
            </w:pPr>
          </w:p>
        </w:tc>
        <w:tc>
          <w:tcPr>
            <w:tcW w:w="886" w:type="dxa"/>
            <w:vMerge w:val="restar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下达责令限期整改指令书（份）</w:t>
            </w:r>
          </w:p>
        </w:tc>
        <w:tc>
          <w:tcPr>
            <w:tcW w:w="784" w:type="dxa"/>
            <w:vMerge w:val="restart"/>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下达责令停工指令书（份）</w:t>
            </w:r>
          </w:p>
        </w:tc>
        <w:tc>
          <w:tcPr>
            <w:tcW w:w="1310" w:type="dxa"/>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下达行政处罚决定书（份）</w:t>
            </w:r>
          </w:p>
        </w:tc>
        <w:tc>
          <w:tcPr>
            <w:tcW w:w="62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案件移送（件）</w:t>
            </w:r>
          </w:p>
        </w:tc>
        <w:tc>
          <w:tcPr>
            <w:tcW w:w="84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行政罚款（元）</w:t>
            </w:r>
          </w:p>
        </w:tc>
        <w:tc>
          <w:tcPr>
            <w:tcW w:w="994"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责令停止施工(家/次)</w:t>
            </w:r>
          </w:p>
        </w:tc>
        <w:tc>
          <w:tcPr>
            <w:tcW w:w="127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暂扣或吊销 “三类人员”证件(个)</w:t>
            </w:r>
          </w:p>
        </w:tc>
        <w:tc>
          <w:tcPr>
            <w:tcW w:w="113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暂扣“特种作业”证件(个)</w:t>
            </w:r>
          </w:p>
        </w:tc>
        <w:tc>
          <w:tcPr>
            <w:tcW w:w="71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通报批评（家/次）</w:t>
            </w:r>
          </w:p>
        </w:tc>
        <w:tc>
          <w:tcPr>
            <w:tcW w:w="85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纳入信用不良记录（家/次）</w:t>
            </w:r>
          </w:p>
        </w:tc>
        <w:tc>
          <w:tcPr>
            <w:tcW w:w="994"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纳入“黑名单”（家/次）</w:t>
            </w:r>
          </w:p>
        </w:tc>
        <w:tc>
          <w:tcPr>
            <w:tcW w:w="113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kern w:val="0"/>
                <w:szCs w:val="21"/>
              </w:rPr>
              <w:t>项目经理记分（人/分）</w:t>
            </w:r>
          </w:p>
        </w:tc>
        <w:tc>
          <w:tcPr>
            <w:tcW w:w="1455" w:type="dxa"/>
            <w:vMerge w:val="restart"/>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实施联合惩戒</w:t>
            </w:r>
          </w:p>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（家/人）</w:t>
            </w:r>
          </w:p>
        </w:tc>
      </w:tr>
      <w:tr>
        <w:tblPrEx>
          <w:tblCellMar>
            <w:top w:w="0" w:type="dxa"/>
            <w:left w:w="108" w:type="dxa"/>
            <w:bottom w:w="0" w:type="dxa"/>
            <w:right w:w="108" w:type="dxa"/>
          </w:tblCellMar>
        </w:tblPrEx>
        <w:trPr>
          <w:gridAfter w:val="1"/>
          <w:wAfter w:w="6" w:type="dxa"/>
          <w:trHeight w:val="680" w:hRule="atLeast"/>
          <w:jc w:val="center"/>
        </w:trPr>
        <w:tc>
          <w:tcPr>
            <w:tcW w:w="930"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3607" w:type="dxa"/>
            <w:vMerge w:val="continue"/>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784" w:type="dxa"/>
            <w:vMerge w:val="continue"/>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658"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kern w:val="0"/>
                <w:szCs w:val="21"/>
              </w:rPr>
            </w:pPr>
            <w:r>
              <w:rPr>
                <w:rFonts w:hint="eastAsia" w:ascii="宋体" w:hAnsi="宋体" w:cs="黑体"/>
                <w:color w:val="000000"/>
                <w:kern w:val="0"/>
                <w:szCs w:val="21"/>
              </w:rPr>
              <w:t>简易</w:t>
            </w:r>
          </w:p>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szCs w:val="21"/>
              </w:rPr>
            </w:pPr>
            <w:r>
              <w:rPr>
                <w:rFonts w:hint="eastAsia" w:ascii="宋体" w:hAnsi="宋体" w:cs="黑体"/>
                <w:color w:val="000000"/>
                <w:kern w:val="0"/>
                <w:szCs w:val="21"/>
              </w:rPr>
              <w:t>程序</w:t>
            </w:r>
          </w:p>
        </w:tc>
        <w:tc>
          <w:tcPr>
            <w:tcW w:w="651" w:type="dxa"/>
            <w:tcBorders>
              <w:top w:val="single" w:color="000000" w:sz="4" w:space="0"/>
              <w:left w:val="single" w:color="000000" w:sz="4" w:space="0"/>
              <w:bottom w:val="nil"/>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kern w:val="0"/>
                <w:szCs w:val="21"/>
              </w:rPr>
            </w:pPr>
            <w:r>
              <w:rPr>
                <w:rFonts w:hint="eastAsia" w:ascii="宋体" w:hAnsi="宋体" w:cs="黑体"/>
                <w:color w:val="000000"/>
                <w:kern w:val="0"/>
                <w:szCs w:val="21"/>
              </w:rPr>
              <w:t>一般</w:t>
            </w:r>
          </w:p>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szCs w:val="21"/>
              </w:rPr>
            </w:pPr>
            <w:r>
              <w:rPr>
                <w:rFonts w:hint="eastAsia" w:ascii="宋体" w:hAnsi="宋体" w:cs="黑体"/>
                <w:color w:val="000000"/>
                <w:kern w:val="0"/>
                <w:szCs w:val="21"/>
              </w:rPr>
              <w:t>程序</w:t>
            </w:r>
          </w:p>
        </w:tc>
        <w:tc>
          <w:tcPr>
            <w:tcW w:w="62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42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99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127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113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kern w:val="0"/>
                <w:szCs w:val="21"/>
              </w:rPr>
            </w:pPr>
          </w:p>
        </w:tc>
        <w:tc>
          <w:tcPr>
            <w:tcW w:w="514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85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99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113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szCs w:val="21"/>
              </w:rPr>
            </w:pPr>
          </w:p>
        </w:tc>
        <w:tc>
          <w:tcPr>
            <w:tcW w:w="1455"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kinsoku/>
              <w:wordWrap/>
              <w:overflowPunct/>
              <w:topLinePunct w:val="0"/>
              <w:autoSpaceDE/>
              <w:autoSpaceDN/>
              <w:bidi w:val="0"/>
              <w:spacing w:line="240" w:lineRule="exact"/>
              <w:jc w:val="left"/>
              <w:rPr>
                <w:rFonts w:ascii="宋体" w:hAnsi="宋体" w:cs="黑体"/>
                <w:color w:val="000000"/>
                <w:kern w:val="0"/>
                <w:szCs w:val="21"/>
              </w:rPr>
            </w:pPr>
          </w:p>
        </w:tc>
      </w:tr>
      <w:tr>
        <w:tblPrEx>
          <w:tblCellMar>
            <w:top w:w="0" w:type="dxa"/>
            <w:left w:w="108" w:type="dxa"/>
            <w:bottom w:w="0" w:type="dxa"/>
            <w:right w:w="108" w:type="dxa"/>
          </w:tblCellMar>
        </w:tblPrEx>
        <w:trPr>
          <w:gridAfter w:val="1"/>
          <w:wAfter w:w="6" w:type="dxa"/>
          <w:trHeight w:val="805" w:hRule="atLeast"/>
          <w:jc w:val="center"/>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szCs w:val="21"/>
              </w:rPr>
            </w:pP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2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71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85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r>
      <w:tr>
        <w:tblPrEx>
          <w:tblCellMar>
            <w:top w:w="0" w:type="dxa"/>
            <w:left w:w="108" w:type="dxa"/>
            <w:bottom w:w="0" w:type="dxa"/>
            <w:right w:w="108" w:type="dxa"/>
          </w:tblCellMar>
        </w:tblPrEx>
        <w:trPr>
          <w:gridAfter w:val="1"/>
          <w:wAfter w:w="6" w:type="dxa"/>
          <w:trHeight w:val="718" w:hRule="atLeast"/>
          <w:jc w:val="center"/>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szCs w:val="21"/>
              </w:rPr>
            </w:pP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2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71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85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r>
      <w:tr>
        <w:tblPrEx>
          <w:tblCellMar>
            <w:top w:w="0" w:type="dxa"/>
            <w:left w:w="108" w:type="dxa"/>
            <w:bottom w:w="0" w:type="dxa"/>
            <w:right w:w="108" w:type="dxa"/>
          </w:tblCellMar>
        </w:tblPrEx>
        <w:trPr>
          <w:gridAfter w:val="1"/>
          <w:wAfter w:w="6" w:type="dxa"/>
          <w:trHeight w:val="731" w:hRule="atLeast"/>
          <w:jc w:val="center"/>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center"/>
              <w:rPr>
                <w:rFonts w:ascii="宋体" w:hAnsi="宋体" w:cs="黑体"/>
                <w:color w:val="000000"/>
                <w:szCs w:val="21"/>
              </w:rPr>
            </w:pPr>
          </w:p>
        </w:tc>
        <w:tc>
          <w:tcPr>
            <w:tcW w:w="88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78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84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27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黑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71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85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99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13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c>
          <w:tcPr>
            <w:tcW w:w="145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ascii="宋体" w:hAnsi="宋体" w:cs="宋体"/>
                <w:color w:val="000000"/>
                <w:szCs w:val="21"/>
              </w:rPr>
            </w:pPr>
          </w:p>
        </w:tc>
      </w:tr>
    </w:tbl>
    <w:p>
      <w:pPr>
        <w:widowControl/>
        <w:spacing w:line="600" w:lineRule="exact"/>
        <w:jc w:val="left"/>
        <w:rPr>
          <w:rFonts w:ascii="仿宋_GB2312" w:eastAsia="仿宋_GB2312" w:cs="仿宋_GB2312"/>
          <w:color w:val="000000"/>
          <w:kern w:val="0"/>
          <w:sz w:val="24"/>
          <w:szCs w:val="24"/>
        </w:rPr>
        <w:sectPr>
          <w:pgSz w:w="16838" w:h="11906" w:orient="landscape"/>
          <w:pgMar w:top="2098" w:right="1531" w:bottom="1984" w:left="1531" w:header="851" w:footer="1474" w:gutter="0"/>
          <w:pgNumType w:fmt="numberInDash"/>
          <w:cols w:space="720" w:num="1"/>
          <w:docGrid w:type="lines" w:linePitch="435" w:charSpace="0"/>
        </w:sectPr>
      </w:pPr>
    </w:p>
    <w:p>
      <w:pPr>
        <w:pStyle w:val="2"/>
        <w:spacing w:line="600" w:lineRule="exact"/>
        <w:rPr>
          <w:rFonts w:hint="eastAsia" w:ascii="方正黑体_GBK" w:hAnsi="黑体" w:eastAsia="方正黑体_GBK"/>
          <w:sz w:val="32"/>
          <w:szCs w:val="32"/>
        </w:rPr>
      </w:pPr>
    </w:p>
    <w:p>
      <w:pPr>
        <w:pStyle w:val="2"/>
        <w:spacing w:line="600" w:lineRule="exact"/>
        <w:rPr>
          <w:rFonts w:hint="eastAsia" w:ascii="方正黑体_GBK" w:hAnsi="黑体" w:eastAsia="方正黑体_GBK"/>
          <w:sz w:val="32"/>
          <w:szCs w:val="32"/>
        </w:rPr>
      </w:pPr>
    </w:p>
    <w:p>
      <w:pPr>
        <w:pStyle w:val="2"/>
        <w:spacing w:line="600" w:lineRule="exact"/>
        <w:rPr>
          <w:rFonts w:ascii="方正黑体_GBK" w:hAnsi="黑体" w:eastAsia="方正黑体_GBK"/>
          <w:sz w:val="32"/>
          <w:szCs w:val="32"/>
        </w:rPr>
      </w:pPr>
      <w:r>
        <w:rPr>
          <w:rFonts w:hint="eastAsia" w:ascii="方正黑体_GBK" w:hAnsi="黑体" w:eastAsia="方正黑体_GBK"/>
          <w:sz w:val="32"/>
          <w:szCs w:val="32"/>
        </w:rPr>
        <w:t>附件3</w:t>
      </w:r>
    </w:p>
    <w:p>
      <w:pPr>
        <w:pStyle w:val="2"/>
        <w:spacing w:line="600" w:lineRule="exact"/>
        <w:jc w:val="center"/>
        <w:rPr>
          <w:rFonts w:ascii="黑体" w:hAnsi="黑体" w:eastAsia="黑体"/>
          <w:szCs w:val="32"/>
        </w:rPr>
      </w:pPr>
      <w:r>
        <w:rPr>
          <w:rFonts w:hint="eastAsia" w:ascii="方正小标宋_GBK" w:hAnsi="方正小标宋_GBK" w:eastAsia="方正小标宋_GBK" w:cs="方正小标宋_GBK"/>
          <w:sz w:val="44"/>
          <w:szCs w:val="44"/>
        </w:rPr>
        <w:t>“2022年度水利建安行动”罚款、停工详情统计表</w:t>
      </w:r>
    </w:p>
    <w:p>
      <w:pPr>
        <w:adjustRightInd w:val="0"/>
        <w:snapToGrid w:val="0"/>
        <w:spacing w:line="600" w:lineRule="exact"/>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填报单位（签章）：                       联系电话:                                     填报时间：     年   月   日</w:t>
      </w:r>
    </w:p>
    <w:tbl>
      <w:tblPr>
        <w:tblStyle w:val="7"/>
        <w:tblW w:w="13897" w:type="dxa"/>
        <w:tblInd w:w="108" w:type="dxa"/>
        <w:tblLayout w:type="autofit"/>
        <w:tblCellMar>
          <w:top w:w="0" w:type="dxa"/>
          <w:left w:w="108" w:type="dxa"/>
          <w:bottom w:w="0" w:type="dxa"/>
          <w:right w:w="108" w:type="dxa"/>
        </w:tblCellMar>
      </w:tblPr>
      <w:tblGrid>
        <w:gridCol w:w="1438"/>
        <w:gridCol w:w="3615"/>
        <w:gridCol w:w="1544"/>
        <w:gridCol w:w="4914"/>
        <w:gridCol w:w="2386"/>
      </w:tblGrid>
      <w:tr>
        <w:tblPrEx>
          <w:tblCellMar>
            <w:top w:w="0" w:type="dxa"/>
            <w:left w:w="108" w:type="dxa"/>
            <w:bottom w:w="0" w:type="dxa"/>
            <w:right w:w="108" w:type="dxa"/>
          </w:tblCellMar>
        </w:tblPrEx>
        <w:trPr>
          <w:trHeight w:val="256" w:hRule="atLeast"/>
        </w:trPr>
        <w:tc>
          <w:tcPr>
            <w:tcW w:w="143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黑体_GBK" w:hAnsi="方正黑体_GBK" w:eastAsia="方正黑体_GBK" w:cs="方正黑体_GBK"/>
                <w:bCs/>
                <w:color w:val="000000"/>
                <w:kern w:val="0"/>
                <w:szCs w:val="21"/>
              </w:rPr>
            </w:pPr>
            <w:r>
              <w:rPr>
                <w:rFonts w:hint="eastAsia" w:ascii="方正黑体_GBK" w:hAnsi="方正黑体_GBK" w:eastAsia="方正黑体_GBK" w:cs="方正黑体_GBK"/>
                <w:bCs/>
                <w:color w:val="000000"/>
                <w:kern w:val="0"/>
                <w:szCs w:val="21"/>
              </w:rPr>
              <w:t>序号</w:t>
            </w:r>
          </w:p>
        </w:tc>
        <w:tc>
          <w:tcPr>
            <w:tcW w:w="3615"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黑体_GBK" w:hAnsi="方正黑体_GBK" w:eastAsia="方正黑体_GBK" w:cs="方正黑体_GBK"/>
                <w:bCs/>
                <w:color w:val="000000"/>
                <w:kern w:val="0"/>
                <w:szCs w:val="21"/>
              </w:rPr>
            </w:pPr>
            <w:r>
              <w:rPr>
                <w:rFonts w:hint="eastAsia" w:ascii="方正黑体_GBK" w:hAnsi="方正黑体_GBK" w:eastAsia="方正黑体_GBK" w:cs="方正黑体_GBK"/>
                <w:bCs/>
                <w:color w:val="000000"/>
                <w:kern w:val="0"/>
                <w:szCs w:val="21"/>
              </w:rPr>
              <w:t>被处罚单位名称</w:t>
            </w:r>
          </w:p>
        </w:tc>
        <w:tc>
          <w:tcPr>
            <w:tcW w:w="154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黑体_GBK" w:hAnsi="方正黑体_GBK" w:eastAsia="方正黑体_GBK" w:cs="方正黑体_GBK"/>
                <w:bCs/>
                <w:color w:val="000000"/>
                <w:kern w:val="0"/>
                <w:szCs w:val="21"/>
              </w:rPr>
            </w:pPr>
            <w:r>
              <w:rPr>
                <w:rFonts w:hint="eastAsia" w:ascii="方正黑体_GBK" w:hAnsi="方正黑体_GBK" w:eastAsia="方正黑体_GBK" w:cs="方正黑体_GBK"/>
                <w:bCs/>
                <w:color w:val="000000"/>
                <w:kern w:val="0"/>
                <w:szCs w:val="21"/>
              </w:rPr>
              <w:t>项目名称</w:t>
            </w:r>
          </w:p>
        </w:tc>
        <w:tc>
          <w:tcPr>
            <w:tcW w:w="491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黑体_GBK" w:hAnsi="方正黑体_GBK" w:eastAsia="方正黑体_GBK" w:cs="方正黑体_GBK"/>
                <w:bCs/>
                <w:color w:val="000000"/>
                <w:kern w:val="0"/>
                <w:szCs w:val="21"/>
              </w:rPr>
            </w:pPr>
            <w:r>
              <w:rPr>
                <w:rFonts w:hint="eastAsia" w:ascii="方正黑体_GBK" w:hAnsi="方正黑体_GBK" w:eastAsia="方正黑体_GBK" w:cs="方正黑体_GBK"/>
                <w:bCs/>
                <w:color w:val="000000"/>
                <w:kern w:val="0"/>
                <w:szCs w:val="21"/>
              </w:rPr>
              <w:t>主要违法情况简述</w:t>
            </w:r>
          </w:p>
        </w:tc>
        <w:tc>
          <w:tcPr>
            <w:tcW w:w="238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黑体_GBK" w:hAnsi="方正黑体_GBK" w:eastAsia="方正黑体_GBK" w:cs="方正黑体_GBK"/>
                <w:bCs/>
                <w:color w:val="000000"/>
                <w:kern w:val="0"/>
                <w:szCs w:val="21"/>
              </w:rPr>
            </w:pPr>
            <w:r>
              <w:rPr>
                <w:rFonts w:hint="eastAsia" w:ascii="方正黑体_GBK" w:hAnsi="方正黑体_GBK" w:eastAsia="方正黑体_GBK" w:cs="方正黑体_GBK"/>
                <w:bCs/>
                <w:color w:val="000000"/>
                <w:kern w:val="0"/>
                <w:szCs w:val="21"/>
              </w:rPr>
              <w:t>处罚金额（元）</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1</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2</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3</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_GBK" w:hAnsi="方正仿宋_GBK" w:eastAsia="方正仿宋_GBK" w:cs="方正仿宋_GBK"/>
                <w:color w:val="000000"/>
                <w:kern w:val="0"/>
                <w:szCs w:val="21"/>
              </w:rPr>
            </w:pP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cs="宋体"/>
                <w:color w:val="000000"/>
                <w:kern w:val="0"/>
                <w:szCs w:val="21"/>
              </w:rPr>
            </w:pP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cs="宋体"/>
                <w:color w:val="000000"/>
                <w:kern w:val="0"/>
                <w:szCs w:val="21"/>
              </w:rPr>
            </w:pP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cs="宋体"/>
                <w:color w:val="000000"/>
                <w:kern w:val="0"/>
                <w:szCs w:val="21"/>
              </w:rPr>
            </w:pP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cs="宋体"/>
                <w:color w:val="000000"/>
                <w:kern w:val="0"/>
                <w:szCs w:val="21"/>
              </w:rPr>
            </w:pP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color w:val="000000"/>
                <w:kern w:val="0"/>
                <w:szCs w:val="21"/>
              </w:rPr>
            </w:pPr>
            <w:r>
              <w:rPr>
                <w:rFonts w:hint="eastAsia" w:ascii="宋体" w:hAnsi="宋体" w:cs="宋体"/>
                <w:bCs/>
                <w:color w:val="000000"/>
                <w:kern w:val="0"/>
                <w:szCs w:val="21"/>
              </w:rPr>
              <w:t>序号</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color w:val="000000"/>
                <w:kern w:val="0"/>
                <w:szCs w:val="21"/>
              </w:rPr>
            </w:pPr>
            <w:r>
              <w:rPr>
                <w:rFonts w:hint="eastAsia" w:ascii="宋体" w:hAnsi="宋体" w:cs="宋体"/>
                <w:bCs/>
                <w:color w:val="000000"/>
                <w:kern w:val="0"/>
                <w:szCs w:val="21"/>
              </w:rPr>
              <w:t>被责令停止施工单位名称</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color w:val="000000"/>
                <w:kern w:val="0"/>
                <w:szCs w:val="21"/>
              </w:rPr>
            </w:pPr>
            <w:r>
              <w:rPr>
                <w:rFonts w:hint="eastAsia" w:ascii="宋体" w:hAnsi="宋体" w:cs="宋体"/>
                <w:bCs/>
                <w:color w:val="000000"/>
                <w:kern w:val="0"/>
                <w:szCs w:val="21"/>
              </w:rPr>
              <w:t>项目名称</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color w:val="000000"/>
                <w:kern w:val="0"/>
                <w:szCs w:val="21"/>
              </w:rPr>
            </w:pPr>
            <w:r>
              <w:rPr>
                <w:rFonts w:hint="eastAsia" w:ascii="宋体" w:hAnsi="宋体" w:cs="宋体"/>
                <w:bCs/>
                <w:color w:val="000000"/>
                <w:kern w:val="0"/>
                <w:szCs w:val="21"/>
              </w:rPr>
              <w:t>存在的安全风险</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color w:val="000000"/>
                <w:kern w:val="0"/>
                <w:szCs w:val="21"/>
              </w:rPr>
            </w:pPr>
            <w:r>
              <w:rPr>
                <w:rFonts w:hint="eastAsia" w:ascii="宋体" w:hAnsi="宋体" w:cs="宋体"/>
                <w:bCs/>
                <w:color w:val="000000"/>
                <w:kern w:val="0"/>
                <w:szCs w:val="21"/>
              </w:rPr>
              <w:t>停工时间（启止）</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1</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2</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r>
      <w:tr>
        <w:tblPrEx>
          <w:tblCellMar>
            <w:top w:w="0" w:type="dxa"/>
            <w:left w:w="108" w:type="dxa"/>
            <w:bottom w:w="0" w:type="dxa"/>
            <w:right w:w="108" w:type="dxa"/>
          </w:tblCellMar>
        </w:tblPrEx>
        <w:trPr>
          <w:trHeight w:val="256"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Cs w:val="21"/>
              </w:rPr>
              <w:t>3</w:t>
            </w: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r>
      <w:tr>
        <w:tblPrEx>
          <w:tblCellMar>
            <w:top w:w="0" w:type="dxa"/>
            <w:left w:w="108" w:type="dxa"/>
            <w:bottom w:w="0" w:type="dxa"/>
            <w:right w:w="108" w:type="dxa"/>
          </w:tblCellMar>
        </w:tblPrEx>
        <w:trPr>
          <w:trHeight w:val="260" w:hRule="atLeast"/>
        </w:trPr>
        <w:tc>
          <w:tcPr>
            <w:tcW w:w="143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方正仿宋_GBK" w:hAnsi="方正仿宋_GBK" w:eastAsia="方正仿宋_GBK" w:cs="方正仿宋_GBK"/>
                <w:color w:val="000000"/>
                <w:kern w:val="0"/>
                <w:szCs w:val="21"/>
              </w:rPr>
            </w:pPr>
          </w:p>
        </w:tc>
        <w:tc>
          <w:tcPr>
            <w:tcW w:w="3615"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宋体" w:hAnsi="宋体" w:cs="宋体"/>
                <w:color w:val="000000"/>
                <w:kern w:val="0"/>
                <w:szCs w:val="21"/>
              </w:rPr>
            </w:pPr>
            <w:r>
              <w:rPr>
                <w:rFonts w:hint="eastAsia" w:ascii="宋体" w:hAnsi="宋体" w:cs="宋体"/>
                <w:color w:val="000000"/>
                <w:kern w:val="0"/>
                <w:szCs w:val="21"/>
              </w:rPr>
              <w:t>　</w:t>
            </w:r>
          </w:p>
        </w:tc>
        <w:tc>
          <w:tcPr>
            <w:tcW w:w="154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4914"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c>
          <w:tcPr>
            <w:tcW w:w="2386"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ascii="方正黑体_GBK" w:hAnsi="方正黑体_GBK" w:eastAsia="方正黑体_GBK" w:cs="方正黑体_GBK"/>
                <w:color w:val="000000"/>
                <w:kern w:val="0"/>
                <w:szCs w:val="21"/>
              </w:rPr>
            </w:pPr>
            <w:r>
              <w:rPr>
                <w:rFonts w:hint="eastAsia" w:ascii="方正黑体_GBK" w:hAnsi="方正黑体_GBK" w:eastAsia="方正黑体_GBK" w:cs="方正黑体_GBK"/>
                <w:color w:val="000000"/>
                <w:kern w:val="0"/>
                <w:szCs w:val="21"/>
              </w:rPr>
              <w:t>　</w:t>
            </w:r>
          </w:p>
        </w:tc>
      </w:tr>
    </w:tbl>
    <w:p>
      <w:pPr>
        <w:widowControl/>
        <w:spacing w:line="600" w:lineRule="exact"/>
        <w:jc w:val="left"/>
        <w:rPr>
          <w:rFonts w:ascii="方正仿宋_GBK" w:eastAsia="方正仿宋_GBK" w:cs="仿宋_GB2312"/>
          <w:color w:val="000000"/>
          <w:kern w:val="0"/>
          <w:sz w:val="32"/>
          <w:szCs w:val="32"/>
        </w:rPr>
        <w:sectPr>
          <w:type w:val="continuous"/>
          <w:pgSz w:w="16838" w:h="11906" w:orient="landscape"/>
          <w:pgMar w:top="2098" w:right="1531" w:bottom="1984" w:left="1531" w:header="851" w:footer="1474" w:gutter="0"/>
          <w:pgNumType w:fmt="numberInDash"/>
          <w:cols w:space="720" w:num="1"/>
          <w:docGrid w:type="lines" w:linePitch="435" w:charSpace="0"/>
        </w:sectPr>
      </w:pPr>
    </w:p>
    <w:p>
      <w:pPr>
        <w:pStyle w:val="2"/>
        <w:spacing w:line="600" w:lineRule="exact"/>
        <w:rPr>
          <w:rFonts w:hint="eastAsia" w:ascii="方正黑体_GBK" w:hAnsi="黑体" w:eastAsia="方正黑体_GBK"/>
          <w:sz w:val="32"/>
          <w:szCs w:val="32"/>
        </w:rPr>
      </w:pPr>
      <w:r>
        <w:rPr>
          <w:rFonts w:hint="eastAsia" w:ascii="方正黑体_GBK" w:hAnsi="黑体" w:eastAsia="方正黑体_GBK"/>
          <w:sz w:val="32"/>
          <w:szCs w:val="32"/>
        </w:rPr>
        <w:t>附件4</w:t>
      </w:r>
    </w:p>
    <w:p>
      <w:pPr>
        <w:pStyle w:val="4"/>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区级一般水利建设项目安全生产“三个责任人”统计表</w:t>
      </w:r>
    </w:p>
    <w:p>
      <w:pPr>
        <w:pStyle w:val="4"/>
        <w:spacing w:line="600" w:lineRule="exact"/>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填报科室：                                                                                  填报日期：</w:t>
      </w:r>
    </w:p>
    <w:tbl>
      <w:tblPr>
        <w:tblStyle w:val="8"/>
        <w:tblW w:w="134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11"/>
        <w:gridCol w:w="3577"/>
        <w:gridCol w:w="2698"/>
        <w:gridCol w:w="2462"/>
        <w:gridCol w:w="2462"/>
        <w:gridCol w:w="110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4"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序号</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项目名称</w:t>
            </w: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水利建设项目行政负责人</w:t>
            </w: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业务科室负责人</w:t>
            </w: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企业单位负责人</w:t>
            </w: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3"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rPr>
            </w:pPr>
            <w:r>
              <w:rPr>
                <w:rFonts w:hint="eastAsia" w:ascii="宋体" w:hAnsi="宋体" w:eastAsia="宋体" w:cs="宋体"/>
              </w:rPr>
              <w:t>1</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rPr>
            </w:pPr>
            <w:r>
              <w:rPr>
                <w:rFonts w:hint="eastAsia" w:ascii="宋体" w:hAnsi="宋体" w:eastAsia="宋体" w:cs="宋体"/>
              </w:rPr>
              <w:t>2</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3"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rPr>
            </w:pPr>
            <w:r>
              <w:rPr>
                <w:rFonts w:hint="eastAsia" w:ascii="宋体" w:hAnsi="宋体" w:eastAsia="宋体" w:cs="宋体"/>
              </w:rPr>
              <w:t>3</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rPr>
            </w:pPr>
            <w:r>
              <w:rPr>
                <w:rFonts w:hint="eastAsia" w:ascii="宋体" w:hAnsi="宋体" w:eastAsia="宋体" w:cs="宋体"/>
              </w:rPr>
              <w:t>4</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7" w:hRule="atLeast"/>
        </w:trPr>
        <w:tc>
          <w:tcPr>
            <w:tcW w:w="1111" w:type="dxa"/>
          </w:tcPr>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rPr>
            </w:pPr>
            <w:r>
              <w:rPr>
                <w:rFonts w:hint="eastAsia" w:ascii="宋体" w:hAnsi="宋体" w:eastAsia="宋体" w:cs="宋体"/>
              </w:rPr>
              <w:t>5</w:t>
            </w:r>
          </w:p>
        </w:tc>
        <w:tc>
          <w:tcPr>
            <w:tcW w:w="3577"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698"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2462"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c>
          <w:tcPr>
            <w:tcW w:w="1106" w:type="dxa"/>
          </w:tcPr>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eastAsiaTheme="minorEastAsia"/>
              </w:rPr>
            </w:pPr>
          </w:p>
        </w:tc>
      </w:tr>
    </w:tbl>
    <w:p>
      <w:pPr>
        <w:pStyle w:val="4"/>
        <w:spacing w:line="600" w:lineRule="exact"/>
        <w:rPr>
          <w:rFonts w:hint="eastAsia" w:eastAsiaTheme="minorEastAsia"/>
        </w:rPr>
        <w:sectPr>
          <w:pgSz w:w="16838" w:h="11906" w:orient="landscape"/>
          <w:pgMar w:top="2098" w:right="1531" w:bottom="1984" w:left="1531" w:header="851" w:footer="1474" w:gutter="0"/>
          <w:pgNumType w:fmt="numberInDash"/>
          <w:cols w:space="720" w:num="1"/>
          <w:docGrid w:type="lines" w:linePitch="312" w:charSpace="0"/>
        </w:sectPr>
      </w:pPr>
    </w:p>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方正黑体_GBK" w:hAnsi="方正黑体_GBK" w:eastAsia="方正黑体_GBK" w:cs="方正黑体_GBK"/>
          <w:i w:val="0"/>
          <w:iCs w:val="0"/>
          <w:color w:val="000000"/>
          <w:kern w:val="0"/>
          <w:sz w:val="28"/>
          <w:szCs w:val="28"/>
          <w:u w:val="none"/>
          <w:lang w:val="en-US" w:eastAsia="zh-CN" w:bidi="ar"/>
        </w:rPr>
      </w:pPr>
      <w:r>
        <w:rPr>
          <w:rFonts w:hint="eastAsia" w:ascii="方正黑体_GBK" w:hAnsi="方正黑体_GBK" w:eastAsia="方正黑体_GBK" w:cs="方正黑体_GBK"/>
          <w:i w:val="0"/>
          <w:iCs w:val="0"/>
          <w:color w:val="000000"/>
          <w:kern w:val="0"/>
          <w:sz w:val="28"/>
          <w:szCs w:val="28"/>
          <w:u w:val="none"/>
          <w:lang w:val="en-US" w:eastAsia="zh-CN" w:bidi="ar"/>
        </w:rPr>
        <w:t>附件5</w:t>
      </w:r>
    </w:p>
    <w:p>
      <w:pPr>
        <w:pStyle w:val="4"/>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i w:val="0"/>
          <w:iCs w:val="0"/>
          <w:color w:val="000000"/>
          <w:kern w:val="0"/>
          <w:sz w:val="36"/>
          <w:szCs w:val="36"/>
          <w:u w:val="none"/>
          <w:lang w:val="en-US" w:eastAsia="zh-CN" w:bidi="ar"/>
        </w:rPr>
      </w:pPr>
      <w:r>
        <w:rPr>
          <w:rFonts w:hint="eastAsia" w:ascii="方正小标宋_GBK" w:hAnsi="方正小标宋_GBK" w:eastAsia="方正小标宋_GBK" w:cs="方正小标宋_GBK"/>
          <w:i w:val="0"/>
          <w:iCs w:val="0"/>
          <w:color w:val="000000"/>
          <w:kern w:val="0"/>
          <w:sz w:val="36"/>
          <w:szCs w:val="36"/>
          <w:u w:val="none"/>
          <w:lang w:val="en-US" w:eastAsia="zh-CN" w:bidi="ar"/>
        </w:rPr>
        <w:t>施工现场 日□（周□月□）安全检查记录表</w:t>
      </w:r>
    </w:p>
    <w:p>
      <w:pPr>
        <w:pStyle w:val="4"/>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方正黑体_GBK" w:hAnsi="方正黑体_GBK" w:eastAsia="方正黑体_GBK" w:cs="方正黑体_GBK"/>
          <w:i w:val="0"/>
          <w:iCs w:val="0"/>
          <w:color w:val="000000"/>
          <w:kern w:val="0"/>
          <w:sz w:val="36"/>
          <w:szCs w:val="36"/>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项目名称：                                     项目地址：</w:t>
      </w:r>
    </w:p>
    <w:tbl>
      <w:tblPr>
        <w:tblStyle w:val="7"/>
        <w:tblW w:w="94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3"/>
        <w:gridCol w:w="1550"/>
        <w:gridCol w:w="1515"/>
        <w:gridCol w:w="1275"/>
        <w:gridCol w:w="1035"/>
        <w:gridCol w:w="1163"/>
        <w:gridCol w:w="1162"/>
        <w:gridCol w:w="1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序号</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检查项目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kern w:val="0"/>
                <w:sz w:val="20"/>
                <w:szCs w:val="20"/>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存在的</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主要问题</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kern w:val="0"/>
                <w:sz w:val="20"/>
                <w:szCs w:val="20"/>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是否属于重</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大安全隐患</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处理意见</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kern w:val="0"/>
                <w:sz w:val="20"/>
                <w:szCs w:val="20"/>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限期</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完成时限</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kern w:val="0"/>
                <w:sz w:val="20"/>
                <w:szCs w:val="20"/>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责任人及</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联系方式</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kern w:val="0"/>
                <w:sz w:val="20"/>
                <w:szCs w:val="20"/>
                <w:u w:val="none"/>
                <w:lang w:val="en-US" w:eastAsia="zh-CN" w:bidi="ar"/>
              </w:rPr>
            </w:pPr>
            <w:r>
              <w:rPr>
                <w:rFonts w:hint="eastAsia" w:ascii="方正黑体_GBK" w:hAnsi="方正黑体_GBK" w:eastAsia="方正黑体_GBK" w:cs="方正黑体_GBK"/>
                <w:i w:val="0"/>
                <w:iCs w:val="0"/>
                <w:color w:val="000000"/>
                <w:kern w:val="0"/>
                <w:sz w:val="20"/>
                <w:szCs w:val="20"/>
                <w:u w:val="none"/>
                <w:lang w:val="en-US" w:eastAsia="zh-CN" w:bidi="ar"/>
              </w:rPr>
              <w:t>整改结果及</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方正黑体_GBK" w:hAnsi="方正黑体_GBK" w:eastAsia="方正黑体_GBK" w:cs="方正黑体_GBK"/>
                <w:i w:val="0"/>
                <w:iCs w:val="0"/>
                <w:color w:val="000000"/>
                <w:sz w:val="20"/>
                <w:szCs w:val="20"/>
                <w:u w:val="none"/>
              </w:rPr>
            </w:pPr>
            <w:r>
              <w:rPr>
                <w:rFonts w:hint="eastAsia" w:ascii="方正黑体_GBK" w:hAnsi="方正黑体_GBK" w:eastAsia="方正黑体_GBK" w:cs="方正黑体_GBK"/>
                <w:i w:val="0"/>
                <w:iCs w:val="0"/>
                <w:color w:val="000000"/>
                <w:kern w:val="0"/>
                <w:sz w:val="20"/>
                <w:szCs w:val="20"/>
                <w:u w:val="none"/>
                <w:lang w:val="en-US" w:eastAsia="zh-CN" w:bidi="ar"/>
              </w:rPr>
              <w:t>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安全行为管理</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边整改</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Style w:val="13"/>
                <w:lang w:val="en-US" w:eastAsia="zh-CN" w:bidi="ar"/>
              </w:rPr>
            </w:pPr>
            <w:r>
              <w:rPr>
                <w:rFonts w:hint="eastAsia" w:ascii="宋体" w:hAnsi="宋体" w:eastAsia="宋体" w:cs="宋体"/>
                <w:i w:val="0"/>
                <w:iCs w:val="0"/>
                <w:color w:val="000000"/>
                <w:kern w:val="0"/>
                <w:sz w:val="20"/>
                <w:szCs w:val="20"/>
                <w:u w:val="none"/>
                <w:lang w:val="en-US" w:eastAsia="zh-CN" w:bidi="ar"/>
              </w:rPr>
              <w:t>边施工</w:t>
            </w:r>
            <w:r>
              <w:rPr>
                <w:rStyle w:val="13"/>
                <w:lang w:val="en-US" w:eastAsia="zh-CN" w:bidi="ar"/>
              </w:rPr>
              <w:t>□</w:t>
            </w:r>
          </w:p>
          <w:p>
            <w:pPr>
              <w:pStyle w:val="2"/>
              <w:rPr>
                <w:lang w:val="en-US" w:eastAsia="zh-CN"/>
              </w:rPr>
            </w:pPr>
          </w:p>
          <w:p>
            <w:pPr>
              <w:pStyle w:val="2"/>
              <w:rPr>
                <w:lang w:val="en-US" w:eastAsia="zh-CN"/>
              </w:rPr>
            </w:pPr>
          </w:p>
          <w:p>
            <w:pPr>
              <w:pStyle w:val="2"/>
              <w:rPr>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Style w:val="14"/>
                <w:lang w:val="en-US" w:eastAsia="zh-CN" w:bidi="ar"/>
              </w:rPr>
            </w:pPr>
            <w:r>
              <w:rPr>
                <w:rStyle w:val="14"/>
                <w:lang w:val="en-US" w:eastAsia="zh-CN" w:bidi="ar"/>
              </w:rPr>
              <w:t>局部停</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Style w:val="13"/>
                <w:lang w:val="en-US" w:eastAsia="zh-CN" w:bidi="ar"/>
              </w:rPr>
            </w:pPr>
            <w:r>
              <w:rPr>
                <w:rStyle w:val="14"/>
                <w:lang w:val="en-US" w:eastAsia="zh-CN" w:bidi="ar"/>
              </w:rPr>
              <w:t>工整改</w:t>
            </w:r>
            <w:r>
              <w:rPr>
                <w:rStyle w:val="13"/>
                <w:lang w:val="en-US" w:eastAsia="zh-CN" w:bidi="ar"/>
              </w:rPr>
              <w:t>□</w:t>
            </w:r>
          </w:p>
          <w:p>
            <w:pPr>
              <w:pStyle w:val="2"/>
              <w:rPr>
                <w:lang w:val="en-US" w:eastAsia="zh-CN"/>
              </w:rPr>
            </w:pPr>
          </w:p>
          <w:p>
            <w:pPr>
              <w:pStyle w:val="2"/>
              <w:rPr>
                <w:lang w:val="en-US" w:eastAsia="zh-CN"/>
              </w:rPr>
            </w:pPr>
          </w:p>
          <w:p>
            <w:pPr>
              <w:pStyle w:val="2"/>
              <w:rPr>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Style w:val="14"/>
                <w:lang w:val="en-US" w:eastAsia="zh-CN" w:bidi="ar"/>
              </w:rPr>
            </w:pPr>
            <w:r>
              <w:rPr>
                <w:rStyle w:val="14"/>
                <w:lang w:val="en-US" w:eastAsia="zh-CN" w:bidi="ar"/>
              </w:rPr>
              <w:t>全面停</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Style w:val="14"/>
                <w:lang w:val="en-US" w:eastAsia="zh-CN" w:bidi="ar"/>
              </w:rPr>
              <w:t>工整改</w:t>
            </w:r>
            <w:r>
              <w:rPr>
                <w:rStyle w:val="13"/>
                <w:lang w:val="en-US" w:eastAsia="zh-CN" w:bidi="ar"/>
              </w:rPr>
              <w:t>□</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文明施工</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基坑工程</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模板支架</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高处作业</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施工用电</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物料提升机</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与施工升降机</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塔式起重机</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与起重吊装</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施工机具</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安全防护</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地下暗挖工程</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液压爬模施工</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高切坡工程</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爆破工程</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围堰工程</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盾构施工</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水上作业平台</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悬索桥猫道</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栈桥</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签</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字</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栏</w:t>
            </w:r>
          </w:p>
        </w:tc>
        <w:tc>
          <w:tcPr>
            <w:tcW w:w="8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施工单位：</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专职安全员（签字）：        项目负责人（签字）：        企业负责人（签字）：</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 期：                     日 期：                     日 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iCs w:val="0"/>
                <w:color w:val="000000"/>
                <w:sz w:val="20"/>
                <w:szCs w:val="20"/>
                <w:u w:val="none"/>
              </w:rPr>
            </w:pPr>
          </w:p>
        </w:tc>
        <w:tc>
          <w:tcPr>
            <w:tcW w:w="89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监理单位:</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专业监理工程师（签字）：                         总监理工程师（签字）：</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 期：                                          日 期：</w:t>
            </w:r>
          </w:p>
        </w:tc>
      </w:tr>
    </w:tbl>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注:</w:t>
      </w:r>
    </w:p>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1、此表为建筑施工现场日、周、月及施工安全手册检查用表，用于存档备查。</w:t>
      </w:r>
    </w:p>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2、检查人员应按《建筑施工现场施工安全（施工安全手册）日周月检查要点指南》对施工现场施工安全进行逐一检查，并将检查整改相关情况如实填写在此表的相应表格内。</w:t>
      </w:r>
    </w:p>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3、凡是未能及时整改的安全隐患，应及时上报，按照“五定”原则（即定整改责任人、措施、资金、时限和应急预案）落实整改到位；属于重大安全隐患的，按渝建安发〔2019〕24号进行挂牌督办处理。</w:t>
      </w:r>
    </w:p>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4、施工现场存在的本表格未包含的内容，可在表格“其他”项内自行增项填写。</w:t>
      </w:r>
    </w:p>
    <w:p>
      <w:pPr>
        <w:pStyle w:val="4"/>
        <w:keepNext w:val="0"/>
        <w:keepLines w:val="0"/>
        <w:pageBreakBefore w:val="0"/>
        <w:widowControl/>
        <w:kinsoku/>
        <w:wordWrap/>
        <w:overflowPunct/>
        <w:topLinePunct w:val="0"/>
        <w:autoSpaceDE/>
        <w:autoSpaceDN/>
        <w:bidi w:val="0"/>
        <w:adjustRightInd/>
        <w:snapToGrid/>
        <w:spacing w:line="240" w:lineRule="exact"/>
        <w:textAlignment w:val="auto"/>
        <w:rPr>
          <w:rFonts w:hint="eastAsia" w:eastAsiaTheme="minorEastAsia"/>
        </w:rPr>
      </w:pPr>
      <w:r>
        <w:rPr>
          <w:rFonts w:hint="eastAsia" w:ascii="宋体" w:hAnsi="宋体" w:eastAsia="宋体" w:cs="宋体"/>
          <w:i w:val="0"/>
          <w:iCs w:val="0"/>
          <w:color w:val="000000"/>
          <w:kern w:val="0"/>
          <w:sz w:val="20"/>
          <w:szCs w:val="20"/>
          <w:u w:val="none"/>
          <w:lang w:val="en-US" w:eastAsia="zh-CN" w:bidi="ar"/>
        </w:rPr>
        <w:t xml:space="preserve">                                                  重庆市建设工程施工安全管理总站  监制</w:t>
      </w: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p>
    <w:p>
      <w:pPr>
        <w:pStyle w:val="4"/>
        <w:rPr>
          <w:rFonts w:hint="eastAsia" w:ascii="方正仿宋_GBK" w:eastAsia="方正仿宋_GBK"/>
          <w:color w:val="auto"/>
          <w:sz w:val="32"/>
          <w:szCs w:val="32"/>
        </w:rPr>
      </w:pPr>
      <w:bookmarkStart w:id="0" w:name="_GoBack"/>
    </w:p>
    <w:p>
      <w:pPr>
        <w:spacing w:line="560" w:lineRule="exact"/>
        <w:ind w:firstLine="280" w:firstLineChars="100"/>
        <w:rPr>
          <w:rFonts w:hint="eastAsia" w:eastAsiaTheme="minorEastAsia"/>
        </w:rPr>
      </w:pPr>
      <w:r>
        <w:rPr>
          <w:rFonts w:ascii="Times New Roman" w:hAnsi="Times New Roman" w:eastAsia="方正仿宋_GBK"/>
          <w:color w:val="auto"/>
          <w:sz w:val="28"/>
          <w:szCs w:val="28"/>
        </w:rPr>
        <w:pict>
          <v:line id="Line 5" o:spid="_x0000_s2050" o:spt="20" style="position:absolute;left:0pt;margin-left:-1.5pt;margin-top:30.75pt;height:0pt;width:442.2pt;z-index:251660288;mso-width-relative:page;mso-height-relative:page;" coordsize="21600,21600">
            <v:path arrowok="t"/>
            <v:fill focussize="0,0"/>
            <v:stroke weight="0.35pt"/>
            <v:imagedata o:title=""/>
            <o:lock v:ext="edit"/>
          </v:line>
        </w:pict>
      </w:r>
      <w:r>
        <w:rPr>
          <w:rFonts w:ascii="Times New Roman" w:hAnsi="Times New Roman" w:eastAsia="方正仿宋_GBK"/>
          <w:color w:val="auto"/>
          <w:sz w:val="28"/>
          <w:szCs w:val="28"/>
        </w:rPr>
        <w:pict>
          <v:line id="Line 4" o:spid="_x0000_s2051" o:spt="20" style="position:absolute;left:0pt;margin-left:0pt;margin-top:2.3pt;height:0pt;width:442.2pt;z-index:251659264;mso-width-relative:page;mso-height-relative:page;" coordsize="21600,21600">
            <v:path arrowok="t"/>
            <v:fill focussize="0,0"/>
            <v:stroke weight="0.35pt"/>
            <v:imagedata o:title=""/>
            <o:lock v:ext="edit"/>
          </v:line>
        </w:pict>
      </w:r>
      <w:r>
        <w:rPr>
          <w:rFonts w:ascii="Times New Roman" w:hAnsi="方正仿宋_GBK" w:eastAsia="方正仿宋_GBK"/>
          <w:color w:val="auto"/>
          <w:sz w:val="28"/>
          <w:szCs w:val="28"/>
        </w:rPr>
        <w:t>重庆市黔江区水利局办公室</w:t>
      </w:r>
      <w:r>
        <w:rPr>
          <w:rFonts w:ascii="Times New Roman" w:hAnsi="Times New Roman" w:eastAsia="方正仿宋_GBK"/>
          <w:color w:val="auto"/>
          <w:sz w:val="28"/>
          <w:szCs w:val="28"/>
        </w:rPr>
        <w:t xml:space="preserve">     </w:t>
      </w:r>
      <w:r>
        <w:rPr>
          <w:rFonts w:hint="eastAsia" w:ascii="Times New Roman" w:hAnsi="Times New Roman" w:eastAsia="方正仿宋_GBK"/>
          <w:color w:val="auto"/>
          <w:sz w:val="28"/>
          <w:szCs w:val="28"/>
          <w:lang w:val="en-US" w:eastAsia="zh-CN"/>
        </w:rPr>
        <w:t xml:space="preserve"> </w:t>
      </w:r>
      <w:r>
        <w:rPr>
          <w:rFonts w:ascii="Times New Roman" w:hAnsi="Times New Roman" w:eastAsia="方正仿宋_GBK"/>
          <w:color w:val="auto"/>
          <w:sz w:val="28"/>
          <w:szCs w:val="28"/>
        </w:rPr>
        <w:t xml:space="preserve">          2022</w:t>
      </w:r>
      <w:r>
        <w:rPr>
          <w:rFonts w:ascii="Times New Roman" w:hAnsi="方正仿宋_GBK" w:eastAsia="方正仿宋_GBK"/>
          <w:color w:val="auto"/>
          <w:sz w:val="28"/>
          <w:szCs w:val="28"/>
        </w:rPr>
        <w:t>年</w:t>
      </w:r>
      <w:r>
        <w:rPr>
          <w:rFonts w:hint="eastAsia" w:ascii="Times New Roman" w:hAnsi="Times New Roman" w:eastAsia="方正仿宋_GBK"/>
          <w:color w:val="auto"/>
          <w:sz w:val="28"/>
          <w:szCs w:val="28"/>
          <w:lang w:val="en-US" w:eastAsia="zh-CN"/>
        </w:rPr>
        <w:t>4</w:t>
      </w:r>
      <w:r>
        <w:rPr>
          <w:rFonts w:ascii="Times New Roman" w:hAnsi="方正仿宋_GBK" w:eastAsia="方正仿宋_GBK"/>
          <w:color w:val="auto"/>
          <w:sz w:val="28"/>
          <w:szCs w:val="28"/>
        </w:rPr>
        <w:t>月</w:t>
      </w:r>
      <w:r>
        <w:rPr>
          <w:rFonts w:hint="eastAsia" w:ascii="Times New Roman" w:hAnsi="Times New Roman" w:eastAsia="方正仿宋_GBK"/>
          <w:color w:val="auto"/>
          <w:sz w:val="28"/>
          <w:szCs w:val="28"/>
          <w:lang w:val="en-US" w:eastAsia="zh-CN"/>
        </w:rPr>
        <w:t>14</w:t>
      </w:r>
      <w:r>
        <w:rPr>
          <w:rFonts w:ascii="Times New Roman" w:hAnsi="方正仿宋_GBK" w:eastAsia="方正仿宋_GBK"/>
          <w:color w:val="auto"/>
          <w:sz w:val="28"/>
          <w:szCs w:val="28"/>
        </w:rPr>
        <w:t>日印发</w:t>
      </w:r>
    </w:p>
    <w:bookmarkEnd w:id="0"/>
    <w:sectPr>
      <w:footerReference r:id="rId4" w:type="default"/>
      <w:pgSz w:w="11906" w:h="16838"/>
      <w:pgMar w:top="2098" w:right="1531" w:bottom="1984" w:left="1531" w:header="851" w:footer="1474"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946FA1-E1AB-4037-80EE-C57EFE0F6E0A}"/>
  </w:font>
  <w:font w:name="Arial">
    <w:panose1 w:val="020B0604020202020204"/>
    <w:charset w:val="01"/>
    <w:family w:val="swiss"/>
    <w:pitch w:val="default"/>
    <w:sig w:usb0="E0002AFF" w:usb1="C0007843" w:usb2="00000009" w:usb3="00000000" w:csb0="400001FF" w:csb1="FFFF0000"/>
    <w:embedRegular r:id="rId2" w:fontKey="{650D53DE-4512-4912-8BD2-2D4BC3267DDF}"/>
  </w:font>
  <w:font w:name="黑体">
    <w:panose1 w:val="02010609060101010101"/>
    <w:charset w:val="86"/>
    <w:family w:val="auto"/>
    <w:pitch w:val="default"/>
    <w:sig w:usb0="800002BF" w:usb1="38CF7CFA" w:usb2="00000016" w:usb3="00000000" w:csb0="00040001" w:csb1="00000000"/>
    <w:embedRegular r:id="rId3" w:fontKey="{A253D11E-D636-4D5F-A874-10E2D42D83D1}"/>
  </w:font>
  <w:font w:name="Courier New">
    <w:panose1 w:val="02070309020205020404"/>
    <w:charset w:val="01"/>
    <w:family w:val="modern"/>
    <w:pitch w:val="default"/>
    <w:sig w:usb0="E0002AFF" w:usb1="C0007843" w:usb2="00000009" w:usb3="00000000" w:csb0="400001FF" w:csb1="FFFF0000"/>
    <w:embedRegular r:id="rId4" w:fontKey="{282B390E-CD0C-4389-BEC0-70859710B5A4}"/>
  </w:font>
  <w:font w:name="Symbol">
    <w:panose1 w:val="05050102010706020507"/>
    <w:charset w:val="02"/>
    <w:family w:val="roman"/>
    <w:pitch w:val="default"/>
    <w:sig w:usb0="00000000" w:usb1="00000000" w:usb2="00000000" w:usb3="00000000" w:csb0="80000000" w:csb1="00000000"/>
    <w:embedRegular r:id="rId5" w:fontKey="{4E10206D-BBCF-4EAA-AEAF-9E5CBF9D66A8}"/>
  </w:font>
  <w:font w:name="Calibri">
    <w:panose1 w:val="020F0502020204030204"/>
    <w:charset w:val="00"/>
    <w:family w:val="swiss"/>
    <w:pitch w:val="default"/>
    <w:sig w:usb0="E00002FF" w:usb1="4000ACFF" w:usb2="00000001" w:usb3="00000000" w:csb0="2000019F" w:csb1="00000000"/>
    <w:embedRegular r:id="rId6" w:fontKey="{DE60F53B-E6CE-4A64-BC17-A52BA54368BB}"/>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7" w:fontKey="{2EB63AC7-06EB-4AFB-8392-B6D9E3EFCBC8}"/>
  </w:font>
  <w:font w:name="方正小标宋_GBK">
    <w:panose1 w:val="03000509000000000000"/>
    <w:charset w:val="86"/>
    <w:family w:val="script"/>
    <w:pitch w:val="default"/>
    <w:sig w:usb0="00000001" w:usb1="080E0000" w:usb2="00000000" w:usb3="00000000" w:csb0="00040000" w:csb1="00000000"/>
    <w:embedRegular r:id="rId8" w:fontKey="{3832CE78-C1E2-4251-B603-CA854D1977B5}"/>
  </w:font>
  <w:font w:name="Helvetica">
    <w:altName w:val="Arial"/>
    <w:panose1 w:val="020B0604020202020204"/>
    <w:charset w:val="00"/>
    <w:family w:val="swiss"/>
    <w:pitch w:val="default"/>
    <w:sig w:usb0="00000000" w:usb1="00000000" w:usb2="00000000" w:usb3="00000000" w:csb0="00000001" w:csb1="00000000"/>
    <w:embedRegular r:id="rId9" w:fontKey="{CD145DFC-C597-4E31-87CC-EFF610F5E3A8}"/>
  </w:font>
  <w:font w:name="方正仿宋_GBK">
    <w:panose1 w:val="03000509000000000000"/>
    <w:charset w:val="86"/>
    <w:family w:val="script"/>
    <w:pitch w:val="default"/>
    <w:sig w:usb0="00000001" w:usb1="080E0000" w:usb2="00000000" w:usb3="00000000" w:csb0="00040000" w:csb1="00000000"/>
    <w:embedRegular r:id="rId10" w:fontKey="{47C33286-8536-4647-9552-B5819C8AC470}"/>
  </w:font>
  <w:font w:name="方正黑体_GBK">
    <w:panose1 w:val="03000509000000000000"/>
    <w:charset w:val="86"/>
    <w:family w:val="script"/>
    <w:pitch w:val="default"/>
    <w:sig w:usb0="00000001" w:usb1="080E0000" w:usb2="00000000" w:usb3="00000000" w:csb0="00040000" w:csb1="00000000"/>
    <w:embedRegular r:id="rId11" w:fontKey="{5FF0071E-6B9E-4F3B-AEEB-E7767E268A62}"/>
  </w:font>
  <w:font w:name="方正楷体_GBK">
    <w:panose1 w:val="03000509000000000000"/>
    <w:charset w:val="86"/>
    <w:family w:val="auto"/>
    <w:pitch w:val="default"/>
    <w:sig w:usb0="00000001" w:usb1="080E0000" w:usb2="00000000" w:usb3="00000000" w:csb0="00040000" w:csb1="00000000"/>
    <w:embedRegular r:id="rId12" w:fontKey="{DDF6C9B4-CFDD-4A7E-A612-24575C306CF1}"/>
  </w:font>
  <w:font w:name="仿宋">
    <w:panose1 w:val="02010609060101010101"/>
    <w:charset w:val="86"/>
    <w:family w:val="modern"/>
    <w:pitch w:val="default"/>
    <w:sig w:usb0="800002BF" w:usb1="38CF7CFA" w:usb2="00000016" w:usb3="00000000" w:csb0="00040001" w:csb1="00000000"/>
    <w:embedRegular r:id="rId13" w:fontKey="{15D2C19A-129C-470C-ABBB-0D6672CC089F}"/>
  </w:font>
  <w:font w:name="等线">
    <w:altName w:val="Arial Unicode MS"/>
    <w:panose1 w:val="00000000000000000000"/>
    <w:charset w:val="00"/>
    <w:family w:val="auto"/>
    <w:pitch w:val="default"/>
    <w:sig w:usb0="00000000" w:usb1="00000000" w:usb2="00000000" w:usb3="00000000" w:csb0="00000000" w:csb1="00000000"/>
    <w:embedRegular r:id="rId14" w:fontKey="{76A73973-074F-4983-9ED7-5819BBD5F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- 6 -</w:t>
                </w:r>
                <w:r>
                  <w:rPr>
                    <w:rFonts w:hint="eastAsia" w:ascii="宋体" w:hAnsi="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1029" o:spid="_x0000_s1029"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- 13 -</w:t>
                </w:r>
                <w:r>
                  <w:rPr>
                    <w:rFonts w:hint="eastAsia" w:ascii="宋体" w:hAnsi="宋体" w:eastAsia="宋体" w:cs="宋体"/>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77010C"/>
    <w:rsid w:val="000B5D18"/>
    <w:rsid w:val="000C608B"/>
    <w:rsid w:val="00136585"/>
    <w:rsid w:val="00153E43"/>
    <w:rsid w:val="001670D9"/>
    <w:rsid w:val="0024377E"/>
    <w:rsid w:val="002872ED"/>
    <w:rsid w:val="002878C8"/>
    <w:rsid w:val="002F5101"/>
    <w:rsid w:val="00321446"/>
    <w:rsid w:val="00375A2B"/>
    <w:rsid w:val="004265D0"/>
    <w:rsid w:val="004903DD"/>
    <w:rsid w:val="004E0B10"/>
    <w:rsid w:val="004F40C8"/>
    <w:rsid w:val="0055079C"/>
    <w:rsid w:val="00573546"/>
    <w:rsid w:val="005F71A4"/>
    <w:rsid w:val="006D0473"/>
    <w:rsid w:val="006D6F3B"/>
    <w:rsid w:val="006F5F46"/>
    <w:rsid w:val="00703B86"/>
    <w:rsid w:val="00711F8C"/>
    <w:rsid w:val="00713147"/>
    <w:rsid w:val="0077010C"/>
    <w:rsid w:val="007819B2"/>
    <w:rsid w:val="00795822"/>
    <w:rsid w:val="007C78C4"/>
    <w:rsid w:val="007F087F"/>
    <w:rsid w:val="00827DBA"/>
    <w:rsid w:val="00867D04"/>
    <w:rsid w:val="008760A8"/>
    <w:rsid w:val="008E4C75"/>
    <w:rsid w:val="009A06DC"/>
    <w:rsid w:val="009E0F51"/>
    <w:rsid w:val="00A0188A"/>
    <w:rsid w:val="00A0209C"/>
    <w:rsid w:val="00A60E4E"/>
    <w:rsid w:val="00BE31B2"/>
    <w:rsid w:val="00C05192"/>
    <w:rsid w:val="00C54F8B"/>
    <w:rsid w:val="00C64BAA"/>
    <w:rsid w:val="00CA486F"/>
    <w:rsid w:val="00D33770"/>
    <w:rsid w:val="00D9052D"/>
    <w:rsid w:val="00DD58B0"/>
    <w:rsid w:val="00E23CA0"/>
    <w:rsid w:val="00E3010D"/>
    <w:rsid w:val="00EE0E74"/>
    <w:rsid w:val="00F04704"/>
    <w:rsid w:val="00FC7D23"/>
    <w:rsid w:val="01317F69"/>
    <w:rsid w:val="014F03EF"/>
    <w:rsid w:val="020C62E0"/>
    <w:rsid w:val="02445463"/>
    <w:rsid w:val="02AB38FE"/>
    <w:rsid w:val="03321D76"/>
    <w:rsid w:val="0365456D"/>
    <w:rsid w:val="04702B56"/>
    <w:rsid w:val="05BB6053"/>
    <w:rsid w:val="06770305"/>
    <w:rsid w:val="06C07699"/>
    <w:rsid w:val="0744651C"/>
    <w:rsid w:val="07550382"/>
    <w:rsid w:val="075A189C"/>
    <w:rsid w:val="07D57174"/>
    <w:rsid w:val="09A432A2"/>
    <w:rsid w:val="09C15C02"/>
    <w:rsid w:val="0B093D05"/>
    <w:rsid w:val="0B930C3C"/>
    <w:rsid w:val="0BF71DAF"/>
    <w:rsid w:val="0DE80D33"/>
    <w:rsid w:val="0E65475F"/>
    <w:rsid w:val="0E7C659C"/>
    <w:rsid w:val="125E4936"/>
    <w:rsid w:val="14C30A80"/>
    <w:rsid w:val="14D27F2C"/>
    <w:rsid w:val="16447E2B"/>
    <w:rsid w:val="16B54D41"/>
    <w:rsid w:val="16BF21A1"/>
    <w:rsid w:val="1787048B"/>
    <w:rsid w:val="183F12A7"/>
    <w:rsid w:val="18A575F7"/>
    <w:rsid w:val="18CD0CEC"/>
    <w:rsid w:val="19115272"/>
    <w:rsid w:val="1A7E1F9E"/>
    <w:rsid w:val="1A7E38C5"/>
    <w:rsid w:val="1AF04599"/>
    <w:rsid w:val="1AFA71C6"/>
    <w:rsid w:val="1B1B455D"/>
    <w:rsid w:val="1B8D5AC9"/>
    <w:rsid w:val="1BB2644B"/>
    <w:rsid w:val="1C1F67D0"/>
    <w:rsid w:val="1D0D1432"/>
    <w:rsid w:val="1DB72B3A"/>
    <w:rsid w:val="1E6E567B"/>
    <w:rsid w:val="204333BD"/>
    <w:rsid w:val="206F5F60"/>
    <w:rsid w:val="208C6E42"/>
    <w:rsid w:val="209D2ACD"/>
    <w:rsid w:val="22EA5D72"/>
    <w:rsid w:val="23EB3B50"/>
    <w:rsid w:val="254C061E"/>
    <w:rsid w:val="27220ADA"/>
    <w:rsid w:val="28295107"/>
    <w:rsid w:val="28717F01"/>
    <w:rsid w:val="29884C1E"/>
    <w:rsid w:val="29CE7FFA"/>
    <w:rsid w:val="2A5A37DD"/>
    <w:rsid w:val="2A777E32"/>
    <w:rsid w:val="2ABA36EB"/>
    <w:rsid w:val="2ACB46DB"/>
    <w:rsid w:val="2C626979"/>
    <w:rsid w:val="2E9B6172"/>
    <w:rsid w:val="301F34FF"/>
    <w:rsid w:val="31585C27"/>
    <w:rsid w:val="325D1AFF"/>
    <w:rsid w:val="33705E1F"/>
    <w:rsid w:val="341D07FB"/>
    <w:rsid w:val="35444468"/>
    <w:rsid w:val="36F55D23"/>
    <w:rsid w:val="37256F21"/>
    <w:rsid w:val="37357164"/>
    <w:rsid w:val="379E612C"/>
    <w:rsid w:val="37A6606E"/>
    <w:rsid w:val="387D4CE0"/>
    <w:rsid w:val="399D5494"/>
    <w:rsid w:val="3A3556CD"/>
    <w:rsid w:val="3B3F6F6E"/>
    <w:rsid w:val="3D894F96"/>
    <w:rsid w:val="3DFD6502"/>
    <w:rsid w:val="3FE200A5"/>
    <w:rsid w:val="40664832"/>
    <w:rsid w:val="40952AB4"/>
    <w:rsid w:val="41207FC4"/>
    <w:rsid w:val="413D75D0"/>
    <w:rsid w:val="41701522"/>
    <w:rsid w:val="41923405"/>
    <w:rsid w:val="41E41548"/>
    <w:rsid w:val="41E9396D"/>
    <w:rsid w:val="42F21681"/>
    <w:rsid w:val="43012F05"/>
    <w:rsid w:val="44564BBE"/>
    <w:rsid w:val="45D51325"/>
    <w:rsid w:val="471F1BDF"/>
    <w:rsid w:val="47A3011A"/>
    <w:rsid w:val="48A8612B"/>
    <w:rsid w:val="4A557DDD"/>
    <w:rsid w:val="4B9304A5"/>
    <w:rsid w:val="4CCC3C6F"/>
    <w:rsid w:val="4D4B7289"/>
    <w:rsid w:val="4D654113"/>
    <w:rsid w:val="4D704F42"/>
    <w:rsid w:val="4E654842"/>
    <w:rsid w:val="4F3C7B80"/>
    <w:rsid w:val="500B0F52"/>
    <w:rsid w:val="505521CD"/>
    <w:rsid w:val="518C2E93"/>
    <w:rsid w:val="520E4D2A"/>
    <w:rsid w:val="52224331"/>
    <w:rsid w:val="5288688A"/>
    <w:rsid w:val="534053B7"/>
    <w:rsid w:val="539B439B"/>
    <w:rsid w:val="53B55872"/>
    <w:rsid w:val="54A14694"/>
    <w:rsid w:val="54C142D5"/>
    <w:rsid w:val="54D223D0"/>
    <w:rsid w:val="55202DAA"/>
    <w:rsid w:val="55584451"/>
    <w:rsid w:val="555B416B"/>
    <w:rsid w:val="55D43B94"/>
    <w:rsid w:val="56327D1A"/>
    <w:rsid w:val="56E83D9B"/>
    <w:rsid w:val="56F049FE"/>
    <w:rsid w:val="56F444EE"/>
    <w:rsid w:val="57B33458"/>
    <w:rsid w:val="581F129A"/>
    <w:rsid w:val="59843637"/>
    <w:rsid w:val="5A9313C7"/>
    <w:rsid w:val="5AC81FAD"/>
    <w:rsid w:val="5B24736C"/>
    <w:rsid w:val="5BD448EE"/>
    <w:rsid w:val="5C124EDB"/>
    <w:rsid w:val="5C1949F7"/>
    <w:rsid w:val="5C653798"/>
    <w:rsid w:val="5CE16B60"/>
    <w:rsid w:val="5D5D7D54"/>
    <w:rsid w:val="5D972FAA"/>
    <w:rsid w:val="5F74227E"/>
    <w:rsid w:val="5F8D5444"/>
    <w:rsid w:val="5FB962D5"/>
    <w:rsid w:val="606968D4"/>
    <w:rsid w:val="60BA180C"/>
    <w:rsid w:val="60D4713E"/>
    <w:rsid w:val="60E756B5"/>
    <w:rsid w:val="61C02FC3"/>
    <w:rsid w:val="62EA29B8"/>
    <w:rsid w:val="644545DB"/>
    <w:rsid w:val="64915201"/>
    <w:rsid w:val="64D4595F"/>
    <w:rsid w:val="64F67178"/>
    <w:rsid w:val="65167D25"/>
    <w:rsid w:val="65172825"/>
    <w:rsid w:val="654E0609"/>
    <w:rsid w:val="65962C14"/>
    <w:rsid w:val="66014531"/>
    <w:rsid w:val="664457FD"/>
    <w:rsid w:val="668A315F"/>
    <w:rsid w:val="6AA24659"/>
    <w:rsid w:val="6C1C3DE2"/>
    <w:rsid w:val="6C7D5DC3"/>
    <w:rsid w:val="6D956EBE"/>
    <w:rsid w:val="6E6B0F64"/>
    <w:rsid w:val="7080699B"/>
    <w:rsid w:val="7164006A"/>
    <w:rsid w:val="728F1117"/>
    <w:rsid w:val="72B6534E"/>
    <w:rsid w:val="7318735E"/>
    <w:rsid w:val="74123DAE"/>
    <w:rsid w:val="752B15CB"/>
    <w:rsid w:val="768A2321"/>
    <w:rsid w:val="76A74C81"/>
    <w:rsid w:val="77045AA9"/>
    <w:rsid w:val="77BA09E4"/>
    <w:rsid w:val="791D7113"/>
    <w:rsid w:val="793E2E65"/>
    <w:rsid w:val="79D51B05"/>
    <w:rsid w:val="7AC322A6"/>
    <w:rsid w:val="7B346CFF"/>
    <w:rsid w:val="7C214682"/>
    <w:rsid w:val="7D6A07B6"/>
    <w:rsid w:val="7E2D7EC0"/>
    <w:rsid w:val="7E4C6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3">
    <w:name w:val="Body Text"/>
    <w:basedOn w:val="1"/>
    <w:next w:val="4"/>
    <w:qFormat/>
    <w:uiPriority w:val="0"/>
    <w:pPr>
      <w:snapToGrid w:val="0"/>
      <w:jc w:val="center"/>
    </w:pPr>
    <w:rPr>
      <w:rFonts w:ascii="Calibri" w:hAnsi="Calibri" w:eastAsia="方正小标宋_GBK" w:cs="Times New Roman"/>
      <w:sz w:val="44"/>
    </w:rPr>
  </w:style>
  <w:style w:type="paragraph" w:customStyle="1" w:styleId="4">
    <w:name w:val="默认"/>
    <w:qFormat/>
    <w:uiPriority w:val="0"/>
    <w:rPr>
      <w:rFonts w:ascii="Helvetica" w:hAnsi="Helvetica" w:eastAsia="Helvetica" w:cs="Helvetica"/>
      <w:color w:val="000000"/>
      <w:sz w:val="22"/>
      <w:szCs w:val="22"/>
      <w:lang w:val="en-US" w:eastAsia="zh-CN" w:bidi="ar-SA"/>
    </w:rPr>
  </w:style>
  <w:style w:type="paragraph" w:styleId="5">
    <w:name w:val="footer"/>
    <w:basedOn w:val="1"/>
    <w:link w:val="11"/>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page number"/>
    <w:unhideWhenUsed/>
    <w:qFormat/>
    <w:uiPriority w:val="0"/>
  </w:style>
  <w:style w:type="character" w:customStyle="1" w:styleId="11">
    <w:name w:val="页脚 Char"/>
    <w:basedOn w:val="9"/>
    <w:link w:val="5"/>
    <w:qFormat/>
    <w:uiPriority w:val="99"/>
    <w:rPr>
      <w:rFonts w:ascii="Calibri" w:hAnsi="Calibri" w:eastAsia="宋体" w:cs="Times New Roman"/>
      <w:sz w:val="18"/>
      <w:szCs w:val="18"/>
    </w:rPr>
  </w:style>
  <w:style w:type="character" w:customStyle="1" w:styleId="12">
    <w:name w:val="页眉 Char"/>
    <w:basedOn w:val="9"/>
    <w:link w:val="6"/>
    <w:semiHidden/>
    <w:qFormat/>
    <w:uiPriority w:val="99"/>
    <w:rPr>
      <w:sz w:val="18"/>
      <w:szCs w:val="18"/>
    </w:rPr>
  </w:style>
  <w:style w:type="character" w:customStyle="1" w:styleId="13">
    <w:name w:val="font51"/>
    <w:basedOn w:val="9"/>
    <w:qFormat/>
    <w:uiPriority w:val="0"/>
    <w:rPr>
      <w:rFonts w:hint="eastAsia" w:ascii="宋体" w:hAnsi="宋体" w:eastAsia="宋体" w:cs="宋体"/>
      <w:color w:val="000000"/>
      <w:sz w:val="22"/>
      <w:szCs w:val="22"/>
      <w:u w:val="none"/>
    </w:rPr>
  </w:style>
  <w:style w:type="character" w:customStyle="1" w:styleId="14">
    <w:name w:val="font4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textRotate="1"/>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C471E-CE80-4E77-B7E2-0D2C80DCFCD4}">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Pages>
  <Words>884</Words>
  <Characters>5040</Characters>
  <Lines>42</Lines>
  <Paragraphs>11</Paragraphs>
  <TotalTime>12</TotalTime>
  <ScaleCrop>false</ScaleCrop>
  <LinksUpToDate>false</LinksUpToDate>
  <CharactersWithSpaces>5913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2021-03-18T01:58:00Z</dcterms:created>
  <dc:creator>文印室</dc:creator>
  <cp:lastModifiedBy>*米*</cp:lastModifiedBy>
  <cp:lastPrinted>2022-04-15T02:04:00Z</cp:lastPrinted>
  <dcterms:modified xsi:type="dcterms:W3CDTF">2022-04-18T01:20:20Z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577434592_embed</vt:lpwstr>
  </property>
  <property fmtid="{D5CDD505-2E9C-101B-9397-08002B2CF9AE}" pid="3" name="KSOProductBuildVer">
    <vt:lpwstr>2052-11.1.0.11194</vt:lpwstr>
  </property>
  <property fmtid="{D5CDD505-2E9C-101B-9397-08002B2CF9AE}" pid="4" name="ICV">
    <vt:lpwstr>016B3FEA32A14D6F8DC2F626ED703CD7</vt:lpwstr>
  </property>
</Properties>
</file>