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eastAsia="方正小标宋_GBK"/>
          <w:szCs w:val="32"/>
        </w:rPr>
      </w:pPr>
    </w:p>
    <w:p>
      <w:pPr>
        <w:pStyle w:val="17"/>
        <w:spacing w:line="6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2022年黔江区“万吨渝货进山东”</w:t>
      </w:r>
    </w:p>
    <w:p>
      <w:pPr>
        <w:pStyle w:val="17"/>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产销对接项目实施方案</w:t>
      </w:r>
    </w:p>
    <w:bookmarkEnd w:id="0"/>
    <w:p>
      <w:pPr>
        <w:pStyle w:val="17"/>
      </w:pPr>
    </w:p>
    <w:p>
      <w:pPr>
        <w:spacing w:line="560" w:lineRule="exact"/>
        <w:ind w:firstLine="632" w:firstLineChars="200"/>
        <w:rPr>
          <w:szCs w:val="32"/>
        </w:rPr>
      </w:pPr>
      <w:r>
        <w:rPr>
          <w:szCs w:val="32"/>
        </w:rPr>
        <w:t>根据《关于加强2022年商务系统山东协作重庆省级财政援助资金项目投资计划管理的通知》（渝商务〔2022〕118号）、《关于印发&lt;黔江区使用鲁渝协作山东省财政援助资金及援建项目管理办法（修订）&gt;的通知》（黔江乡振发〔2022〕3号）、《关于下达黔江区2021年鲁渝协作市级援助资金项目投资计划的通知》（黔财产业〔2022〕7号）文件要求，为更好地管理使用好消费帮扶资金，特制定本方案。</w:t>
      </w:r>
    </w:p>
    <w:p>
      <w:pPr>
        <w:pStyle w:val="3"/>
        <w:numPr>
          <w:ilvl w:val="0"/>
          <w:numId w:val="1"/>
        </w:numPr>
        <w:spacing w:line="560" w:lineRule="exact"/>
        <w:ind w:firstLine="632" w:firstLineChars="200"/>
        <w:rPr>
          <w:rFonts w:ascii="Times New Roman" w:hAnsi="Times New Roman" w:eastAsia="方正黑体_GBK"/>
          <w:sz w:val="32"/>
          <w:szCs w:val="32"/>
        </w:rPr>
      </w:pPr>
      <w:r>
        <w:rPr>
          <w:rFonts w:ascii="Times New Roman" w:hAnsi="Times New Roman" w:eastAsia="方正黑体_GBK"/>
          <w:sz w:val="32"/>
          <w:szCs w:val="32"/>
        </w:rPr>
        <w:t>项目名称</w:t>
      </w:r>
    </w:p>
    <w:p>
      <w:pPr>
        <w:pStyle w:val="3"/>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“万吨渝货进山东”产销对接项目</w:t>
      </w:r>
    </w:p>
    <w:p>
      <w:pPr>
        <w:pStyle w:val="3"/>
        <w:numPr>
          <w:ilvl w:val="0"/>
          <w:numId w:val="1"/>
        </w:numPr>
        <w:spacing w:line="560" w:lineRule="exact"/>
        <w:ind w:firstLine="632" w:firstLineChars="200"/>
        <w:rPr>
          <w:rFonts w:ascii="Times New Roman" w:hAnsi="Times New Roman" w:eastAsia="方正黑体_GBK"/>
          <w:sz w:val="32"/>
          <w:szCs w:val="32"/>
        </w:rPr>
      </w:pPr>
      <w:r>
        <w:rPr>
          <w:rFonts w:ascii="Times New Roman" w:hAnsi="Times New Roman" w:eastAsia="方正黑体_GBK"/>
          <w:sz w:val="32"/>
          <w:szCs w:val="32"/>
        </w:rPr>
        <w:t>实施单位</w:t>
      </w:r>
    </w:p>
    <w:p>
      <w:pPr>
        <w:pStyle w:val="3"/>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重庆市黔江区商务委员会</w:t>
      </w:r>
    </w:p>
    <w:p>
      <w:pPr>
        <w:pStyle w:val="3"/>
        <w:numPr>
          <w:ilvl w:val="0"/>
          <w:numId w:val="1"/>
        </w:numPr>
        <w:spacing w:line="560" w:lineRule="exact"/>
        <w:ind w:firstLine="632" w:firstLineChars="200"/>
        <w:rPr>
          <w:rFonts w:ascii="Times New Roman" w:hAnsi="Times New Roman" w:eastAsia="方正黑体_GBK"/>
          <w:sz w:val="32"/>
          <w:szCs w:val="32"/>
        </w:rPr>
      </w:pPr>
      <w:r>
        <w:rPr>
          <w:rFonts w:ascii="Times New Roman" w:hAnsi="Times New Roman" w:eastAsia="方正黑体_GBK"/>
          <w:sz w:val="32"/>
          <w:szCs w:val="32"/>
        </w:rPr>
        <w:t>建设内容</w:t>
      </w:r>
    </w:p>
    <w:p>
      <w:pPr>
        <w:pStyle w:val="3"/>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2022年黔江区“万吨渝货进山东”产销对接项目主要包括以下方面：一是支持消费帮扶产销对接、展销推介活动；二是对黔江农副产品销售至山东省的物流费用及物流运输设备购置进行支持；三是对在我区带动能力强、增收效果好的鲁渝协作消费帮扶企业，对产后商品化处理设备及冷链物流设施等进行支持，对直接流转脱贫户土地或雇用脱贫户人口务工等进行支持；四是对专销山东省境内的农副产品包装设计和印制、品控检测进行支持；五是支持鲁渝双方开展商贸领域培训；六是对鲁渝协作消费帮扶有突出贡献的市场主体进行奖励。</w:t>
      </w:r>
    </w:p>
    <w:p>
      <w:pPr>
        <w:pStyle w:val="3"/>
        <w:spacing w:line="560" w:lineRule="exact"/>
        <w:ind w:firstLine="632" w:firstLineChars="200"/>
        <w:rPr>
          <w:rFonts w:ascii="Times New Roman" w:hAnsi="Times New Roman" w:eastAsia="方正黑体_GBK"/>
          <w:sz w:val="32"/>
          <w:szCs w:val="32"/>
        </w:rPr>
      </w:pPr>
      <w:r>
        <w:rPr>
          <w:rFonts w:ascii="Times New Roman" w:hAnsi="Times New Roman" w:eastAsia="方正黑体_GBK"/>
          <w:sz w:val="32"/>
          <w:szCs w:val="32"/>
        </w:rPr>
        <w:t>四、经费概算及资金来源</w:t>
      </w:r>
    </w:p>
    <w:p>
      <w:pPr>
        <w:pStyle w:val="3"/>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2022</w:t>
      </w:r>
      <w:r>
        <w:rPr>
          <w:rFonts w:ascii="Times New Roman" w:hAnsi="方正仿宋_GBK" w:eastAsia="方正仿宋_GBK"/>
          <w:sz w:val="32"/>
          <w:szCs w:val="32"/>
        </w:rPr>
        <w:t>年黔江区</w:t>
      </w:r>
      <w:r>
        <w:rPr>
          <w:rFonts w:ascii="Times New Roman" w:hAnsi="Times New Roman" w:eastAsia="方正仿宋_GBK"/>
          <w:sz w:val="32"/>
          <w:szCs w:val="32"/>
        </w:rPr>
        <w:t>“</w:t>
      </w:r>
      <w:r>
        <w:rPr>
          <w:rFonts w:ascii="Times New Roman" w:hAnsi="方正仿宋_GBK" w:eastAsia="方正仿宋_GBK"/>
          <w:sz w:val="32"/>
          <w:szCs w:val="32"/>
        </w:rPr>
        <w:t>万吨渝货进山东</w:t>
      </w:r>
      <w:r>
        <w:rPr>
          <w:rFonts w:ascii="Times New Roman" w:hAnsi="Times New Roman" w:eastAsia="方正仿宋_GBK"/>
          <w:sz w:val="32"/>
          <w:szCs w:val="32"/>
        </w:rPr>
        <w:t>”</w:t>
      </w:r>
      <w:r>
        <w:rPr>
          <w:rFonts w:ascii="Times New Roman" w:hAnsi="方正仿宋_GBK" w:eastAsia="方正仿宋_GBK"/>
          <w:sz w:val="32"/>
          <w:szCs w:val="32"/>
        </w:rPr>
        <w:t>产销对接项目概算总投资</w:t>
      </w:r>
      <w:r>
        <w:rPr>
          <w:rFonts w:ascii="Times New Roman" w:hAnsi="Times New Roman" w:eastAsia="方正仿宋_GBK"/>
          <w:sz w:val="32"/>
          <w:szCs w:val="32"/>
        </w:rPr>
        <w:t>80</w:t>
      </w:r>
      <w:r>
        <w:rPr>
          <w:rFonts w:ascii="Times New Roman" w:hAnsi="方正仿宋_GBK" w:eastAsia="方正仿宋_GBK"/>
          <w:sz w:val="32"/>
          <w:szCs w:val="32"/>
        </w:rPr>
        <w:t>万元，资金来源为黔江区</w:t>
      </w:r>
      <w:r>
        <w:rPr>
          <w:rFonts w:ascii="Times New Roman" w:hAnsi="Times New Roman" w:eastAsia="方正仿宋_GBK"/>
          <w:sz w:val="32"/>
          <w:szCs w:val="32"/>
        </w:rPr>
        <w:t>2022</w:t>
      </w:r>
      <w:r>
        <w:rPr>
          <w:rFonts w:ascii="Times New Roman" w:hAnsi="方正仿宋_GBK" w:eastAsia="方正仿宋_GBK"/>
          <w:sz w:val="32"/>
          <w:szCs w:val="32"/>
        </w:rPr>
        <w:t>年鲁渝协作省级财政援助资金。</w:t>
      </w:r>
    </w:p>
    <w:p>
      <w:pPr>
        <w:pStyle w:val="3"/>
        <w:spacing w:line="560" w:lineRule="exact"/>
        <w:ind w:firstLine="664" w:firstLineChars="210"/>
        <w:rPr>
          <w:rFonts w:ascii="Times New Roman" w:hAnsi="Times New Roman" w:eastAsia="方正楷体_GBK"/>
          <w:sz w:val="32"/>
          <w:szCs w:val="32"/>
        </w:rPr>
      </w:pPr>
      <w:r>
        <w:rPr>
          <w:rFonts w:ascii="Times New Roman" w:hAnsi="Times New Roman" w:eastAsia="方正黑体_GBK"/>
          <w:sz w:val="32"/>
          <w:szCs w:val="32"/>
        </w:rPr>
        <w:t>五、项目组织与实施</w:t>
      </w:r>
    </w:p>
    <w:p>
      <w:pPr>
        <w:pStyle w:val="3"/>
        <w:spacing w:line="560" w:lineRule="exact"/>
        <w:ind w:firstLine="664" w:firstLineChars="210"/>
        <w:rPr>
          <w:rFonts w:ascii="Times New Roman" w:hAnsi="Times New Roman" w:eastAsia="方正仿宋_GBK"/>
          <w:sz w:val="32"/>
          <w:szCs w:val="32"/>
        </w:rPr>
      </w:pPr>
      <w:r>
        <w:rPr>
          <w:rFonts w:ascii="Times New Roman" w:hAnsi="Times New Roman" w:eastAsia="方正仿宋_GBK"/>
          <w:sz w:val="32"/>
          <w:szCs w:val="32"/>
        </w:rPr>
        <w:t>2022</w:t>
      </w:r>
      <w:r>
        <w:rPr>
          <w:rFonts w:ascii="Times New Roman" w:hAnsi="方正仿宋_GBK" w:eastAsia="方正仿宋_GBK"/>
          <w:sz w:val="32"/>
          <w:szCs w:val="32"/>
        </w:rPr>
        <w:t>年黔江区</w:t>
      </w:r>
      <w:r>
        <w:rPr>
          <w:rFonts w:ascii="Times New Roman" w:hAnsi="Times New Roman" w:eastAsia="方正仿宋_GBK"/>
          <w:sz w:val="32"/>
          <w:szCs w:val="32"/>
        </w:rPr>
        <w:t>“</w:t>
      </w:r>
      <w:r>
        <w:rPr>
          <w:rFonts w:ascii="Times New Roman" w:hAnsi="方正仿宋_GBK" w:eastAsia="方正仿宋_GBK"/>
          <w:sz w:val="32"/>
          <w:szCs w:val="32"/>
        </w:rPr>
        <w:t>万吨渝货进山东</w:t>
      </w:r>
      <w:r>
        <w:rPr>
          <w:rFonts w:ascii="Times New Roman" w:hAnsi="Times New Roman" w:eastAsia="方正仿宋_GBK"/>
          <w:sz w:val="32"/>
          <w:szCs w:val="32"/>
        </w:rPr>
        <w:t>”</w:t>
      </w:r>
      <w:r>
        <w:rPr>
          <w:rFonts w:ascii="Times New Roman" w:hAnsi="方正仿宋_GBK" w:eastAsia="方正仿宋_GBK"/>
          <w:sz w:val="32"/>
          <w:szCs w:val="32"/>
        </w:rPr>
        <w:t>产销对接项目由重庆市黔江区商务委员会主要领导负总责，分管领导具体负责，市场流通科负责实施，财务审计科负责资金监管，共同推进工作的组织协调、方案制定、操作实施等工作。</w:t>
      </w:r>
    </w:p>
    <w:p>
      <w:pPr>
        <w:pStyle w:val="3"/>
        <w:spacing w:line="560" w:lineRule="exact"/>
        <w:ind w:firstLine="664" w:firstLineChars="210"/>
        <w:rPr>
          <w:rFonts w:ascii="Times New Roman" w:hAnsi="Times New Roman" w:eastAsia="方正黑体_GBK"/>
          <w:sz w:val="32"/>
          <w:szCs w:val="32"/>
        </w:rPr>
      </w:pPr>
      <w:r>
        <w:rPr>
          <w:rFonts w:ascii="Times New Roman" w:hAnsi="Times New Roman" w:eastAsia="方正黑体_GBK"/>
          <w:sz w:val="32"/>
          <w:szCs w:val="32"/>
        </w:rPr>
        <w:t>六、项目实施内容</w:t>
      </w:r>
    </w:p>
    <w:p>
      <w:pPr>
        <w:spacing w:line="560" w:lineRule="exact"/>
        <w:ind w:firstLine="632" w:firstLineChars="200"/>
        <w:rPr>
          <w:rFonts w:eastAsia="方正楷体_GBK"/>
          <w:bCs/>
          <w:szCs w:val="32"/>
        </w:rPr>
      </w:pPr>
      <w:r>
        <w:rPr>
          <w:rFonts w:hAnsi="方正楷体_GBK" w:eastAsia="方正楷体_GBK"/>
          <w:bCs/>
          <w:szCs w:val="32"/>
        </w:rPr>
        <w:t>（一）支持消费帮扶产销对接、展销推介活动</w:t>
      </w:r>
    </w:p>
    <w:p>
      <w:pPr>
        <w:spacing w:line="560" w:lineRule="exact"/>
        <w:ind w:firstLine="632" w:firstLineChars="200"/>
        <w:rPr>
          <w:szCs w:val="32"/>
        </w:rPr>
      </w:pPr>
      <w:r>
        <w:rPr>
          <w:szCs w:val="32"/>
        </w:rPr>
        <w:t>1.对东西协作双方相关部门统一组织辖区内相关企业开展农副产品洽谈、采购、代理、销售等消费帮扶对接活动给予全额经费保障。对商务部门在日照市相关媒体进行“山韵黔江”黔江产品集中宣传推介，提高黔江产品在山东省的知晓度等宣传营销费用给予全额经费保障。</w:t>
      </w:r>
    </w:p>
    <w:p>
      <w:pPr>
        <w:spacing w:line="560" w:lineRule="exact"/>
        <w:ind w:firstLine="632" w:firstLineChars="200"/>
        <w:rPr>
          <w:szCs w:val="32"/>
        </w:rPr>
      </w:pPr>
      <w:r>
        <w:rPr>
          <w:szCs w:val="32"/>
        </w:rPr>
        <w:t>2.对由区政府及商务部门组织参加（费用由组织方统一支付的除外）或单独受邀参加的山东省各类农副产品展销对接会的黔江区企业，按不超过3000元/家的标准给予企业展示展销、产品推介支持。</w:t>
      </w:r>
    </w:p>
    <w:p>
      <w:pPr>
        <w:spacing w:line="560" w:lineRule="exact"/>
        <w:ind w:firstLine="632" w:firstLineChars="200"/>
        <w:rPr>
          <w:szCs w:val="32"/>
        </w:rPr>
      </w:pPr>
      <w:r>
        <w:rPr>
          <w:szCs w:val="32"/>
        </w:rPr>
        <w:t>3.对报请两地商务部门同意，自行赴山东省开展现场宣传推广对接活动，达成供货合同并实际供货的黔江企业，按不超过实际发生差旅费、宣传营销推广费的60%进行支持，单个企业最高不超过10万元。</w:t>
      </w:r>
    </w:p>
    <w:p>
      <w:pPr>
        <w:spacing w:line="560" w:lineRule="exact"/>
        <w:ind w:firstLine="632" w:firstLineChars="200"/>
        <w:rPr>
          <w:rFonts w:eastAsia="方正楷体_GBK"/>
          <w:bCs/>
          <w:szCs w:val="32"/>
        </w:rPr>
      </w:pPr>
      <w:r>
        <w:rPr>
          <w:rFonts w:hAnsi="方正楷体_GBK" w:eastAsia="方正楷体_GBK"/>
          <w:bCs/>
          <w:szCs w:val="32"/>
        </w:rPr>
        <w:t>（二）支持物流费用及物流运输设备购置费用</w:t>
      </w:r>
    </w:p>
    <w:p>
      <w:pPr>
        <w:spacing w:line="560" w:lineRule="exact"/>
        <w:ind w:firstLine="632" w:firstLineChars="200"/>
        <w:rPr>
          <w:szCs w:val="32"/>
        </w:rPr>
      </w:pPr>
      <w:r>
        <w:rPr>
          <w:rFonts w:eastAsia="方正楷体_GBK"/>
          <w:bCs/>
          <w:szCs w:val="32"/>
        </w:rPr>
        <w:t>1.</w:t>
      </w:r>
      <w:r>
        <w:rPr>
          <w:szCs w:val="32"/>
        </w:rPr>
        <w:t>根据实际需要，对专门添置物流设施设备运输黔江农特产品到山东省境内或在山东省境内购置物流配送运输工具的企业，按实际销售效果，给予一次性资金支持。对东西扶贫协作销售收入200万元以下的，按不超过物流配送设施设备投入资金的30%进行支持，最高不超过15万元；销售收入达200万元及以上的，按不超过物流配送设施设备投资金额50%进行支持，最高不超过50万元，物流配送设施购置后企业所产生的物流费用不再另行支持。</w:t>
      </w:r>
    </w:p>
    <w:p>
      <w:pPr>
        <w:spacing w:line="560" w:lineRule="exact"/>
        <w:ind w:firstLine="632" w:firstLineChars="200"/>
        <w:rPr>
          <w:szCs w:val="32"/>
        </w:rPr>
      </w:pPr>
      <w:r>
        <w:rPr>
          <w:szCs w:val="32"/>
        </w:rPr>
        <w:t>2.对销售并通过大宗物流运输黔江农特产品到日照市等山东省境内，且未添置物流设备的企业，按不超过物流费用实际发生额的70%给予支持。对通过电商平台销售黔江农副产品到山东市场，按不超过实际发生额的70%给予快递费用支持。</w:t>
      </w:r>
    </w:p>
    <w:p>
      <w:pPr>
        <w:spacing w:line="560" w:lineRule="exact"/>
        <w:ind w:firstLine="632" w:firstLineChars="200"/>
        <w:rPr>
          <w:rFonts w:eastAsia="方正楷体_GBK"/>
          <w:bCs/>
          <w:szCs w:val="32"/>
        </w:rPr>
      </w:pPr>
      <w:r>
        <w:rPr>
          <w:rFonts w:hAnsi="方正楷体_GBK" w:eastAsia="方正楷体_GBK"/>
          <w:bCs/>
          <w:szCs w:val="32"/>
        </w:rPr>
        <w:t>（三）支持生产建设</w:t>
      </w:r>
    </w:p>
    <w:p>
      <w:pPr>
        <w:spacing w:line="560" w:lineRule="exact"/>
        <w:ind w:firstLine="632" w:firstLineChars="200"/>
        <w:rPr>
          <w:szCs w:val="32"/>
        </w:rPr>
      </w:pPr>
      <w:r>
        <w:rPr>
          <w:szCs w:val="32"/>
        </w:rPr>
        <w:t>1.对在我区直接流转脱贫户土地或雇用脱贫户人口务工（脱贫户由区乡村振兴局或有关乡镇街道认定），且将农副产品销往山东省境内的企业，根据销售效果，对支出的脱贫户土地流转金、脱贫户人口工资费用，按照一定比例给予支持。对东西扶贫协作销售收入100万元以下的，按不超过支出费用的35%进行支持，最高不超过15万元；对东西扶贫协作销售收入达100万元及以上的，按不超过支出费用的50%进行支持，最高不超过30万元。</w:t>
      </w:r>
    </w:p>
    <w:p>
      <w:pPr>
        <w:spacing w:line="560" w:lineRule="exact"/>
        <w:ind w:firstLine="632" w:firstLineChars="200"/>
        <w:rPr>
          <w:szCs w:val="32"/>
        </w:rPr>
      </w:pPr>
      <w:r>
        <w:rPr>
          <w:szCs w:val="32"/>
        </w:rPr>
        <w:t>2.对在我区带动能力强、增收效果好，且销售收入达60万元及以上的鲁渝协作消费帮扶企业，在产后商品化处理设备、冷链物流设施、直接流转脱贫户土地或雇用脱贫户人口务工等方面进行支持，竣工验收且投用后，按不超过实际投资额的40%给予支持，单个企业最高不超过50万元。</w:t>
      </w:r>
    </w:p>
    <w:p>
      <w:pPr>
        <w:spacing w:line="560" w:lineRule="exact"/>
        <w:ind w:firstLine="632" w:firstLineChars="200"/>
        <w:rPr>
          <w:szCs w:val="32"/>
        </w:rPr>
      </w:pPr>
      <w:r>
        <w:rPr>
          <w:rFonts w:hAnsi="方正楷体_GBK" w:eastAsia="方正楷体_GBK"/>
          <w:bCs/>
          <w:szCs w:val="32"/>
        </w:rPr>
        <w:t>（四）支持专销山东省境内的产品包装设计和印制、品控检测等费用。</w:t>
      </w:r>
      <w:r>
        <w:rPr>
          <w:szCs w:val="32"/>
        </w:rPr>
        <w:t>加大</w:t>
      </w:r>
      <w:r>
        <w:rPr>
          <w:kern w:val="0"/>
          <w:szCs w:val="32"/>
        </w:rPr>
        <w:t>鲁渝消费帮扶优质产品培育力度，</w:t>
      </w:r>
      <w:r>
        <w:rPr>
          <w:szCs w:val="32"/>
        </w:rPr>
        <w:t>支持企业将黔江优质农副产品保质保量送达山东省客户手中，进一步提升黔江农特产品标准化水平和对外形象，支持两地企业合力打造网货产品和品牌，对包装设计印制、品控检测费用给予一定支持，按不超过实际投资的50%给予支持，单个企业最高不超过60万元。</w:t>
      </w:r>
    </w:p>
    <w:p>
      <w:pPr>
        <w:spacing w:line="560" w:lineRule="exact"/>
        <w:ind w:firstLine="632" w:firstLineChars="200"/>
        <w:rPr>
          <w:szCs w:val="32"/>
        </w:rPr>
      </w:pPr>
      <w:r>
        <w:rPr>
          <w:rFonts w:hAnsi="方正楷体_GBK" w:eastAsia="方正楷体_GBK"/>
          <w:bCs/>
          <w:szCs w:val="32"/>
        </w:rPr>
        <w:t>（五）支持开展商务领域培训。</w:t>
      </w:r>
      <w:r>
        <w:rPr>
          <w:szCs w:val="32"/>
        </w:rPr>
        <w:t>持续鲁渝双方开展商贸领域培训，加强消费流通、夜间经济发展、商业特色街培育、商品交易市场转型升级、农商互联、开放平台建设、开放通道建设等方面的交流学习。</w:t>
      </w:r>
    </w:p>
    <w:p>
      <w:pPr>
        <w:pStyle w:val="3"/>
        <w:spacing w:line="560" w:lineRule="exact"/>
        <w:ind w:firstLine="632" w:firstLineChars="200"/>
        <w:rPr>
          <w:rFonts w:ascii="Times New Roman" w:hAnsi="Times New Roman" w:eastAsia="方正仿宋_GBK"/>
          <w:sz w:val="32"/>
          <w:szCs w:val="32"/>
        </w:rPr>
      </w:pPr>
      <w:r>
        <w:rPr>
          <w:rFonts w:ascii="Times New Roman" w:hAnsi="方正楷体_GBK" w:eastAsia="方正楷体_GBK"/>
          <w:bCs/>
          <w:sz w:val="32"/>
          <w:szCs w:val="32"/>
        </w:rPr>
        <w:t>（六）绩效奖励。</w:t>
      </w:r>
      <w:r>
        <w:rPr>
          <w:rFonts w:ascii="Times New Roman" w:hAnsi="Times New Roman" w:eastAsia="方正仿宋_GBK"/>
          <w:sz w:val="32"/>
          <w:szCs w:val="32"/>
        </w:rPr>
        <w:t>对在我区带动能力强、增收效果好，且销售额达到1000万元（含）以上的鲁渝协作消费帮扶企业给予奖励20万元，销售额达到2000万元（含）以上的奖励30万元。该项目可与前面项目同时申请。</w:t>
      </w:r>
    </w:p>
    <w:p>
      <w:pPr>
        <w:pStyle w:val="3"/>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在本项目有效期内，单个企业累计申请支持金额不得超过累计销售金额的50%。</w:t>
      </w:r>
    </w:p>
    <w:p>
      <w:pPr>
        <w:pStyle w:val="3"/>
        <w:spacing w:line="560" w:lineRule="exact"/>
        <w:ind w:firstLine="664" w:firstLineChars="210"/>
        <w:rPr>
          <w:rFonts w:ascii="Times New Roman" w:hAnsi="Times New Roman" w:eastAsia="方正黑体_GBK"/>
          <w:sz w:val="32"/>
          <w:szCs w:val="32"/>
        </w:rPr>
      </w:pPr>
      <w:r>
        <w:rPr>
          <w:rFonts w:ascii="Times New Roman" w:hAnsi="Times New Roman" w:eastAsia="方正黑体_GBK"/>
          <w:sz w:val="32"/>
          <w:szCs w:val="32"/>
        </w:rPr>
        <w:t>七、项目申报要求</w:t>
      </w:r>
    </w:p>
    <w:p>
      <w:pPr>
        <w:spacing w:line="560" w:lineRule="exact"/>
        <w:ind w:firstLine="632" w:firstLineChars="200"/>
        <w:rPr>
          <w:szCs w:val="32"/>
        </w:rPr>
      </w:pPr>
      <w:r>
        <w:rPr>
          <w:szCs w:val="32"/>
        </w:rPr>
        <w:t>企业应本着诚实守信原则，对项目或材料真实性作出书面承诺，提供企业营业执照、法人身份证复印件，同时提供如下材料：</w:t>
      </w:r>
    </w:p>
    <w:p>
      <w:pPr>
        <w:spacing w:line="560" w:lineRule="exact"/>
        <w:ind w:firstLine="632" w:firstLineChars="200"/>
        <w:rPr>
          <w:szCs w:val="32"/>
        </w:rPr>
      </w:pPr>
      <w:r>
        <w:rPr>
          <w:szCs w:val="32"/>
        </w:rPr>
        <w:t>1.消费帮扶产销对接、展销推介活动申报材料。由政府或商务部门组织参展推介的企业不需申报，由区商务委统一制定方案按程序报销（含商务部门参与活动的相关工作人员差旅费用）。自行宣传推广的企业提供的资料包括：（1）企业申请报告；（2）供销合同；（3）产品销售收货单、发票、银行回款单；（4）宣传推广产生费用发票；（5）往返山东省支出交通、住宿等费用发票；（6）真实性承诺等相关佐证资料。</w:t>
      </w:r>
    </w:p>
    <w:p>
      <w:pPr>
        <w:spacing w:line="560" w:lineRule="exact"/>
        <w:ind w:firstLine="632" w:firstLineChars="200"/>
        <w:rPr>
          <w:szCs w:val="32"/>
        </w:rPr>
      </w:pPr>
      <w:r>
        <w:rPr>
          <w:szCs w:val="32"/>
        </w:rPr>
        <w:t>2.物流费用及物流运输设备购置费用申报资料。（1）企业申请报告（含物流设备采购必要性说明）；（2）物流设备采购清单或物流费用汇总表、物流托运单或快递物流清单；（3）物流设备采购发票或物流费用支出发票；（4）销售额汇总表；（5）产品销售回款单；（6）设备资料图片、真实性承诺等相关佐证资料。</w:t>
      </w:r>
    </w:p>
    <w:p>
      <w:pPr>
        <w:spacing w:line="560" w:lineRule="exact"/>
        <w:ind w:firstLine="632" w:firstLineChars="200"/>
        <w:rPr>
          <w:szCs w:val="32"/>
        </w:rPr>
      </w:pPr>
      <w:r>
        <w:rPr>
          <w:szCs w:val="32"/>
        </w:rPr>
        <w:t>3.生产建设申报材料。</w:t>
      </w:r>
    </w:p>
    <w:p>
      <w:pPr>
        <w:spacing w:line="560" w:lineRule="exact"/>
        <w:ind w:firstLine="632" w:firstLineChars="200"/>
        <w:rPr>
          <w:szCs w:val="32"/>
        </w:rPr>
      </w:pPr>
      <w:r>
        <w:rPr>
          <w:szCs w:val="32"/>
        </w:rPr>
        <w:t>一是</w:t>
      </w:r>
      <w:r>
        <w:t>直接流转脱贫户土地或雇用脱贫户人口务工费用</w:t>
      </w:r>
      <w:r>
        <w:rPr>
          <w:szCs w:val="32"/>
        </w:rPr>
        <w:t>申报。（1）企业申请报告；（2）脱贫户土地流转合同或脱贫户人口务工合同；（3）销往山东产品名录及发票；（4）涉及脱贫户详细信息名单（包括脱贫户户主姓名，身份证号，联系电话，涉及脱贫户人员的姓名、身份证号、联系电话，土地流转金或务工工资金额）；（5）脱贫户土地流转金或脱贫户人员务工工资支出凭证；（6）区乡村振兴局或乡镇、街道有关脱贫户证明；（7）真实性承诺等相关佐证资料。</w:t>
      </w:r>
    </w:p>
    <w:p>
      <w:pPr>
        <w:spacing w:line="560" w:lineRule="exact"/>
        <w:ind w:firstLine="632" w:firstLineChars="200"/>
        <w:rPr>
          <w:szCs w:val="32"/>
        </w:rPr>
      </w:pPr>
      <w:r>
        <w:rPr>
          <w:szCs w:val="32"/>
        </w:rPr>
        <w:t>二是生产基地或生产线建设申报。（1）企业申请报告；（2）企业生产基地、设施建设必要性说明；（3）基地建设投入资金汇总表；（4）设施设备采购清单；（5）支出凭证；（6）销往山东扶贫产品名录及发票；（7）相关图片、视频；（8）真实性承诺等相关佐证资料。</w:t>
      </w:r>
    </w:p>
    <w:p>
      <w:pPr>
        <w:spacing w:line="560" w:lineRule="exact"/>
        <w:ind w:firstLine="632" w:firstLineChars="200"/>
        <w:rPr>
          <w:szCs w:val="32"/>
        </w:rPr>
      </w:pPr>
      <w:r>
        <w:rPr>
          <w:szCs w:val="32"/>
        </w:rPr>
        <w:t>4.产品包装设计印制、品控检测等费用申报材料。（1）企业申请报告（含产品包装设计印制、品控检测必要性说明）；（2）包装定制合同；（3）包装设计印制、品控检测支出发票、银行流水等支付凭证；（4）包装设计图、成品图、使用图；（5）真实性承诺等相关佐证资料。</w:t>
      </w:r>
    </w:p>
    <w:p>
      <w:pPr>
        <w:spacing w:line="560" w:lineRule="exact"/>
        <w:ind w:firstLine="632" w:firstLineChars="200"/>
        <w:rPr>
          <w:szCs w:val="32"/>
        </w:rPr>
      </w:pPr>
      <w:r>
        <w:rPr>
          <w:szCs w:val="32"/>
        </w:rPr>
        <w:t>5.商务领域培训申报材料。（1）培训机构申请报告；（2）培训合同；（3）培训方案、手册；（4）培训人员名单（包括姓名、性别、身份证号、联系电话）；（5）发票；（6）真实性承诺等相关佐证资料。</w:t>
      </w:r>
    </w:p>
    <w:p>
      <w:pPr>
        <w:pStyle w:val="17"/>
        <w:spacing w:line="560" w:lineRule="exact"/>
        <w:ind w:firstLine="632" w:firstLineChars="200"/>
        <w:rPr>
          <w:rFonts w:ascii="Times New Roman" w:hAnsi="Times New Roman"/>
          <w:szCs w:val="32"/>
        </w:rPr>
      </w:pPr>
      <w:r>
        <w:rPr>
          <w:rFonts w:ascii="Times New Roman" w:hAnsi="Times New Roman"/>
          <w:szCs w:val="32"/>
        </w:rPr>
        <w:t>6.绩效奖励申报材料。（1）企业申请报告；（2）农副产品销售数据统计表；（3）销售发票、回款单；（4）真实性承诺等相关佐证资料。</w:t>
      </w:r>
    </w:p>
    <w:p>
      <w:pPr>
        <w:spacing w:line="560" w:lineRule="exact"/>
        <w:ind w:firstLine="632" w:firstLineChars="200"/>
        <w:rPr>
          <w:szCs w:val="32"/>
        </w:rPr>
      </w:pPr>
      <w:r>
        <w:rPr>
          <w:szCs w:val="32"/>
        </w:rPr>
        <w:t>支持金额超过50万元（含50万元）的项目由申报主体提供项目审计报告。所有申报事项中，涉及项目建设的区商务委需进行实地验收，经审核验收合格后进行补助。对佐证力度不够的申报事项区商务委有权拒绝受理。</w:t>
      </w:r>
    </w:p>
    <w:p>
      <w:pPr>
        <w:pStyle w:val="3"/>
        <w:spacing w:line="560" w:lineRule="exact"/>
        <w:ind w:firstLine="664" w:firstLineChars="210"/>
        <w:rPr>
          <w:rFonts w:ascii="Times New Roman" w:hAnsi="Times New Roman" w:eastAsia="方正黑体_GBK"/>
          <w:sz w:val="32"/>
          <w:szCs w:val="32"/>
        </w:rPr>
      </w:pPr>
      <w:r>
        <w:rPr>
          <w:rFonts w:ascii="Times New Roman" w:hAnsi="Times New Roman" w:eastAsia="方正黑体_GBK"/>
          <w:sz w:val="32"/>
          <w:szCs w:val="32"/>
        </w:rPr>
        <w:t>八、工作要求</w:t>
      </w:r>
    </w:p>
    <w:p>
      <w:pPr>
        <w:spacing w:line="560" w:lineRule="exact"/>
        <w:ind w:firstLine="632" w:firstLineChars="200"/>
        <w:rPr>
          <w:szCs w:val="32"/>
        </w:rPr>
      </w:pPr>
      <w:r>
        <w:rPr>
          <w:szCs w:val="32"/>
        </w:rPr>
        <w:t>严格执行财务管理有关制度和援助资金管理有关规定，确保专款专用，不得截留、挤占和挪用。该项目资金严格禁止安排以下项目：</w:t>
      </w:r>
    </w:p>
    <w:p>
      <w:pPr>
        <w:spacing w:line="560" w:lineRule="exact"/>
        <w:ind w:firstLine="632" w:firstLineChars="200"/>
        <w:rPr>
          <w:szCs w:val="32"/>
        </w:rPr>
      </w:pPr>
      <w:r>
        <w:rPr>
          <w:szCs w:val="32"/>
        </w:rPr>
        <w:t>（一）各级党政机关办公用房、办公用车等办公条件改善支出；</w:t>
      </w:r>
    </w:p>
    <w:p>
      <w:pPr>
        <w:spacing w:line="560" w:lineRule="exact"/>
        <w:ind w:firstLine="632" w:firstLineChars="200"/>
        <w:rPr>
          <w:szCs w:val="32"/>
        </w:rPr>
      </w:pPr>
      <w:r>
        <w:rPr>
          <w:szCs w:val="32"/>
        </w:rPr>
        <w:t>（二）城市广场和公园、除乡村旅游项目之外的各类娱乐设施；</w:t>
      </w:r>
    </w:p>
    <w:p>
      <w:pPr>
        <w:spacing w:line="560" w:lineRule="exact"/>
        <w:ind w:firstLine="632" w:firstLineChars="200"/>
        <w:rPr>
          <w:szCs w:val="32"/>
        </w:rPr>
      </w:pPr>
      <w:r>
        <w:rPr>
          <w:szCs w:val="32"/>
        </w:rPr>
        <w:t>（三）环境影响评价、节能评估不合格的项目；</w:t>
      </w:r>
    </w:p>
    <w:p>
      <w:pPr>
        <w:spacing w:line="560" w:lineRule="exact"/>
        <w:ind w:firstLine="632" w:firstLineChars="200"/>
        <w:rPr>
          <w:szCs w:val="32"/>
        </w:rPr>
      </w:pPr>
      <w:r>
        <w:rPr>
          <w:szCs w:val="32"/>
        </w:rPr>
        <w:t>（四）不符合国家有关产品技术、质量、规模标准的产业项目；</w:t>
      </w:r>
    </w:p>
    <w:p>
      <w:pPr>
        <w:spacing w:line="560" w:lineRule="exact"/>
        <w:ind w:firstLine="632" w:firstLineChars="200"/>
        <w:rPr>
          <w:szCs w:val="32"/>
        </w:rPr>
      </w:pPr>
      <w:r>
        <w:rPr>
          <w:szCs w:val="32"/>
        </w:rPr>
        <w:t>（五）产能过剩、重复建设等不符合国家产业政策的项目；</w:t>
      </w:r>
    </w:p>
    <w:p>
      <w:pPr>
        <w:spacing w:line="560" w:lineRule="exact"/>
        <w:ind w:firstLine="632" w:firstLineChars="200"/>
        <w:rPr>
          <w:szCs w:val="32"/>
        </w:rPr>
      </w:pPr>
      <w:r>
        <w:rPr>
          <w:szCs w:val="32"/>
        </w:rPr>
        <w:t>（六）单独用于就餐、娱乐、旅游等各类接待支出类项目；</w:t>
      </w:r>
    </w:p>
    <w:p>
      <w:pPr>
        <w:spacing w:line="560" w:lineRule="exact"/>
        <w:ind w:firstLine="632" w:firstLineChars="200"/>
      </w:pPr>
      <w:r>
        <w:rPr>
          <w:szCs w:val="32"/>
        </w:rPr>
        <w:t>（七）国家法律、法规、规章等禁止的其他项目。</w:t>
      </w:r>
    </w:p>
    <w:p>
      <w:pPr>
        <w:pStyle w:val="3"/>
        <w:spacing w:line="560" w:lineRule="exact"/>
        <w:ind w:firstLine="632" w:firstLineChars="200"/>
        <w:rPr>
          <w:rFonts w:ascii="Times New Roman" w:hAnsi="Times New Roman" w:eastAsia="方正黑体_GBK"/>
          <w:sz w:val="32"/>
          <w:szCs w:val="32"/>
        </w:rPr>
      </w:pPr>
      <w:r>
        <w:rPr>
          <w:rFonts w:hint="eastAsia" w:ascii="Times New Roman" w:hAnsi="Times New Roman" w:eastAsia="方正黑体_GBK"/>
          <w:sz w:val="32"/>
          <w:szCs w:val="32"/>
        </w:rPr>
        <w:t>九、</w:t>
      </w:r>
      <w:r>
        <w:rPr>
          <w:rFonts w:ascii="Times New Roman" w:hAnsi="Times New Roman" w:eastAsia="方正黑体_GBK"/>
          <w:sz w:val="32"/>
          <w:szCs w:val="32"/>
        </w:rPr>
        <w:t>实施时限</w:t>
      </w:r>
    </w:p>
    <w:p>
      <w:pPr>
        <w:spacing w:line="560" w:lineRule="exact"/>
        <w:ind w:firstLine="632" w:firstLineChars="200"/>
        <w:rPr>
          <w:szCs w:val="32"/>
        </w:rPr>
      </w:pPr>
      <w:r>
        <w:rPr>
          <w:kern w:val="0"/>
          <w:szCs w:val="32"/>
        </w:rPr>
        <w:t>本实施方案有效期为2021年12月起至2022年12月止</w:t>
      </w:r>
      <w:r>
        <w:rPr>
          <w:szCs w:val="32"/>
        </w:rPr>
        <w:t>。</w:t>
      </w:r>
    </w:p>
    <w:p>
      <w:pPr>
        <w:spacing w:line="520" w:lineRule="exact"/>
        <w:ind w:firstLine="632" w:firstLineChars="200"/>
        <w:rPr>
          <w:szCs w:val="32"/>
        </w:rPr>
      </w:pPr>
    </w:p>
    <w:sectPr>
      <w:footerReference r:id="rId3" w:type="default"/>
      <w:footerReference r:id="rId4" w:type="even"/>
      <w:pgSz w:w="11906" w:h="16838"/>
      <w:pgMar w:top="2098" w:right="1474" w:bottom="1984" w:left="1587" w:header="851" w:footer="1474" w:gutter="0"/>
      <w:cols w:space="72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rPr>
    </w:pP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2</w:t>
    </w:r>
    <w:r>
      <w:rPr>
        <w:rFonts w:ascii="宋体" w:hAnsi="宋体" w:eastAsia="宋体"/>
        <w:sz w:val="28"/>
      </w:rPr>
      <w:fldChar w:fldCharType="end"/>
    </w:r>
    <w:r>
      <w:rPr>
        <w:rFonts w:hint="eastAsia" w:ascii="宋体" w:hAnsi="宋体" w:eastAsia="宋体"/>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D1293"/>
    <w:multiLevelType w:val="singleLevel"/>
    <w:tmpl w:val="8C7D12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5"/>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Q5YjdiOTFiODJmYTdlYTM3NzJhNjg2NmY3Y2RkYjQifQ=="/>
  </w:docVars>
  <w:rsids>
    <w:rsidRoot w:val="00CE3AB1"/>
    <w:rsid w:val="00000382"/>
    <w:rsid w:val="000022FA"/>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656A"/>
    <w:rsid w:val="00037023"/>
    <w:rsid w:val="0004032B"/>
    <w:rsid w:val="000415C6"/>
    <w:rsid w:val="00041B53"/>
    <w:rsid w:val="00041E75"/>
    <w:rsid w:val="0004373C"/>
    <w:rsid w:val="00043866"/>
    <w:rsid w:val="00043AB3"/>
    <w:rsid w:val="00044F84"/>
    <w:rsid w:val="00045963"/>
    <w:rsid w:val="000460AE"/>
    <w:rsid w:val="000476FF"/>
    <w:rsid w:val="00051EA7"/>
    <w:rsid w:val="00053546"/>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397E"/>
    <w:rsid w:val="000749FB"/>
    <w:rsid w:val="000761F2"/>
    <w:rsid w:val="000767F3"/>
    <w:rsid w:val="00084781"/>
    <w:rsid w:val="000858A8"/>
    <w:rsid w:val="000901C2"/>
    <w:rsid w:val="00091529"/>
    <w:rsid w:val="00092A8A"/>
    <w:rsid w:val="0009670D"/>
    <w:rsid w:val="00096AB3"/>
    <w:rsid w:val="000A4164"/>
    <w:rsid w:val="000A7420"/>
    <w:rsid w:val="000A79DD"/>
    <w:rsid w:val="000B1CE9"/>
    <w:rsid w:val="000B2D8B"/>
    <w:rsid w:val="000B43B8"/>
    <w:rsid w:val="000B4781"/>
    <w:rsid w:val="000B51C5"/>
    <w:rsid w:val="000B5FDB"/>
    <w:rsid w:val="000B6951"/>
    <w:rsid w:val="000B6C65"/>
    <w:rsid w:val="000B7B3D"/>
    <w:rsid w:val="000C2038"/>
    <w:rsid w:val="000C2609"/>
    <w:rsid w:val="000C3C38"/>
    <w:rsid w:val="000C622A"/>
    <w:rsid w:val="000C6AF8"/>
    <w:rsid w:val="000C6B0C"/>
    <w:rsid w:val="000C6B21"/>
    <w:rsid w:val="000C702E"/>
    <w:rsid w:val="000C7DF8"/>
    <w:rsid w:val="000D0953"/>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E7FAA"/>
    <w:rsid w:val="000F045B"/>
    <w:rsid w:val="000F2923"/>
    <w:rsid w:val="000F51C7"/>
    <w:rsid w:val="000F54A2"/>
    <w:rsid w:val="00106917"/>
    <w:rsid w:val="00113397"/>
    <w:rsid w:val="0011527B"/>
    <w:rsid w:val="0011669C"/>
    <w:rsid w:val="00122F31"/>
    <w:rsid w:val="001230FC"/>
    <w:rsid w:val="00125E3B"/>
    <w:rsid w:val="0012609C"/>
    <w:rsid w:val="00126520"/>
    <w:rsid w:val="00127589"/>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4051"/>
    <w:rsid w:val="0015694C"/>
    <w:rsid w:val="00160E8A"/>
    <w:rsid w:val="00160F7A"/>
    <w:rsid w:val="00162036"/>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6DEF"/>
    <w:rsid w:val="0019716D"/>
    <w:rsid w:val="00197446"/>
    <w:rsid w:val="001975C3"/>
    <w:rsid w:val="001A0CE8"/>
    <w:rsid w:val="001A280B"/>
    <w:rsid w:val="001A35F7"/>
    <w:rsid w:val="001A368C"/>
    <w:rsid w:val="001A3C53"/>
    <w:rsid w:val="001A3EB5"/>
    <w:rsid w:val="001A3EDE"/>
    <w:rsid w:val="001A6240"/>
    <w:rsid w:val="001A7422"/>
    <w:rsid w:val="001A7BC4"/>
    <w:rsid w:val="001B1681"/>
    <w:rsid w:val="001B232E"/>
    <w:rsid w:val="001B236F"/>
    <w:rsid w:val="001B3C84"/>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AB4"/>
    <w:rsid w:val="00226F12"/>
    <w:rsid w:val="0023028B"/>
    <w:rsid w:val="002305BD"/>
    <w:rsid w:val="002316B7"/>
    <w:rsid w:val="00234DCB"/>
    <w:rsid w:val="00235010"/>
    <w:rsid w:val="00236D56"/>
    <w:rsid w:val="00237C0B"/>
    <w:rsid w:val="00237E75"/>
    <w:rsid w:val="002428FF"/>
    <w:rsid w:val="00242AFD"/>
    <w:rsid w:val="00245352"/>
    <w:rsid w:val="00245F32"/>
    <w:rsid w:val="00247742"/>
    <w:rsid w:val="002501FA"/>
    <w:rsid w:val="00251358"/>
    <w:rsid w:val="0025354C"/>
    <w:rsid w:val="00256678"/>
    <w:rsid w:val="002568FB"/>
    <w:rsid w:val="00257070"/>
    <w:rsid w:val="0026223F"/>
    <w:rsid w:val="0026233C"/>
    <w:rsid w:val="00263026"/>
    <w:rsid w:val="0026342D"/>
    <w:rsid w:val="00264224"/>
    <w:rsid w:val="00265878"/>
    <w:rsid w:val="002669DB"/>
    <w:rsid w:val="002678DD"/>
    <w:rsid w:val="00267B54"/>
    <w:rsid w:val="00270AF8"/>
    <w:rsid w:val="00271879"/>
    <w:rsid w:val="00275090"/>
    <w:rsid w:val="002802D2"/>
    <w:rsid w:val="00281BDD"/>
    <w:rsid w:val="002825F6"/>
    <w:rsid w:val="00282903"/>
    <w:rsid w:val="0028300F"/>
    <w:rsid w:val="00284939"/>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662"/>
    <w:rsid w:val="002C5979"/>
    <w:rsid w:val="002C667B"/>
    <w:rsid w:val="002C79F6"/>
    <w:rsid w:val="002D00D5"/>
    <w:rsid w:val="002D1241"/>
    <w:rsid w:val="002D1444"/>
    <w:rsid w:val="002D2AAD"/>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5789"/>
    <w:rsid w:val="00306347"/>
    <w:rsid w:val="003102BA"/>
    <w:rsid w:val="003123AA"/>
    <w:rsid w:val="00312B2A"/>
    <w:rsid w:val="00313459"/>
    <w:rsid w:val="00314E9E"/>
    <w:rsid w:val="003155DE"/>
    <w:rsid w:val="00315C61"/>
    <w:rsid w:val="00315E67"/>
    <w:rsid w:val="00316D18"/>
    <w:rsid w:val="00317A16"/>
    <w:rsid w:val="003203E3"/>
    <w:rsid w:val="00323594"/>
    <w:rsid w:val="003247B9"/>
    <w:rsid w:val="00325703"/>
    <w:rsid w:val="00326B29"/>
    <w:rsid w:val="00327FAD"/>
    <w:rsid w:val="00330574"/>
    <w:rsid w:val="003319E3"/>
    <w:rsid w:val="00331F3D"/>
    <w:rsid w:val="00332A67"/>
    <w:rsid w:val="00332CEF"/>
    <w:rsid w:val="00333F1D"/>
    <w:rsid w:val="00336B22"/>
    <w:rsid w:val="00336D04"/>
    <w:rsid w:val="00336FE1"/>
    <w:rsid w:val="00340685"/>
    <w:rsid w:val="003422A9"/>
    <w:rsid w:val="00342B1E"/>
    <w:rsid w:val="00344BEE"/>
    <w:rsid w:val="00346317"/>
    <w:rsid w:val="00350DEA"/>
    <w:rsid w:val="00352147"/>
    <w:rsid w:val="003527D0"/>
    <w:rsid w:val="003530C5"/>
    <w:rsid w:val="00355240"/>
    <w:rsid w:val="003570D8"/>
    <w:rsid w:val="00357D61"/>
    <w:rsid w:val="0036009E"/>
    <w:rsid w:val="00360684"/>
    <w:rsid w:val="00360E8E"/>
    <w:rsid w:val="003611A8"/>
    <w:rsid w:val="0036123E"/>
    <w:rsid w:val="00363066"/>
    <w:rsid w:val="0036468E"/>
    <w:rsid w:val="00371B13"/>
    <w:rsid w:val="00372810"/>
    <w:rsid w:val="00377038"/>
    <w:rsid w:val="003770C7"/>
    <w:rsid w:val="0037719B"/>
    <w:rsid w:val="00377685"/>
    <w:rsid w:val="00380BB0"/>
    <w:rsid w:val="00380D5A"/>
    <w:rsid w:val="00380EB5"/>
    <w:rsid w:val="0038208F"/>
    <w:rsid w:val="00382BD1"/>
    <w:rsid w:val="00384420"/>
    <w:rsid w:val="0038564B"/>
    <w:rsid w:val="003903E3"/>
    <w:rsid w:val="003913F0"/>
    <w:rsid w:val="00392691"/>
    <w:rsid w:val="00392F1C"/>
    <w:rsid w:val="003958FD"/>
    <w:rsid w:val="00395F25"/>
    <w:rsid w:val="003A09FD"/>
    <w:rsid w:val="003A13C7"/>
    <w:rsid w:val="003A29DE"/>
    <w:rsid w:val="003A3CA9"/>
    <w:rsid w:val="003A4168"/>
    <w:rsid w:val="003A5412"/>
    <w:rsid w:val="003A54DB"/>
    <w:rsid w:val="003A6062"/>
    <w:rsid w:val="003A7B14"/>
    <w:rsid w:val="003B3200"/>
    <w:rsid w:val="003B32E3"/>
    <w:rsid w:val="003B3D8A"/>
    <w:rsid w:val="003B42C6"/>
    <w:rsid w:val="003B4FE4"/>
    <w:rsid w:val="003B7CF3"/>
    <w:rsid w:val="003C0386"/>
    <w:rsid w:val="003C0792"/>
    <w:rsid w:val="003C0A11"/>
    <w:rsid w:val="003C0DA0"/>
    <w:rsid w:val="003C5813"/>
    <w:rsid w:val="003C5DAC"/>
    <w:rsid w:val="003C730F"/>
    <w:rsid w:val="003D0069"/>
    <w:rsid w:val="003D010F"/>
    <w:rsid w:val="003D3543"/>
    <w:rsid w:val="003D3ABF"/>
    <w:rsid w:val="003D5597"/>
    <w:rsid w:val="003D5CA0"/>
    <w:rsid w:val="003D60FC"/>
    <w:rsid w:val="003D61DD"/>
    <w:rsid w:val="003D7775"/>
    <w:rsid w:val="003E0FD8"/>
    <w:rsid w:val="003E4469"/>
    <w:rsid w:val="003F0225"/>
    <w:rsid w:val="003F1E11"/>
    <w:rsid w:val="003F3A72"/>
    <w:rsid w:val="003F440D"/>
    <w:rsid w:val="003F469B"/>
    <w:rsid w:val="003F4E5F"/>
    <w:rsid w:val="003F5E8A"/>
    <w:rsid w:val="003F7B65"/>
    <w:rsid w:val="004002C1"/>
    <w:rsid w:val="00401638"/>
    <w:rsid w:val="00401FD1"/>
    <w:rsid w:val="00406782"/>
    <w:rsid w:val="00407B6E"/>
    <w:rsid w:val="00410789"/>
    <w:rsid w:val="00411D13"/>
    <w:rsid w:val="00412BB8"/>
    <w:rsid w:val="00413A9C"/>
    <w:rsid w:val="004148F8"/>
    <w:rsid w:val="0041595F"/>
    <w:rsid w:val="00415A2B"/>
    <w:rsid w:val="00415B16"/>
    <w:rsid w:val="00416796"/>
    <w:rsid w:val="00416C1B"/>
    <w:rsid w:val="00416E30"/>
    <w:rsid w:val="00422B22"/>
    <w:rsid w:val="00422ED4"/>
    <w:rsid w:val="0042331F"/>
    <w:rsid w:val="00424683"/>
    <w:rsid w:val="00424EF8"/>
    <w:rsid w:val="0042580B"/>
    <w:rsid w:val="00426909"/>
    <w:rsid w:val="004271EF"/>
    <w:rsid w:val="00430559"/>
    <w:rsid w:val="004310AD"/>
    <w:rsid w:val="00432138"/>
    <w:rsid w:val="00432546"/>
    <w:rsid w:val="004329A8"/>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3DC"/>
    <w:rsid w:val="004A1974"/>
    <w:rsid w:val="004A1B93"/>
    <w:rsid w:val="004A22B3"/>
    <w:rsid w:val="004A276A"/>
    <w:rsid w:val="004A27F8"/>
    <w:rsid w:val="004A2DFF"/>
    <w:rsid w:val="004A31C4"/>
    <w:rsid w:val="004A3FA7"/>
    <w:rsid w:val="004A4E91"/>
    <w:rsid w:val="004A4FBD"/>
    <w:rsid w:val="004A5289"/>
    <w:rsid w:val="004A55B2"/>
    <w:rsid w:val="004A55BD"/>
    <w:rsid w:val="004A5A3E"/>
    <w:rsid w:val="004A7D73"/>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867"/>
    <w:rsid w:val="004E5B19"/>
    <w:rsid w:val="004E6476"/>
    <w:rsid w:val="004E6629"/>
    <w:rsid w:val="004F082D"/>
    <w:rsid w:val="004F2EF7"/>
    <w:rsid w:val="004F4E03"/>
    <w:rsid w:val="004F4E3A"/>
    <w:rsid w:val="004F4E6A"/>
    <w:rsid w:val="004F632C"/>
    <w:rsid w:val="00501FED"/>
    <w:rsid w:val="0050495F"/>
    <w:rsid w:val="00504D06"/>
    <w:rsid w:val="00505CF1"/>
    <w:rsid w:val="00506344"/>
    <w:rsid w:val="005063E2"/>
    <w:rsid w:val="00507367"/>
    <w:rsid w:val="005075C4"/>
    <w:rsid w:val="00511CF8"/>
    <w:rsid w:val="0051329B"/>
    <w:rsid w:val="00515062"/>
    <w:rsid w:val="00517738"/>
    <w:rsid w:val="00517C76"/>
    <w:rsid w:val="00521D36"/>
    <w:rsid w:val="00523D39"/>
    <w:rsid w:val="00525073"/>
    <w:rsid w:val="0052522F"/>
    <w:rsid w:val="00526832"/>
    <w:rsid w:val="00527BE2"/>
    <w:rsid w:val="00527C67"/>
    <w:rsid w:val="0053137C"/>
    <w:rsid w:val="0053488A"/>
    <w:rsid w:val="00534AB0"/>
    <w:rsid w:val="005355AE"/>
    <w:rsid w:val="00541744"/>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414"/>
    <w:rsid w:val="00590FF3"/>
    <w:rsid w:val="00591049"/>
    <w:rsid w:val="0059296C"/>
    <w:rsid w:val="005935FE"/>
    <w:rsid w:val="00593B26"/>
    <w:rsid w:val="00594305"/>
    <w:rsid w:val="00594FC3"/>
    <w:rsid w:val="00595909"/>
    <w:rsid w:val="00595EB6"/>
    <w:rsid w:val="005A1AB2"/>
    <w:rsid w:val="005A36D7"/>
    <w:rsid w:val="005A64F6"/>
    <w:rsid w:val="005B030E"/>
    <w:rsid w:val="005B0B78"/>
    <w:rsid w:val="005B0E4B"/>
    <w:rsid w:val="005B2CD4"/>
    <w:rsid w:val="005B3681"/>
    <w:rsid w:val="005C0B64"/>
    <w:rsid w:val="005C176B"/>
    <w:rsid w:val="005C21B7"/>
    <w:rsid w:val="005C31F3"/>
    <w:rsid w:val="005C361D"/>
    <w:rsid w:val="005C3DA5"/>
    <w:rsid w:val="005C5515"/>
    <w:rsid w:val="005C771F"/>
    <w:rsid w:val="005D06DD"/>
    <w:rsid w:val="005D322D"/>
    <w:rsid w:val="005D765C"/>
    <w:rsid w:val="005D78D1"/>
    <w:rsid w:val="005E093E"/>
    <w:rsid w:val="005E2129"/>
    <w:rsid w:val="005E4D94"/>
    <w:rsid w:val="005F01D9"/>
    <w:rsid w:val="005F0FDB"/>
    <w:rsid w:val="005F2796"/>
    <w:rsid w:val="005F4EF1"/>
    <w:rsid w:val="005F6171"/>
    <w:rsid w:val="005F7336"/>
    <w:rsid w:val="005F7C32"/>
    <w:rsid w:val="00601AEE"/>
    <w:rsid w:val="006056FD"/>
    <w:rsid w:val="00606B42"/>
    <w:rsid w:val="0060783F"/>
    <w:rsid w:val="00607B3F"/>
    <w:rsid w:val="00610419"/>
    <w:rsid w:val="00611EEE"/>
    <w:rsid w:val="00612373"/>
    <w:rsid w:val="00615CA2"/>
    <w:rsid w:val="006162DD"/>
    <w:rsid w:val="00616B00"/>
    <w:rsid w:val="00617191"/>
    <w:rsid w:val="00617CF7"/>
    <w:rsid w:val="0062121B"/>
    <w:rsid w:val="00621730"/>
    <w:rsid w:val="0062280C"/>
    <w:rsid w:val="006230A9"/>
    <w:rsid w:val="006231AB"/>
    <w:rsid w:val="00624641"/>
    <w:rsid w:val="0062542F"/>
    <w:rsid w:val="006265EB"/>
    <w:rsid w:val="0062703C"/>
    <w:rsid w:val="0062712C"/>
    <w:rsid w:val="006275AA"/>
    <w:rsid w:val="00627D3A"/>
    <w:rsid w:val="00631FFA"/>
    <w:rsid w:val="00632A4F"/>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60E8"/>
    <w:rsid w:val="00686117"/>
    <w:rsid w:val="006868FF"/>
    <w:rsid w:val="00687CBB"/>
    <w:rsid w:val="006912AB"/>
    <w:rsid w:val="006A0687"/>
    <w:rsid w:val="006A2A41"/>
    <w:rsid w:val="006A37F9"/>
    <w:rsid w:val="006A5983"/>
    <w:rsid w:val="006A6056"/>
    <w:rsid w:val="006A67E6"/>
    <w:rsid w:val="006A72DD"/>
    <w:rsid w:val="006A7719"/>
    <w:rsid w:val="006B0914"/>
    <w:rsid w:val="006B0CB0"/>
    <w:rsid w:val="006B2BBC"/>
    <w:rsid w:val="006B402B"/>
    <w:rsid w:val="006B42D1"/>
    <w:rsid w:val="006B52BB"/>
    <w:rsid w:val="006B678E"/>
    <w:rsid w:val="006B7E31"/>
    <w:rsid w:val="006C0FD2"/>
    <w:rsid w:val="006C10DA"/>
    <w:rsid w:val="006C36C2"/>
    <w:rsid w:val="006C6213"/>
    <w:rsid w:val="006C6C44"/>
    <w:rsid w:val="006C7961"/>
    <w:rsid w:val="006D1279"/>
    <w:rsid w:val="006D210F"/>
    <w:rsid w:val="006D2A94"/>
    <w:rsid w:val="006D2D18"/>
    <w:rsid w:val="006D32D7"/>
    <w:rsid w:val="006D39DB"/>
    <w:rsid w:val="006D3E0D"/>
    <w:rsid w:val="006D3FE7"/>
    <w:rsid w:val="006D4CBB"/>
    <w:rsid w:val="006D6265"/>
    <w:rsid w:val="006D7E39"/>
    <w:rsid w:val="006E35BD"/>
    <w:rsid w:val="006E3745"/>
    <w:rsid w:val="006E644B"/>
    <w:rsid w:val="006E65FF"/>
    <w:rsid w:val="006E75A6"/>
    <w:rsid w:val="006E765A"/>
    <w:rsid w:val="006E794F"/>
    <w:rsid w:val="006F0ECC"/>
    <w:rsid w:val="006F1165"/>
    <w:rsid w:val="006F2093"/>
    <w:rsid w:val="006F292D"/>
    <w:rsid w:val="006F3067"/>
    <w:rsid w:val="006F42C2"/>
    <w:rsid w:val="006F5B19"/>
    <w:rsid w:val="00700DB7"/>
    <w:rsid w:val="00701690"/>
    <w:rsid w:val="00701EE5"/>
    <w:rsid w:val="0070368B"/>
    <w:rsid w:val="007069BB"/>
    <w:rsid w:val="00711FF0"/>
    <w:rsid w:val="00712141"/>
    <w:rsid w:val="007144F4"/>
    <w:rsid w:val="007164B9"/>
    <w:rsid w:val="007164FB"/>
    <w:rsid w:val="00720E5B"/>
    <w:rsid w:val="00721D23"/>
    <w:rsid w:val="00721FD5"/>
    <w:rsid w:val="007231D3"/>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87B7A"/>
    <w:rsid w:val="007916DF"/>
    <w:rsid w:val="0079195B"/>
    <w:rsid w:val="007919A3"/>
    <w:rsid w:val="00791C06"/>
    <w:rsid w:val="0079556B"/>
    <w:rsid w:val="007959AF"/>
    <w:rsid w:val="00796335"/>
    <w:rsid w:val="007A00C5"/>
    <w:rsid w:val="007A0E2B"/>
    <w:rsid w:val="007A1B95"/>
    <w:rsid w:val="007A243D"/>
    <w:rsid w:val="007A3691"/>
    <w:rsid w:val="007A3C9B"/>
    <w:rsid w:val="007A46C8"/>
    <w:rsid w:val="007A493E"/>
    <w:rsid w:val="007A4D7E"/>
    <w:rsid w:val="007A61AE"/>
    <w:rsid w:val="007A6CE0"/>
    <w:rsid w:val="007A73F1"/>
    <w:rsid w:val="007A7771"/>
    <w:rsid w:val="007A7B33"/>
    <w:rsid w:val="007A7E11"/>
    <w:rsid w:val="007B0A9C"/>
    <w:rsid w:val="007B174C"/>
    <w:rsid w:val="007B1F4F"/>
    <w:rsid w:val="007B23BB"/>
    <w:rsid w:val="007B244B"/>
    <w:rsid w:val="007B3344"/>
    <w:rsid w:val="007B3D6D"/>
    <w:rsid w:val="007B407E"/>
    <w:rsid w:val="007B4F58"/>
    <w:rsid w:val="007B5B7E"/>
    <w:rsid w:val="007C1885"/>
    <w:rsid w:val="007C1BA0"/>
    <w:rsid w:val="007C1C0A"/>
    <w:rsid w:val="007C3278"/>
    <w:rsid w:val="007C3A3B"/>
    <w:rsid w:val="007C41E1"/>
    <w:rsid w:val="007C4A27"/>
    <w:rsid w:val="007C63C4"/>
    <w:rsid w:val="007C67A8"/>
    <w:rsid w:val="007C6A57"/>
    <w:rsid w:val="007C6C10"/>
    <w:rsid w:val="007D4241"/>
    <w:rsid w:val="007D493E"/>
    <w:rsid w:val="007D49BB"/>
    <w:rsid w:val="007D50E5"/>
    <w:rsid w:val="007D5AE9"/>
    <w:rsid w:val="007D74B7"/>
    <w:rsid w:val="007E01E1"/>
    <w:rsid w:val="007E04A2"/>
    <w:rsid w:val="007E0DD6"/>
    <w:rsid w:val="007E25A3"/>
    <w:rsid w:val="007E2840"/>
    <w:rsid w:val="007E4AD3"/>
    <w:rsid w:val="007E7945"/>
    <w:rsid w:val="007F2486"/>
    <w:rsid w:val="007F7679"/>
    <w:rsid w:val="007F796B"/>
    <w:rsid w:val="0080486D"/>
    <w:rsid w:val="0080501B"/>
    <w:rsid w:val="00805493"/>
    <w:rsid w:val="008073F7"/>
    <w:rsid w:val="00812E71"/>
    <w:rsid w:val="008149ED"/>
    <w:rsid w:val="008156EE"/>
    <w:rsid w:val="00817841"/>
    <w:rsid w:val="008203D2"/>
    <w:rsid w:val="00820AB7"/>
    <w:rsid w:val="0082111A"/>
    <w:rsid w:val="00821D6E"/>
    <w:rsid w:val="00823BB0"/>
    <w:rsid w:val="00824D32"/>
    <w:rsid w:val="00826C16"/>
    <w:rsid w:val="0083061C"/>
    <w:rsid w:val="00830995"/>
    <w:rsid w:val="008310EE"/>
    <w:rsid w:val="008322B8"/>
    <w:rsid w:val="00832878"/>
    <w:rsid w:val="00832B54"/>
    <w:rsid w:val="00832ECA"/>
    <w:rsid w:val="008339C6"/>
    <w:rsid w:val="00833A27"/>
    <w:rsid w:val="00833BD0"/>
    <w:rsid w:val="008361FB"/>
    <w:rsid w:val="00836356"/>
    <w:rsid w:val="00836DD7"/>
    <w:rsid w:val="008374B1"/>
    <w:rsid w:val="00837A0C"/>
    <w:rsid w:val="00840B80"/>
    <w:rsid w:val="00841C7D"/>
    <w:rsid w:val="00842651"/>
    <w:rsid w:val="00843D0D"/>
    <w:rsid w:val="008447C2"/>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678A5"/>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3B7"/>
    <w:rsid w:val="00895441"/>
    <w:rsid w:val="00896FDD"/>
    <w:rsid w:val="00897AE2"/>
    <w:rsid w:val="008A1198"/>
    <w:rsid w:val="008A16C7"/>
    <w:rsid w:val="008A1FC1"/>
    <w:rsid w:val="008A2069"/>
    <w:rsid w:val="008A31AB"/>
    <w:rsid w:val="008A3431"/>
    <w:rsid w:val="008A37BF"/>
    <w:rsid w:val="008A4020"/>
    <w:rsid w:val="008A49C9"/>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D40BF"/>
    <w:rsid w:val="008D4E6D"/>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5FB"/>
    <w:rsid w:val="009275E5"/>
    <w:rsid w:val="0093094B"/>
    <w:rsid w:val="009312AE"/>
    <w:rsid w:val="00932605"/>
    <w:rsid w:val="009343FB"/>
    <w:rsid w:val="009355C6"/>
    <w:rsid w:val="00935F67"/>
    <w:rsid w:val="00935FDB"/>
    <w:rsid w:val="0093693A"/>
    <w:rsid w:val="00937477"/>
    <w:rsid w:val="00937A22"/>
    <w:rsid w:val="00940C90"/>
    <w:rsid w:val="00942013"/>
    <w:rsid w:val="00942282"/>
    <w:rsid w:val="009429E4"/>
    <w:rsid w:val="00942C6C"/>
    <w:rsid w:val="0094338D"/>
    <w:rsid w:val="0094342A"/>
    <w:rsid w:val="00944A1B"/>
    <w:rsid w:val="00952FF8"/>
    <w:rsid w:val="0095359D"/>
    <w:rsid w:val="0095412D"/>
    <w:rsid w:val="009565C1"/>
    <w:rsid w:val="00956B7F"/>
    <w:rsid w:val="00960845"/>
    <w:rsid w:val="009608AB"/>
    <w:rsid w:val="00960CBA"/>
    <w:rsid w:val="009636F2"/>
    <w:rsid w:val="00963F82"/>
    <w:rsid w:val="009645A2"/>
    <w:rsid w:val="009671F5"/>
    <w:rsid w:val="009677B5"/>
    <w:rsid w:val="00967A48"/>
    <w:rsid w:val="00971B4F"/>
    <w:rsid w:val="009738C6"/>
    <w:rsid w:val="00974482"/>
    <w:rsid w:val="00974996"/>
    <w:rsid w:val="009766D9"/>
    <w:rsid w:val="00976D3F"/>
    <w:rsid w:val="009778FB"/>
    <w:rsid w:val="00982188"/>
    <w:rsid w:val="0098484C"/>
    <w:rsid w:val="00990553"/>
    <w:rsid w:val="00991F30"/>
    <w:rsid w:val="009925E8"/>
    <w:rsid w:val="0099578F"/>
    <w:rsid w:val="009A0002"/>
    <w:rsid w:val="009A0286"/>
    <w:rsid w:val="009A17CF"/>
    <w:rsid w:val="009A2369"/>
    <w:rsid w:val="009A326B"/>
    <w:rsid w:val="009A5FAA"/>
    <w:rsid w:val="009A7438"/>
    <w:rsid w:val="009B0912"/>
    <w:rsid w:val="009B1CD0"/>
    <w:rsid w:val="009B3011"/>
    <w:rsid w:val="009B3F6C"/>
    <w:rsid w:val="009B4213"/>
    <w:rsid w:val="009B51B7"/>
    <w:rsid w:val="009B5ABC"/>
    <w:rsid w:val="009C48DC"/>
    <w:rsid w:val="009C7F74"/>
    <w:rsid w:val="009D07B0"/>
    <w:rsid w:val="009D089F"/>
    <w:rsid w:val="009D15D5"/>
    <w:rsid w:val="009D1802"/>
    <w:rsid w:val="009D3705"/>
    <w:rsid w:val="009D3C49"/>
    <w:rsid w:val="009D3DCE"/>
    <w:rsid w:val="009E00A7"/>
    <w:rsid w:val="009E1DFA"/>
    <w:rsid w:val="009E1FEE"/>
    <w:rsid w:val="009E2A91"/>
    <w:rsid w:val="009E32E7"/>
    <w:rsid w:val="009E3A41"/>
    <w:rsid w:val="009E4331"/>
    <w:rsid w:val="009E7151"/>
    <w:rsid w:val="009E7872"/>
    <w:rsid w:val="009E7A1D"/>
    <w:rsid w:val="009E7DBD"/>
    <w:rsid w:val="009F4DE8"/>
    <w:rsid w:val="009F52B4"/>
    <w:rsid w:val="009F6DBF"/>
    <w:rsid w:val="00A00825"/>
    <w:rsid w:val="00A01204"/>
    <w:rsid w:val="00A03A5F"/>
    <w:rsid w:val="00A03D46"/>
    <w:rsid w:val="00A0508B"/>
    <w:rsid w:val="00A05B28"/>
    <w:rsid w:val="00A06A61"/>
    <w:rsid w:val="00A077E7"/>
    <w:rsid w:val="00A14364"/>
    <w:rsid w:val="00A14577"/>
    <w:rsid w:val="00A14D9B"/>
    <w:rsid w:val="00A14DDA"/>
    <w:rsid w:val="00A167FB"/>
    <w:rsid w:val="00A21876"/>
    <w:rsid w:val="00A21BAC"/>
    <w:rsid w:val="00A23BA5"/>
    <w:rsid w:val="00A26337"/>
    <w:rsid w:val="00A26F75"/>
    <w:rsid w:val="00A307AE"/>
    <w:rsid w:val="00A31C9B"/>
    <w:rsid w:val="00A322EF"/>
    <w:rsid w:val="00A32DC7"/>
    <w:rsid w:val="00A335C8"/>
    <w:rsid w:val="00A34CCD"/>
    <w:rsid w:val="00A34E90"/>
    <w:rsid w:val="00A376C8"/>
    <w:rsid w:val="00A378F3"/>
    <w:rsid w:val="00A37CF3"/>
    <w:rsid w:val="00A42CC0"/>
    <w:rsid w:val="00A43770"/>
    <w:rsid w:val="00A475F1"/>
    <w:rsid w:val="00A47AAA"/>
    <w:rsid w:val="00A51228"/>
    <w:rsid w:val="00A5130D"/>
    <w:rsid w:val="00A51842"/>
    <w:rsid w:val="00A51AA8"/>
    <w:rsid w:val="00A54BC8"/>
    <w:rsid w:val="00A55473"/>
    <w:rsid w:val="00A56F21"/>
    <w:rsid w:val="00A607D0"/>
    <w:rsid w:val="00A60EDC"/>
    <w:rsid w:val="00A621AE"/>
    <w:rsid w:val="00A62796"/>
    <w:rsid w:val="00A62E0E"/>
    <w:rsid w:val="00A64F69"/>
    <w:rsid w:val="00A65D57"/>
    <w:rsid w:val="00A65FE0"/>
    <w:rsid w:val="00A66CD1"/>
    <w:rsid w:val="00A67198"/>
    <w:rsid w:val="00A67B42"/>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0968"/>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2657E"/>
    <w:rsid w:val="00B31576"/>
    <w:rsid w:val="00B31AEC"/>
    <w:rsid w:val="00B33937"/>
    <w:rsid w:val="00B363E3"/>
    <w:rsid w:val="00B370B3"/>
    <w:rsid w:val="00B37873"/>
    <w:rsid w:val="00B40EC6"/>
    <w:rsid w:val="00B4167D"/>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0523"/>
    <w:rsid w:val="00BB19CE"/>
    <w:rsid w:val="00BB2065"/>
    <w:rsid w:val="00BB403C"/>
    <w:rsid w:val="00BB4E1C"/>
    <w:rsid w:val="00BC18BD"/>
    <w:rsid w:val="00BC1FCD"/>
    <w:rsid w:val="00BC36E9"/>
    <w:rsid w:val="00BC3715"/>
    <w:rsid w:val="00BC5266"/>
    <w:rsid w:val="00BC5BFA"/>
    <w:rsid w:val="00BC67BD"/>
    <w:rsid w:val="00BC6EAF"/>
    <w:rsid w:val="00BC7B0A"/>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4844"/>
    <w:rsid w:val="00C0530B"/>
    <w:rsid w:val="00C068AF"/>
    <w:rsid w:val="00C07EF2"/>
    <w:rsid w:val="00C10869"/>
    <w:rsid w:val="00C10C4D"/>
    <w:rsid w:val="00C11290"/>
    <w:rsid w:val="00C13742"/>
    <w:rsid w:val="00C13F06"/>
    <w:rsid w:val="00C1618C"/>
    <w:rsid w:val="00C162AC"/>
    <w:rsid w:val="00C16C53"/>
    <w:rsid w:val="00C20921"/>
    <w:rsid w:val="00C2092F"/>
    <w:rsid w:val="00C219A6"/>
    <w:rsid w:val="00C22CAC"/>
    <w:rsid w:val="00C2344D"/>
    <w:rsid w:val="00C23DF4"/>
    <w:rsid w:val="00C24086"/>
    <w:rsid w:val="00C24B80"/>
    <w:rsid w:val="00C259E3"/>
    <w:rsid w:val="00C321A7"/>
    <w:rsid w:val="00C33CAD"/>
    <w:rsid w:val="00C3502E"/>
    <w:rsid w:val="00C373AE"/>
    <w:rsid w:val="00C40344"/>
    <w:rsid w:val="00C4048E"/>
    <w:rsid w:val="00C4121F"/>
    <w:rsid w:val="00C41547"/>
    <w:rsid w:val="00C41F3F"/>
    <w:rsid w:val="00C436F3"/>
    <w:rsid w:val="00C43896"/>
    <w:rsid w:val="00C4461E"/>
    <w:rsid w:val="00C44B4C"/>
    <w:rsid w:val="00C45EAC"/>
    <w:rsid w:val="00C46540"/>
    <w:rsid w:val="00C50448"/>
    <w:rsid w:val="00C5060F"/>
    <w:rsid w:val="00C50670"/>
    <w:rsid w:val="00C506EA"/>
    <w:rsid w:val="00C512E0"/>
    <w:rsid w:val="00C51825"/>
    <w:rsid w:val="00C52073"/>
    <w:rsid w:val="00C52331"/>
    <w:rsid w:val="00C527CD"/>
    <w:rsid w:val="00C609E9"/>
    <w:rsid w:val="00C61B0B"/>
    <w:rsid w:val="00C61F68"/>
    <w:rsid w:val="00C62314"/>
    <w:rsid w:val="00C633D2"/>
    <w:rsid w:val="00C63AE6"/>
    <w:rsid w:val="00C700EA"/>
    <w:rsid w:val="00C74178"/>
    <w:rsid w:val="00C81540"/>
    <w:rsid w:val="00C81BA6"/>
    <w:rsid w:val="00C820D0"/>
    <w:rsid w:val="00C82214"/>
    <w:rsid w:val="00C82969"/>
    <w:rsid w:val="00C86093"/>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3ED4"/>
    <w:rsid w:val="00CA40B0"/>
    <w:rsid w:val="00CA4138"/>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0867"/>
    <w:rsid w:val="00CE21FB"/>
    <w:rsid w:val="00CE2CA5"/>
    <w:rsid w:val="00CE2DB9"/>
    <w:rsid w:val="00CE3AB1"/>
    <w:rsid w:val="00CE4C45"/>
    <w:rsid w:val="00CE70F4"/>
    <w:rsid w:val="00CF3694"/>
    <w:rsid w:val="00CF4BFB"/>
    <w:rsid w:val="00CF64DE"/>
    <w:rsid w:val="00D003A7"/>
    <w:rsid w:val="00D009F4"/>
    <w:rsid w:val="00D01BBC"/>
    <w:rsid w:val="00D027B7"/>
    <w:rsid w:val="00D04A3B"/>
    <w:rsid w:val="00D0591C"/>
    <w:rsid w:val="00D059C4"/>
    <w:rsid w:val="00D067F1"/>
    <w:rsid w:val="00D06CD4"/>
    <w:rsid w:val="00D10662"/>
    <w:rsid w:val="00D1292F"/>
    <w:rsid w:val="00D149EA"/>
    <w:rsid w:val="00D17447"/>
    <w:rsid w:val="00D17BCF"/>
    <w:rsid w:val="00D20DE3"/>
    <w:rsid w:val="00D2106F"/>
    <w:rsid w:val="00D266AA"/>
    <w:rsid w:val="00D2753C"/>
    <w:rsid w:val="00D31737"/>
    <w:rsid w:val="00D317CE"/>
    <w:rsid w:val="00D3260C"/>
    <w:rsid w:val="00D32E49"/>
    <w:rsid w:val="00D32EB9"/>
    <w:rsid w:val="00D33693"/>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77CF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A4"/>
    <w:rsid w:val="00DA35B9"/>
    <w:rsid w:val="00DA478B"/>
    <w:rsid w:val="00DA4A04"/>
    <w:rsid w:val="00DB09F4"/>
    <w:rsid w:val="00DB1E63"/>
    <w:rsid w:val="00DB2EB6"/>
    <w:rsid w:val="00DB347E"/>
    <w:rsid w:val="00DB58A0"/>
    <w:rsid w:val="00DB58CB"/>
    <w:rsid w:val="00DB61FF"/>
    <w:rsid w:val="00DB631C"/>
    <w:rsid w:val="00DB69B6"/>
    <w:rsid w:val="00DB6DC6"/>
    <w:rsid w:val="00DB7B65"/>
    <w:rsid w:val="00DC011E"/>
    <w:rsid w:val="00DC0EA1"/>
    <w:rsid w:val="00DC5A62"/>
    <w:rsid w:val="00DC69E4"/>
    <w:rsid w:val="00DD02F6"/>
    <w:rsid w:val="00DD19A5"/>
    <w:rsid w:val="00DD3D7D"/>
    <w:rsid w:val="00DD517B"/>
    <w:rsid w:val="00DD5BEF"/>
    <w:rsid w:val="00DD5EBE"/>
    <w:rsid w:val="00DE0422"/>
    <w:rsid w:val="00DE0530"/>
    <w:rsid w:val="00DE05A3"/>
    <w:rsid w:val="00DE0DF8"/>
    <w:rsid w:val="00DE4389"/>
    <w:rsid w:val="00DE43AF"/>
    <w:rsid w:val="00DE4C9C"/>
    <w:rsid w:val="00DE6815"/>
    <w:rsid w:val="00DF0E0A"/>
    <w:rsid w:val="00DF1864"/>
    <w:rsid w:val="00DF1DBE"/>
    <w:rsid w:val="00DF4C16"/>
    <w:rsid w:val="00DF66B4"/>
    <w:rsid w:val="00DF7206"/>
    <w:rsid w:val="00E024B3"/>
    <w:rsid w:val="00E0443C"/>
    <w:rsid w:val="00E06582"/>
    <w:rsid w:val="00E07241"/>
    <w:rsid w:val="00E076A9"/>
    <w:rsid w:val="00E13489"/>
    <w:rsid w:val="00E14E9B"/>
    <w:rsid w:val="00E15DFA"/>
    <w:rsid w:val="00E20280"/>
    <w:rsid w:val="00E22566"/>
    <w:rsid w:val="00E30C6E"/>
    <w:rsid w:val="00E31A4F"/>
    <w:rsid w:val="00E356F8"/>
    <w:rsid w:val="00E3733F"/>
    <w:rsid w:val="00E375C2"/>
    <w:rsid w:val="00E4144F"/>
    <w:rsid w:val="00E435D2"/>
    <w:rsid w:val="00E441D3"/>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77544"/>
    <w:rsid w:val="00E81D50"/>
    <w:rsid w:val="00E834CC"/>
    <w:rsid w:val="00E84742"/>
    <w:rsid w:val="00E8643F"/>
    <w:rsid w:val="00E86740"/>
    <w:rsid w:val="00E90435"/>
    <w:rsid w:val="00E922C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0CE"/>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0B11"/>
    <w:rsid w:val="00EF2CE5"/>
    <w:rsid w:val="00EF3886"/>
    <w:rsid w:val="00EF7852"/>
    <w:rsid w:val="00F00CD2"/>
    <w:rsid w:val="00F010BE"/>
    <w:rsid w:val="00F016F6"/>
    <w:rsid w:val="00F051E3"/>
    <w:rsid w:val="00F061FF"/>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1398"/>
    <w:rsid w:val="00F44932"/>
    <w:rsid w:val="00F4630A"/>
    <w:rsid w:val="00F46CA7"/>
    <w:rsid w:val="00F47D50"/>
    <w:rsid w:val="00F52CC4"/>
    <w:rsid w:val="00F53B51"/>
    <w:rsid w:val="00F54212"/>
    <w:rsid w:val="00F56DB0"/>
    <w:rsid w:val="00F60282"/>
    <w:rsid w:val="00F654FA"/>
    <w:rsid w:val="00F66E71"/>
    <w:rsid w:val="00F67537"/>
    <w:rsid w:val="00F67769"/>
    <w:rsid w:val="00F67AF9"/>
    <w:rsid w:val="00F7023B"/>
    <w:rsid w:val="00F7348A"/>
    <w:rsid w:val="00F73653"/>
    <w:rsid w:val="00F758DF"/>
    <w:rsid w:val="00F76CB0"/>
    <w:rsid w:val="00F76DF5"/>
    <w:rsid w:val="00F7733F"/>
    <w:rsid w:val="00F81A1F"/>
    <w:rsid w:val="00F82061"/>
    <w:rsid w:val="00F82C7D"/>
    <w:rsid w:val="00F85A25"/>
    <w:rsid w:val="00F85BAC"/>
    <w:rsid w:val="00F87669"/>
    <w:rsid w:val="00F87913"/>
    <w:rsid w:val="00F90088"/>
    <w:rsid w:val="00F91709"/>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1E64"/>
    <w:rsid w:val="00FB2049"/>
    <w:rsid w:val="00FB2CCC"/>
    <w:rsid w:val="00FB30B9"/>
    <w:rsid w:val="00FB45D2"/>
    <w:rsid w:val="00FB4F04"/>
    <w:rsid w:val="00FB50D8"/>
    <w:rsid w:val="00FB6857"/>
    <w:rsid w:val="00FB7547"/>
    <w:rsid w:val="00FC02D5"/>
    <w:rsid w:val="00FC0A73"/>
    <w:rsid w:val="00FC12A9"/>
    <w:rsid w:val="00FC1496"/>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097"/>
    <w:rsid w:val="00FD371D"/>
    <w:rsid w:val="00FD3A28"/>
    <w:rsid w:val="00FD423B"/>
    <w:rsid w:val="00FD5F7F"/>
    <w:rsid w:val="00FD67EC"/>
    <w:rsid w:val="00FE0C99"/>
    <w:rsid w:val="00FE0FC6"/>
    <w:rsid w:val="00FE5C93"/>
    <w:rsid w:val="00FE5EF8"/>
    <w:rsid w:val="00FF4347"/>
    <w:rsid w:val="00FF43E0"/>
    <w:rsid w:val="00FF464C"/>
    <w:rsid w:val="00FF4C39"/>
    <w:rsid w:val="15C45FAC"/>
    <w:rsid w:val="194F2A50"/>
    <w:rsid w:val="3C7F0AD9"/>
    <w:rsid w:val="75E751C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uiPriority w:val="99"/>
    <w:pPr>
      <w:ind w:left="100" w:leftChars="100" w:right="100" w:rightChars="100"/>
    </w:pPr>
    <w:rPr>
      <w:rFonts w:eastAsia="宋体"/>
      <w:sz w:val="21"/>
      <w:szCs w:val="24"/>
    </w:rPr>
  </w:style>
  <w:style w:type="paragraph" w:styleId="3">
    <w:name w:val="Plain Text"/>
    <w:basedOn w:val="1"/>
    <w:link w:val="16"/>
    <w:qFormat/>
    <w:uiPriority w:val="0"/>
    <w:rPr>
      <w:rFonts w:ascii="宋体" w:hAnsi="Courier New" w:eastAsia="宋体"/>
      <w:sz w:val="21"/>
      <w:szCs w:val="21"/>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12"/>
    <w:uiPriority w:val="99"/>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character" w:styleId="10">
    <w:name w:val="page number"/>
    <w:basedOn w:val="9"/>
    <w:qFormat/>
    <w:uiPriority w:val="0"/>
  </w:style>
  <w:style w:type="paragraph" w:customStyle="1" w:styleId="11">
    <w:name w:val="p0"/>
    <w:basedOn w:val="1"/>
    <w:uiPriority w:val="0"/>
    <w:pPr>
      <w:widowControl/>
    </w:pPr>
    <w:rPr>
      <w:rFonts w:eastAsia="宋体"/>
      <w:kern w:val="0"/>
      <w:sz w:val="21"/>
      <w:szCs w:val="21"/>
    </w:rPr>
  </w:style>
  <w:style w:type="character" w:customStyle="1" w:styleId="12">
    <w:name w:val="页脚 Char"/>
    <w:basedOn w:val="9"/>
    <w:link w:val="6"/>
    <w:uiPriority w:val="99"/>
    <w:rPr>
      <w:rFonts w:eastAsia="方正仿宋_GBK"/>
      <w:kern w:val="2"/>
      <w:sz w:val="18"/>
    </w:rPr>
  </w:style>
  <w:style w:type="character" w:customStyle="1" w:styleId="13">
    <w:name w:val="正文文本 Char"/>
    <w:basedOn w:val="9"/>
    <w:link w:val="2"/>
    <w:uiPriority w:val="99"/>
    <w:rPr>
      <w:kern w:val="2"/>
      <w:sz w:val="21"/>
      <w:szCs w:val="24"/>
    </w:rPr>
  </w:style>
  <w:style w:type="paragraph" w:customStyle="1" w:styleId="14">
    <w:name w:val="Default"/>
    <w:next w:val="1"/>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5">
    <w:name w:val="纯文本 Char"/>
    <w:link w:val="3"/>
    <w:qFormat/>
    <w:uiPriority w:val="0"/>
    <w:rPr>
      <w:rFonts w:ascii="宋体" w:hAnsi="Courier New" w:cs="Courier New"/>
      <w:kern w:val="2"/>
      <w:sz w:val="21"/>
      <w:szCs w:val="21"/>
    </w:rPr>
  </w:style>
  <w:style w:type="character" w:customStyle="1" w:styleId="16">
    <w:name w:val="纯文本 Char1"/>
    <w:basedOn w:val="9"/>
    <w:link w:val="3"/>
    <w:uiPriority w:val="0"/>
    <w:rPr>
      <w:rFonts w:ascii="宋体" w:hAnsi="Courier New" w:cs="Courier New"/>
      <w:kern w:val="2"/>
      <w:sz w:val="21"/>
      <w:szCs w:val="21"/>
    </w:rPr>
  </w:style>
  <w:style w:type="paragraph" w:customStyle="1" w:styleId="17">
    <w:name w:val="BodyText"/>
    <w:basedOn w:val="1"/>
    <w:qFormat/>
    <w:uiPriority w:val="0"/>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3396</Words>
  <Characters>3509</Characters>
  <Lines>27</Lines>
  <Paragraphs>7</Paragraphs>
  <TotalTime>1</TotalTime>
  <ScaleCrop>false</ScaleCrop>
  <LinksUpToDate>false</LinksUpToDate>
  <CharactersWithSpaces>3511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2022-06-06T06:19:00Z</dcterms:created>
  <dc:creator>Lenovo User</dc:creator>
  <cp:lastModifiedBy>陈敏</cp:lastModifiedBy>
  <cp:lastPrinted>2022-06-06T03:16:00Z</cp:lastPrinted>
  <dcterms:modified xsi:type="dcterms:W3CDTF">2022-06-10T02:03:17Z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FB650957C160474997959F04FABAC210</vt:lpwstr>
  </property>
</Properties>
</file>