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AutoShape 2" o:spid="_x0000_s1026" o:spt="136" type="#_x0000_t136" style="position:absolute;left:0pt;margin-top:99.25pt;height:52.45pt;width:411pt;mso-position-horizontal:center;mso-position-horizontal-relative:margin;mso-position-vertical-relative:margin;z-index:251659264;mso-width-relative:page;mso-height-relative:page;" fillcolor="#FF0000" filled="t" stroked="f" coordsize="21600,21600">
            <v:path/>
            <v:fill on="t" focussize="0,0"/>
            <v:stroke on="f"/>
            <v:imagedata o:title=""/>
            <o:lock v:ext="edit" text="f"/>
            <v:textpath on="t" fitshape="t" fitpath="t" trim="t" xscale="f" string="重庆市黔江区商务委员会文件" style="font-family:方正小标宋_GBK;font-size:36pt;font-weight:bold;v-text-align:center;"/>
          </v:shape>
        </w:pict>
      </w:r>
    </w:p>
    <w:p/>
    <w:p/>
    <w:p/>
    <w:p/>
    <w:p/>
    <w:p/>
    <w:p/>
    <w:p/>
    <w:p/>
    <w:p>
      <w:pPr>
        <w:jc w:val="center"/>
      </w:pPr>
    </w:p>
    <w:p>
      <w:pPr>
        <w:spacing w:line="579" w:lineRule="exact"/>
      </w:pPr>
      <w: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90805</wp:posOffset>
                </wp:positionV>
                <wp:extent cx="5572125" cy="367665"/>
                <wp:effectExtent l="0" t="0" r="0" b="0"/>
                <wp:wrapNone/>
                <wp:docPr id="1" name="Rectangle 6"/>
                <wp:cNvGraphicFramePr/>
                <a:graphic xmlns:a="http://schemas.openxmlformats.org/drawingml/2006/main">
                  <a:graphicData uri="http://schemas.microsoft.com/office/word/2010/wordprocessingShape">
                    <wps:wsp>
                      <wps:cNvSpPr/>
                      <wps:spPr>
                        <a:xfrm>
                          <a:off x="0" y="0"/>
                          <a:ext cx="5572125" cy="367665"/>
                        </a:xfrm>
                        <a:prstGeom prst="rect">
                          <a:avLst/>
                        </a:prstGeom>
                        <a:noFill/>
                        <a:ln>
                          <a:noFill/>
                        </a:ln>
                      </wps:spPr>
                      <wps:txbx>
                        <w:txbxContent>
                          <w:p>
                            <w:pPr>
                              <w:jc w:val="center"/>
                            </w:pPr>
                            <w:r>
                              <w:rPr>
                                <w:rFonts w:hint="eastAsia" w:ascii="方正仿宋_GBK"/>
                              </w:rPr>
                              <w:t>黔江商务</w:t>
                            </w:r>
                            <w:r>
                              <w:t>发〔20</w:t>
                            </w:r>
                            <w:r>
                              <w:rPr>
                                <w:rFonts w:hint="eastAsia"/>
                              </w:rPr>
                              <w:t>22</w:t>
                            </w:r>
                            <w:r>
                              <w:t>〕</w:t>
                            </w:r>
                            <w:r>
                              <w:rPr>
                                <w:rFonts w:hint="eastAsia"/>
                                <w:lang w:val="en-US" w:eastAsia="zh-CN"/>
                              </w:rPr>
                              <w:t>54</w:t>
                            </w:r>
                            <w:r>
                              <w:t>号</w:t>
                            </w:r>
                          </w:p>
                        </w:txbxContent>
                      </wps:txbx>
                      <wps:bodyPr upright="true"/>
                    </wps:wsp>
                  </a:graphicData>
                </a:graphic>
              </wp:anchor>
            </w:drawing>
          </mc:Choice>
          <mc:Fallback>
            <w:pict>
              <v:rect id="Rectangle 6" o:spid="_x0000_s1026" o:spt="1" style="position:absolute;left:0pt;margin-left:-3.1pt;margin-top:7.15pt;height:28.95pt;width:438.75pt;z-index:251659264;mso-width-relative:page;mso-height-relative:page;" filled="f" stroked="f" coordsize="21600,21600" o:gfxdata="UEsFBgAAAAAAAAAAAAAAAAAAAAAAAFBLAwQKAAAAAACHTuJAAAAAAAAAAAAAAAAABAAAAGRycy9Q&#10;SwMEFAAAAAgAh07iQKwli6faAAAACAEAAA8AAABkcnMvZG93bnJldi54bWxNj0FPwkAQhe8k/IfN&#10;mHghsG01QGq3HEiIxJgQi3JeumPb2J0t3aXFf+940tvMvJc338s2N9uKAXvfOFIQLyIQSKUzDVUK&#10;3o+7+RqED5qMbh2hgm/0sMmnk0ynxo30hkMRKsEh5FOtoA6hS6X0ZY1W+4XrkFj7dL3Vgde+kqbX&#10;I4fbViZRtJRWN8Qfat3htsbyq7haBWN5GE7H12d5mJ32ji77y7b4eFHq/i6OnkAEvIU/M/ziMzrk&#10;zHR2VzJetArmy4SdfH98AMH6ehXzcFawShKQeSb/F8h/AFBLAwQUAAAACACHTuJAelFgc38BAAD5&#10;AgAADgAAAGRycy9lMm9Eb2MueG1srVLLbtswELwX6D8QvNe0HVgpBMu5BMklSIOm/QCaWkoE+MKS&#10;tuS/75J2nT5uQS4r7kOzM0Nu72Zn2REwmeA7vlosOQOvQm/80PGfPx6+fOUsZel7aYOHjp8g8bvd&#10;50/bKbawDmOwPSAjEJ/aKXZ8zDm2QiQ1gpNpESJ4auqATmZKcRA9yonQnRXr5bIRU8A+YlCQElXv&#10;z02+q/hag8rftE6Qme04ccs1Yo37EsVuK9sBZRyNutCQ72DhpPG09Ap1L7NkBzT/QTmjMKSg80IF&#10;J4LWRkHVQGpWy3/UvI4yQtVC5qR4tSl9HKx6Pr4gMz3dHWdeOrqi72Sa9IMF1hR7pphamnqNL3jJ&#10;Eh2L1lmjK19SweZq6elqKcyZKSpuNrfr1XrDmaLeTXPbNJsCKt7+jpjyIwTHyqHjSNurk/L4lPJ5&#10;9PdIWebDg7GW6rK1/q8CYZaKKITPFMspz/v5wnsf+hOJPUQ0w0irMh6gkilz5G+ldXkL5QL/zCvu&#10;24vd/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WAAAAZHJzL1BLAQIUABQAAAAIAIdO4kCsJYun2gAAAAgBAAAPAAAAAAAAAAEAIAAAADgA&#10;AABkcnMvZG93bnJldi54bWxQSwECFAAUAAAACACHTuJAelFgc38BAAD5AgAADgAAAAAAAAABACAA&#10;AAA/AQAAZHJzL2Uyb0RvYy54bWxQSwUGAAAAAAYABgBZAQAAMAUAAAAA&#10;">
                <v:fill on="f" focussize="0,0"/>
                <v:stroke on="f"/>
                <v:imagedata o:title=""/>
                <o:lock v:ext="edit" aspectratio="f"/>
                <v:textbox>
                  <w:txbxContent>
                    <w:p>
                      <w:pPr>
                        <w:jc w:val="center"/>
                      </w:pPr>
                      <w:r>
                        <w:rPr>
                          <w:rFonts w:hint="eastAsia" w:ascii="方正仿宋_GBK"/>
                        </w:rPr>
                        <w:t>黔江商务</w:t>
                      </w:r>
                      <w:r>
                        <w:t>发〔20</w:t>
                      </w:r>
                      <w:r>
                        <w:rPr>
                          <w:rFonts w:hint="eastAsia"/>
                        </w:rPr>
                        <w:t>22</w:t>
                      </w:r>
                      <w:r>
                        <w:t>〕</w:t>
                      </w:r>
                      <w:r>
                        <w:rPr>
                          <w:rFonts w:hint="eastAsia"/>
                          <w:lang w:val="en-US" w:eastAsia="zh-CN"/>
                        </w:rPr>
                        <w:t>54</w:t>
                      </w:r>
                      <w:r>
                        <w:t>号</w:t>
                      </w:r>
                    </w:p>
                  </w:txbxContent>
                </v:textbox>
              </v:rect>
            </w:pict>
          </mc:Fallback>
        </mc:AlternateContent>
      </w:r>
    </w:p>
    <w:p>
      <w:pPr>
        <w:spacing w:line="579" w:lineRule="exact"/>
      </w:pPr>
      <w:r>
        <mc:AlternateContent>
          <mc:Choice Requires="wps">
            <w:drawing>
              <wp:anchor distT="0" distB="0" distL="114300" distR="114300" simplePos="0" relativeHeight="251659264" behindDoc="0" locked="0" layoutInCell="1" allowOverlap="1">
                <wp:simplePos x="0" y="0"/>
                <wp:positionH relativeFrom="page">
                  <wp:posOffset>969010</wp:posOffset>
                </wp:positionH>
                <wp:positionV relativeFrom="margin">
                  <wp:posOffset>3000375</wp:posOffset>
                </wp:positionV>
                <wp:extent cx="5615940" cy="0"/>
                <wp:effectExtent l="0" t="10795" r="3810" b="17780"/>
                <wp:wrapNone/>
                <wp:docPr id="2" name="Line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true"/>
                    </wps:wsp>
                  </a:graphicData>
                </a:graphic>
              </wp:anchor>
            </w:drawing>
          </mc:Choice>
          <mc:Fallback>
            <w:pict>
              <v:line id="Line 3" o:spid="_x0000_s1026" o:spt="20" style="position:absolute;left:0pt;margin-left:76.3pt;margin-top:236.25pt;height:0pt;width:442.2pt;mso-position-horizontal-relative:page;mso-position-vertical-relative:margin;z-index:251659264;mso-width-relative:page;mso-height-relative:page;" filled="f" stroked="t" coordsize="21600,21600" o:gfxdata="UEsFBgAAAAAAAAAAAAAAAAAAAAAAAFBLAwQKAAAAAACHTuJAAAAAAAAAAAAAAAAABAAAAGRycy9Q&#10;SwMEFAAAAAgAh07iQHZZ3FLYAAAADAEAAA8AAABkcnMvZG93bnJldi54bWxNj81OwzAQhO9IvIO1&#10;SNyo3UATFOL0gAQSv1IKD+DESxI1XofYTQtPz1ZCguPMfpqdKdYHN4gZp9B70rBcKBBIjbc9tRre&#10;3+4urkGEaMiawRNq+MIA6/L0pDC59XuqcN7EVnAIhdxo6GIccylD06EzYeFHJL59+MmZyHJqpZ3M&#10;nsPdIBOlUulMT/yhMyPedthsNzvHKXO2fX56+a4+H3v/UN2nr3U7oNbnZ0t1AyLiIf7BcKzP1aHk&#10;TrXfkQ1iYL1KUkY1XGXJCsSRUJcZz6t/LVkW8v+I8gdQSwMEFAAAAAgAh07iQI48iXfEAQAAjwMA&#10;AA4AAABkcnMvZTJvRG9jLnhtbK1TyY7bMAy9F+g/CLo3djLNoDXizGHS9DJoA7T9AEaLLUAbRCVO&#10;/r6Uksl0uRTF6CBTIvX4+EivHk7OsqNKaILv+XzWcqa8CNL4oec/vm/ffeAMM3gJNnjV87NC/rB+&#10;+2Y1xU4twhisVIkRiMduij0fc45d06AYlQOchag8OXVIDjId09DIBBOhO9ss2va+mUKSMQWhEOl2&#10;c3HydcXXWon8VWtUmdmeE7dc91T3fdmb9Qq6IUEcjbjSgP9g4cB4SnqD2kAGdkjmLyhnRAoYdJ6J&#10;4JqgtRGq1kDVzNs/qvk2QlS1FhIH400mfD1Y8eW4S8zIni848+CoRU/GK3ZXlJkidhTw6HfpesK4&#10;S6XMk06ufKkAdqpqnm9qqlNmgi6X9/Plx/ckunj2NS8PY8L8WQXHitFzSzmrfnB8wkzJKPQ5pOSx&#10;nk1EkdaS8IAGRVvIZLpI1NEP9TEGa+TWWFueYBr2jzaxI1Drt9uWVqmJgH8LK1k2gOMlrrouQzEq&#10;kJ+8ZPkcSRRP08sLB6ckZ1bRsBeLAKHLYOy/RFJq64lBkfUiZLH2QZ6pBYeYzDCSFDkdVCVanNT1&#10;Svk6oWWsfj1XsJf/aP0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dlncUtgAAAAMAQAADwAAAAAA&#10;AAABACAAAAA4AAAAZHJzL2Rvd25yZXYueG1sUEsBAhQAFAAAAAgAh07iQI48iXfEAQAAjwMAAA4A&#10;AAAAAAAAAQAgAAAAPQEAAGRycy9lMm9Eb2MueG1sUEsFBgAAAAAGAAYAWQEAAHMFAAAAAA==&#10;">
                <v:fill on="f" focussize="0,0"/>
                <v:stroke weight="1.75pt" color="#FF0000" joinstyle="round"/>
                <v:imagedata o:title=""/>
                <o:lock v:ext="edit" aspectratio="f"/>
              </v:line>
            </w:pict>
          </mc:Fallback>
        </mc:AlternateContent>
      </w:r>
    </w:p>
    <w:p>
      <w:pPr>
        <w:spacing w:line="579" w:lineRule="exact"/>
      </w:pPr>
    </w:p>
    <w:p>
      <w:pPr>
        <w:pStyle w:val="9"/>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620" w:lineRule="exact"/>
        <w:jc w:val="center"/>
        <w:textAlignment w:val="auto"/>
        <w:rPr>
          <w:rFonts w:ascii="Times New Roman" w:hAnsi="Times New Roman" w:eastAsia="方正小标宋_GBK" w:cs="Times New Roman"/>
          <w:color w:val="000000"/>
          <w:sz w:val="44"/>
          <w:szCs w:val="44"/>
          <w:shd w:val="clear" w:color="auto" w:fill="FFFFFF"/>
        </w:rPr>
      </w:pPr>
      <w:r>
        <w:rPr>
          <w:rFonts w:ascii="Times New Roman" w:hAnsi="Times New Roman" w:eastAsia="方正小标宋_GBK" w:cs="Times New Roman"/>
          <w:color w:val="000000"/>
          <w:sz w:val="44"/>
          <w:szCs w:val="44"/>
          <w:shd w:val="clear" w:color="auto" w:fill="FFFFFF"/>
        </w:rPr>
        <w:t>重庆市黔江区商务委员会</w:t>
      </w:r>
    </w:p>
    <w:p>
      <w:pPr>
        <w:keepNext w:val="0"/>
        <w:keepLines w:val="0"/>
        <w:pageBreakBefore w:val="0"/>
        <w:widowControl w:val="0"/>
        <w:kinsoku/>
        <w:wordWrap/>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关于印发全区商务领域今冬明春火灾防控</w:t>
      </w:r>
    </w:p>
    <w:p>
      <w:pPr>
        <w:keepNext w:val="0"/>
        <w:keepLines w:val="0"/>
        <w:pageBreakBefore w:val="0"/>
        <w:widowControl w:val="0"/>
        <w:kinsoku/>
        <w:wordWrap/>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工作方案的通知</w:t>
      </w:r>
    </w:p>
    <w:p>
      <w:pPr>
        <w:pStyle w:val="9"/>
        <w:widowControl/>
        <w:shd w:val="clear" w:color="auto" w:fill="FFFFFF"/>
        <w:spacing w:before="0" w:beforeAutospacing="0" w:after="0" w:afterAutospacing="0" w:line="660" w:lineRule="exact"/>
        <w:jc w:val="both"/>
        <w:rPr>
          <w:rFonts w:hint="eastAsia" w:ascii="方正仿宋_GBK" w:hAnsi="方正仿宋_GBK" w:eastAsia="方正仿宋_GBK" w:cs="方正仿宋_GBK"/>
          <w:color w:val="000000"/>
          <w:sz w:val="32"/>
          <w:szCs w:val="32"/>
          <w:shd w:val="clear" w:color="auto" w:fill="FFFFFF"/>
        </w:rPr>
      </w:pP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jc w:val="both"/>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各科室、直属事业单位，相关商务企业：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eastAsia="方正仿宋_GBK" w:cs="方正仿宋_GBK"/>
          <w:sz w:val="32"/>
          <w:szCs w:val="32"/>
        </w:rPr>
      </w:pPr>
      <w:r>
        <w:rPr>
          <w:rFonts w:hint="eastAsia" w:ascii="方正仿宋_GBK" w:eastAsia="方正仿宋_GBK" w:cs="方正仿宋_GBK"/>
          <w:sz w:val="32"/>
          <w:szCs w:val="32"/>
        </w:rPr>
        <w:t>《全区商务领域今冬明春火灾防控工作方案》已经领导审定，现将印发给你们，请结合实际，认真贯彻落实。</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jc w:val="both"/>
        <w:textAlignment w:val="auto"/>
        <w:rPr>
          <w:rFonts w:hint="eastAsia" w:ascii="方正黑体_GBK" w:hAnsi="方正黑体_GBK" w:eastAsia="方正黑体_GBK" w:cs="方正黑体_GBK"/>
          <w:b w:val="0"/>
          <w:bCs w:val="0"/>
          <w:color w:val="000000"/>
          <w:sz w:val="32"/>
          <w:szCs w:val="32"/>
          <w:shd w:val="clear" w:color="auto" w:fill="FFFFFF"/>
        </w:rPr>
      </w:pPr>
    </w:p>
    <w:p>
      <w:pPr>
        <w:spacing w:line="580" w:lineRule="exact"/>
        <w:ind w:firstLine="5120" w:firstLineChars="1600"/>
        <w:rPr>
          <w:rFonts w:hint="eastAsia" w:ascii="方正仿宋_GBK" w:eastAsia="方正仿宋_GBK" w:cs="方正仿宋_GBK"/>
          <w:sz w:val="32"/>
          <w:szCs w:val="32"/>
        </w:rPr>
      </w:pPr>
      <w:r>
        <w:rPr>
          <w:rFonts w:hint="eastAsia" w:ascii="方正仿宋_GBK" w:eastAsia="方正仿宋_GBK" w:cs="方正仿宋_GBK"/>
          <w:sz w:val="32"/>
          <w:szCs w:val="32"/>
        </w:rPr>
        <w:t>重庆市黔江区商务委员会</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5760" w:firstLineChars="1800"/>
        <w:jc w:val="both"/>
        <w:textAlignment w:val="auto"/>
        <w:rPr>
          <w:rFonts w:hint="eastAsia" w:ascii="方正黑体_GBK" w:hAnsi="方正黑体_GBK" w:eastAsia="方正黑体_GBK" w:cs="方正黑体_GBK"/>
          <w:b w:val="0"/>
          <w:bCs w:val="0"/>
          <w:color w:val="000000"/>
          <w:sz w:val="32"/>
          <w:szCs w:val="32"/>
          <w:shd w:val="clear" w:color="auto" w:fill="FFFFFF"/>
        </w:rPr>
      </w:pPr>
      <w:r>
        <w:rPr>
          <w:rFonts w:hint="eastAsia" w:ascii="方正仿宋_GBK" w:eastAsia="方正仿宋_GBK" w:cs="方正仿宋_GBK"/>
          <w:sz w:val="32"/>
          <w:szCs w:val="32"/>
        </w:rPr>
        <w:t>2022年1</w:t>
      </w:r>
      <w:r>
        <w:rPr>
          <w:rFonts w:hint="eastAsia" w:ascii="方正仿宋_GBK" w:eastAsia="方正仿宋_GBK" w:cs="方正仿宋_GBK"/>
          <w:sz w:val="32"/>
          <w:szCs w:val="32"/>
          <w:lang w:val="en-US" w:eastAsia="zh-CN"/>
        </w:rPr>
        <w:t>2</w:t>
      </w:r>
      <w:r>
        <w:rPr>
          <w:rFonts w:hint="eastAsia" w:ascii="方正仿宋_GBK" w:eastAsia="方正仿宋_GBK" w:cs="方正仿宋_GBK"/>
          <w:sz w:val="32"/>
          <w:szCs w:val="32"/>
        </w:rPr>
        <w:t>月</w:t>
      </w:r>
      <w:r>
        <w:rPr>
          <w:rFonts w:hint="eastAsia" w:ascii="方正仿宋_GBK" w:eastAsia="方正仿宋_GBK" w:cs="方正仿宋_GBK"/>
          <w:sz w:val="32"/>
          <w:szCs w:val="32"/>
          <w:lang w:val="en-US" w:eastAsia="zh-CN"/>
        </w:rPr>
        <w:t>7</w:t>
      </w:r>
      <w:r>
        <w:rPr>
          <w:rFonts w:hint="eastAsia" w:ascii="方正仿宋_GBK" w:eastAsia="方正仿宋_GBK" w:cs="方正仿宋_GBK"/>
          <w:sz w:val="32"/>
          <w:szCs w:val="32"/>
        </w:rPr>
        <w:t>日</w:t>
      </w:r>
    </w:p>
    <w:p>
      <w:pPr>
        <w:spacing w:line="580" w:lineRule="exact"/>
        <w:ind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(此件公开发布）</w:t>
      </w:r>
    </w:p>
    <w:p>
      <w:pPr>
        <w:spacing w:line="58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全区商务领域今冬明春火灾防控工作方案</w:t>
      </w:r>
    </w:p>
    <w:p>
      <w:pPr>
        <w:pStyle w:val="2"/>
        <w:rPr>
          <w:rFonts w:hint="eastAsia"/>
        </w:rPr>
      </w:pPr>
    </w:p>
    <w:p>
      <w:pPr>
        <w:spacing w:line="58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做好今冬明春火灾防控工作，全力确保全区商务领域消防安全形势持续稳定，按照《重庆市商务委员会关于印发全区商务领域今冬明春火灾防控工作方案的通知》（渝商务〔2022〕400号）、《重庆市黔江区消防安全委员会关于印发黔江区今冬明春火灾防控工作方案的通知》（黔江消安委发〔2022〕11号）相关文件要求，决定从即日起至2023年3月在全区商务领域集中开展今冬明春火灾防控工作，制定方案如下。</w:t>
      </w:r>
    </w:p>
    <w:p>
      <w:pPr>
        <w:spacing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一、工作目标</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深入贯彻落实党的二十大精神，坚持“安全第一、预防为主</w:t>
      </w:r>
      <w:r>
        <w:rPr>
          <w:rFonts w:hint="eastAsia" w:cs="Times New Roman"/>
          <w:sz w:val="32"/>
          <w:szCs w:val="32"/>
          <w:lang w:eastAsia="zh-CN"/>
        </w:rPr>
        <w:t>、综合治理</w:t>
      </w:r>
      <w:bookmarkStart w:id="0" w:name="_GoBack"/>
      <w:bookmarkEnd w:id="0"/>
      <w:r>
        <w:rPr>
          <w:rFonts w:hint="default" w:ascii="Times New Roman" w:hAnsi="Times New Roman" w:eastAsia="方正仿宋_GBK" w:cs="Times New Roman"/>
          <w:sz w:val="32"/>
          <w:szCs w:val="32"/>
        </w:rPr>
        <w:t>”的重要理念，统筹发展和安全，紧盯全国和市、区</w:t>
      </w:r>
      <w:r>
        <w:rPr>
          <w:rFonts w:hint="eastAsia" w:cs="Times New Roman"/>
          <w:sz w:val="32"/>
          <w:szCs w:val="32"/>
          <w:lang w:eastAsia="zh-CN"/>
        </w:rPr>
        <w:t>两会</w:t>
      </w:r>
      <w:r>
        <w:rPr>
          <w:rFonts w:hint="default" w:ascii="Times New Roman" w:hAnsi="Times New Roman" w:eastAsia="方正仿宋_GBK" w:cs="Times New Roman"/>
          <w:sz w:val="32"/>
          <w:szCs w:val="32"/>
        </w:rPr>
        <w:t>等重大活动及元旦、春节、元宵等重要节点，聚焦成品油、商场超市、商品交易市场、餐饮住宿、再生资源回收等重点领域、重点场所和重点时段，分类施策、综合治理，坚决防范遏制较大以上及有影响的火灾事故，有效防范亡人火灾事故，确保全区商务领域消防安全形势持续稳定。</w:t>
      </w:r>
    </w:p>
    <w:p>
      <w:pPr>
        <w:spacing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二、重点任务</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（一）持续开展高层建筑综合治理。</w:t>
      </w:r>
      <w:r>
        <w:rPr>
          <w:rFonts w:hint="default" w:ascii="Times New Roman" w:hAnsi="Times New Roman" w:eastAsia="方正仿宋_GBK" w:cs="Times New Roman"/>
          <w:sz w:val="32"/>
          <w:szCs w:val="32"/>
        </w:rPr>
        <w:t>要按照“三管三必须”要求，结合《重庆市2022年高层建筑消防安全综合治理工作方案》任务分工，指导督促高层建筑内商贸企业加强安全管理，组织对消防设施、“生命通道”、用电用气、可燃雨棚四项整治重点进行“回头看”，严格整改前期排查的高层建筑重点对象突出问题和隐患，进一步完善高层建筑隐患清单和整改责任清单，落实安全防范措施，有效防范化解商务领域重大火灾风险。</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（二）组织开展厂房库房和经营性自建房专项整治“回头看”。</w:t>
      </w:r>
      <w:r>
        <w:rPr>
          <w:rFonts w:hint="default" w:ascii="Times New Roman" w:hAnsi="Times New Roman" w:eastAsia="方正仿宋_GBK" w:cs="Times New Roman"/>
          <w:sz w:val="32"/>
          <w:szCs w:val="32"/>
        </w:rPr>
        <w:t>联合消防、应急、公安、住建、市场监管等部门，对专业市场、批发市场及市场仓储场所等火灾高风险对象进行再排查再摸底，紧盯违规改建搭建、违规住人、违规停用消防设施、违规动焊冒险作业等突出问题，综合运用经济、法律等手段，实施联合执法、综合治理。要配合消防、住建、公安等部门对用于商贸经营租住10人以上自建房开展再排查再摸底，持续紧盯违规住人、违规采用易燃可燃材料、电动车辆违规停放充电、防火分隔不到位、安全出口不足、疏散通道不畅、管井封堵不严、消防设施未保持完好有效、未取得合法手续等10类问题，确保2023年3月底前一般问题整改完毕，2023年底前重、难点问题整改账销。</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（三）深入推进大型商业综合体达标创建。</w:t>
      </w:r>
      <w:r>
        <w:rPr>
          <w:rFonts w:hint="default" w:ascii="Times New Roman" w:hAnsi="Times New Roman" w:eastAsia="方正仿宋_GBK" w:cs="Times New Roman"/>
          <w:sz w:val="32"/>
          <w:szCs w:val="32"/>
        </w:rPr>
        <w:t>要配合消防部门督促辖区大型商业综合体抓紧对标对表开展消防安全达标创建活动，指导管理单位建强行政管理、技术管理、火灾扑救和技术处置“四个团队”，完善消防职责制度，实施标准化管理，确保2022年底前2</w:t>
      </w:r>
      <w:r>
        <w:rPr>
          <w:rFonts w:hint="eastAsia" w:cs="Times New Roman"/>
          <w:sz w:val="32"/>
          <w:szCs w:val="32"/>
          <w:lang w:eastAsia="zh-CN"/>
        </w:rPr>
        <w:t>万平方米</w:t>
      </w:r>
      <w:r>
        <w:rPr>
          <w:rFonts w:hint="default" w:ascii="Times New Roman" w:hAnsi="Times New Roman" w:eastAsia="方正仿宋_GBK" w:cs="Times New Roman"/>
          <w:sz w:val="32"/>
          <w:szCs w:val="32"/>
        </w:rPr>
        <w:t>以上综合体全部创建达标。要深刻汲取江苏南京“10·29”金盛百货商场火灾事故教训和河南安阳“11·21”火灾事故教训，指导辖区大型商业综合体全力推进用电用气、消防设施、装修施工等方面突出问题整治，规范综合体内租赁单位日常消防管理，落实人防、物防、技防措施，全力降低火灾风险。</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（四）加强商务领域涉疫场所火灾防控。</w:t>
      </w:r>
      <w:r>
        <w:rPr>
          <w:rFonts w:hint="default" w:ascii="Times New Roman" w:hAnsi="Times New Roman" w:eastAsia="方正仿宋_GBK" w:cs="Times New Roman"/>
          <w:sz w:val="32"/>
          <w:szCs w:val="32"/>
        </w:rPr>
        <w:t>要动态掌握本辖区用于集中隔离场所的宾馆酒店等住宿企业启用情况，配合消防部门督促企业主体按相关要求落实针对性火灾防控措施。对用于集中隔离点的宾馆酒店等住宿场所，在投用前，要积极配合消防、卫生健康等部门开展入住前安全检查，重点查看消防设施设备运行、用火用电用气管理、易燃易爆物品存放、疏散通道和安全出口畅通、重点部位人员在岗等情况，并配合消防部门督促限时整改安全隐患，确保入住前符合消防安全条件；对正在用于集中隔离的宾馆酒店，要采取远程指导方式加强检查督促，提醒主体企业要落实消防设施维护、用火用电管理、疏散通道清理、人员岗位值守等相关消防安全措施，认真开展防火巡查检查，抓好“三区两通道”等重点部位火灾防范。针对因防疫需要带来的塑料薄膜铺设、安全出口锁闭、酒精等易燃易爆危险品大量储存等风险，指导管理单位按消防部门要求采取严管严控措施，做足应急准备，提升防控等级，确保商务领域涉疫场所消防安全。</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（五）加强“小火亡人”火灾防控。</w:t>
      </w:r>
      <w:r>
        <w:rPr>
          <w:rFonts w:hint="default" w:ascii="Times New Roman" w:hAnsi="Times New Roman" w:eastAsia="方正仿宋_GBK" w:cs="Times New Roman"/>
          <w:sz w:val="32"/>
          <w:szCs w:val="32"/>
        </w:rPr>
        <w:t>要指导乡镇（街道）等基层力量对涉及商务领域的“三合一”场所和“九小”场所等火灾高风险对象，常态化开展消防安全排查，重点整治违规住人、违规动火动焊、违规储存使用醇基燃料、违章搭建、违规设置铁栅栏、电动自行车违规停放充电等突出问题。结合“119”消防宣传月活动，持续推动消防宣传进企业，策划、组织形式多样的宣传教育活动，普及消防安全知识；广泛发动商贸企业不间断播放消防安全提示，开展消防安全警示教育。推广安装独立式感烟探测器、漏电保护装置、电气火灾智能防控系统等技防设施。</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（六）加强重要节点消防安保。</w:t>
      </w:r>
      <w:r>
        <w:rPr>
          <w:rFonts w:hint="default" w:ascii="Times New Roman" w:hAnsi="Times New Roman" w:eastAsia="方正仿宋_GBK" w:cs="Times New Roman"/>
          <w:sz w:val="32"/>
          <w:szCs w:val="32"/>
        </w:rPr>
        <w:t>元旦、春节、元宵等节日期间，要分时段组织对商贸促销、展会等人员密集场所、加油站、油库等易燃易爆场所集中开展消防检查指导，紧盯用火用电、临时设施搭建等关键环节，督促落实现场看护、重点驻守、夜间巡查等措施，提前发布针对性消防安全提示。全国和市、区</w:t>
      </w:r>
      <w:r>
        <w:rPr>
          <w:rFonts w:hint="eastAsia" w:cs="Times New Roman"/>
          <w:sz w:val="32"/>
          <w:szCs w:val="32"/>
          <w:lang w:eastAsia="zh-CN"/>
        </w:rPr>
        <w:t>两会</w:t>
      </w:r>
      <w:r>
        <w:rPr>
          <w:rFonts w:hint="default" w:ascii="Times New Roman" w:hAnsi="Times New Roman" w:eastAsia="方正仿宋_GBK" w:cs="Times New Roman"/>
          <w:sz w:val="32"/>
          <w:szCs w:val="32"/>
        </w:rPr>
        <w:t>等重大活动期间，要提高火灾防范等级，加大火灾防控力度；对涉及商务领域的全区性重大活动场所，逐一开展消防安全检查和火灾风险评估，督促落实火灾防范措施，安排力量现场检查、执勤值守，确保现场安全。</w:t>
      </w:r>
    </w:p>
    <w:p>
      <w:pPr>
        <w:spacing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三、时间步骤</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（一）部署发动（2022年11月30日前）。要结合实际，制发工作方案、明确职责任务、细化工作措施，召开会议，广泛动员部署。</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（二）组织实施（2022年12月1日至2022年3月25日）。按照工作方案和目标任务，强化部门协作，定期分析研判、通报调度、检查督导，从严从细从实抓好落实。</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（三）总结验收（2023年3月26日至3月31日）。组织检查验收，总结工作成效，固化经验做法，进一步健全完善商务领域火灾防控工作机制，推动商务领域消防安全形势持续向好。</w:t>
      </w:r>
    </w:p>
    <w:p>
      <w:pPr>
        <w:spacing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四、工作要求</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（一）加强组织领导。</w:t>
      </w:r>
      <w:r>
        <w:rPr>
          <w:rFonts w:hint="default" w:ascii="Times New Roman" w:hAnsi="Times New Roman" w:eastAsia="方正仿宋_GBK" w:cs="Times New Roman"/>
          <w:sz w:val="32"/>
          <w:szCs w:val="32"/>
        </w:rPr>
        <w:t>为切实加强组织领导，成立由单位主要领导任组长，各分管领导任副组长，各科室、直属事业单位负责人为成员的今冬明春火灾防控工作领导小组，下设办公室在商务综合行政执法支队，由分管领导兼任主任，负责统筹推动商务领域今冬明春火灾防控相关工作。</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（二）提高政治站位。</w:t>
      </w:r>
      <w:r>
        <w:rPr>
          <w:rFonts w:hint="default" w:ascii="Times New Roman" w:hAnsi="Times New Roman" w:eastAsia="方正仿宋_GBK" w:cs="Times New Roman"/>
          <w:sz w:val="32"/>
          <w:szCs w:val="32"/>
        </w:rPr>
        <w:t>冬春季节历来是火灾多发高发期，加之受重大活动后放松期、年底业绩冲刺期、传统事故多发期“三期碰头”叠加影响，消防安全不稳定因素明显增多，火灾形势不容乐观。要充分认清商务领域冬春季节消防安全面临的形势和挑战，切实增强责任感和紧迫感，树立安全发展理念，强化风险意识，坚持底线思维，层层抓好工作落实。</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（三）坚持问题导向。</w:t>
      </w:r>
      <w:r>
        <w:rPr>
          <w:rFonts w:hint="default" w:ascii="Times New Roman" w:hAnsi="Times New Roman" w:eastAsia="方正仿宋_GBK" w:cs="Times New Roman"/>
          <w:sz w:val="32"/>
          <w:szCs w:val="32"/>
        </w:rPr>
        <w:t>要深刻汲取近期全国各地火灾事故教训，对本辖区、本行业、本单位冬春消防安全形势进行一次梳理分析，剖析查找存在的短板不足、薄弱环节和突出问题。针对存在的问题，要研究制定整改措施；针对自身火灾风险特点，要坚持共性与个性相结合，实施精准化治理，层层压实工作责任，抓细冬春火灾防控工作组织实施。</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（四）强化综合施策。</w:t>
      </w:r>
      <w:r>
        <w:rPr>
          <w:rFonts w:hint="default" w:ascii="Times New Roman" w:hAnsi="Times New Roman" w:eastAsia="方正仿宋_GBK" w:cs="Times New Roman"/>
          <w:sz w:val="32"/>
          <w:szCs w:val="32"/>
        </w:rPr>
        <w:t>要实时把握消防安全风险趋势，落实属地、属事消防安全监管责任，健全完善会商研判、约谈提醒等工作机制，全力做好防范应对工作。要严格隐患查处，严厉打击消防安全突出问题隐患，该曝光的曝光、该督办的督办。要广泛告知商贸企业消防安全风险，指导落实火灾风险隐患自知自查自改和公示管理制度，进一步提高抗御火灾风险能力。</w:t>
      </w:r>
    </w:p>
    <w:p>
      <w:pPr>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（五）严格督导问效。</w:t>
      </w:r>
      <w:r>
        <w:rPr>
          <w:rFonts w:hint="default" w:ascii="Times New Roman" w:hAnsi="Times New Roman" w:eastAsia="方正仿宋_GBK" w:cs="Times New Roman"/>
          <w:sz w:val="32"/>
          <w:szCs w:val="32"/>
        </w:rPr>
        <w:t>市、区将把冬春火灾防控工作纳入督导检查和年度安全工作考核重要内容，今冬明春火灾防控工作期间，对因责任不落实、推进不到位，导致发生较大及以上亡人火灾事故的，要严格按照“四不放过”的原则严肃查处，依法依规从重追究事故单位和相关责任人员的法律责任。</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科室要按照“三管三必须”和“一岗双责”的原则，认真开展商务领域今冬明春火灾防控各项工作，从12月起，每月23日前将工作开展情况报商务综合行政执法支队汇总上报，2023年3月20日前报送冬春火灾防控工作总结。</w:t>
      </w:r>
    </w:p>
    <w:p>
      <w:pPr>
        <w:spacing w:line="579" w:lineRule="exact"/>
        <w:rPr>
          <w:szCs w:val="32"/>
        </w:rPr>
      </w:pPr>
    </w:p>
    <w:p>
      <w:pPr>
        <w:pStyle w:val="10"/>
      </w:pPr>
    </w:p>
    <w:p>
      <w:pPr>
        <w:pStyle w:val="6"/>
      </w:pPr>
    </w:p>
    <w:p>
      <w:pPr>
        <w:spacing w:line="579" w:lineRule="exact"/>
        <w:rPr>
          <w:rFonts w:hint="eastAsia" w:eastAsia="方正仿宋_GBK"/>
          <w:szCs w:val="32"/>
          <w:lang w:eastAsia="zh-CN"/>
        </w:rPr>
      </w:pPr>
    </w:p>
    <w:p>
      <w:pPr>
        <w:spacing w:line="579" w:lineRule="exact"/>
        <w:ind w:firstLine="640"/>
        <w:rPr>
          <w:szCs w:val="32"/>
        </w:rPr>
      </w:pPr>
    </w:p>
    <w:p>
      <w:pPr>
        <w:spacing w:line="579" w:lineRule="exact"/>
        <w:ind w:firstLine="640"/>
        <w:rPr>
          <w:rFonts w:hint="eastAsia" w:eastAsia="方正仿宋_GBK"/>
          <w:szCs w:val="32"/>
          <w:lang w:eastAsia="zh-CN"/>
        </w:rPr>
      </w:pPr>
    </w:p>
    <w:p/>
    <w:p>
      <w:pPr>
        <w:spacing w:line="578" w:lineRule="exact"/>
        <w:ind w:firstLine="640"/>
        <w:rPr>
          <w:szCs w:val="32"/>
        </w:rPr>
      </w:pPr>
    </w:p>
    <w:p>
      <w:pPr>
        <w:pStyle w:val="6"/>
        <w:rPr>
          <w:szCs w:val="32"/>
        </w:rPr>
      </w:pPr>
    </w:p>
    <w:p>
      <w:pPr>
        <w:pStyle w:val="7"/>
        <w:rPr>
          <w:szCs w:val="32"/>
        </w:rPr>
      </w:pPr>
    </w:p>
    <w:p>
      <w:pPr>
        <w:rPr>
          <w:szCs w:val="32"/>
        </w:rPr>
      </w:pPr>
    </w:p>
    <w:p>
      <w:pPr>
        <w:pStyle w:val="6"/>
        <w:rPr>
          <w:szCs w:val="32"/>
        </w:rPr>
      </w:pPr>
    </w:p>
    <w:p>
      <w:pPr>
        <w:pStyle w:val="7"/>
        <w:rPr>
          <w:szCs w:val="32"/>
        </w:rPr>
      </w:pPr>
    </w:p>
    <w:p>
      <w:pPr>
        <w:rPr>
          <w:szCs w:val="32"/>
        </w:rPr>
      </w:pPr>
    </w:p>
    <w:p>
      <w:pPr>
        <w:pStyle w:val="6"/>
        <w:rPr>
          <w:szCs w:val="32"/>
        </w:rPr>
      </w:pPr>
    </w:p>
    <w:p>
      <w:pPr>
        <w:pStyle w:val="7"/>
        <w:rPr>
          <w:szCs w:val="32"/>
        </w:rPr>
      </w:pPr>
    </w:p>
    <w:p>
      <w:pPr>
        <w:rPr>
          <w:szCs w:val="32"/>
        </w:rPr>
      </w:pPr>
    </w:p>
    <w:p>
      <w:pPr>
        <w:pStyle w:val="6"/>
        <w:rPr>
          <w:szCs w:val="32"/>
        </w:rPr>
      </w:pPr>
    </w:p>
    <w:p>
      <w:pPr>
        <w:pStyle w:val="7"/>
        <w:rPr>
          <w:szCs w:val="32"/>
        </w:rPr>
      </w:pPr>
    </w:p>
    <w:p>
      <w:pPr>
        <w:rPr>
          <w:szCs w:val="32"/>
        </w:rPr>
      </w:pPr>
    </w:p>
    <w:p>
      <w:pPr>
        <w:pStyle w:val="6"/>
        <w:rPr>
          <w:szCs w:val="32"/>
        </w:rPr>
      </w:pPr>
    </w:p>
    <w:p>
      <w:pPr>
        <w:pStyle w:val="7"/>
        <w:rPr>
          <w:szCs w:val="32"/>
        </w:rPr>
      </w:pPr>
    </w:p>
    <w:p>
      <w:pPr>
        <w:rPr>
          <w:szCs w:val="32"/>
        </w:rPr>
      </w:pPr>
    </w:p>
    <w:p>
      <w:pPr>
        <w:pStyle w:val="6"/>
        <w:rPr>
          <w:szCs w:val="32"/>
        </w:rPr>
      </w:pPr>
    </w:p>
    <w:p>
      <w:pPr>
        <w:pStyle w:val="7"/>
        <w:rPr>
          <w:szCs w:val="32"/>
        </w:rPr>
      </w:pPr>
    </w:p>
    <w:p>
      <w:pPr>
        <w:rPr>
          <w:szCs w:val="32"/>
        </w:rPr>
      </w:pPr>
    </w:p>
    <w:p>
      <w:pPr>
        <w:pStyle w:val="6"/>
        <w:rPr>
          <w:szCs w:val="32"/>
        </w:rPr>
      </w:pPr>
    </w:p>
    <w:p>
      <w:pPr>
        <w:pStyle w:val="7"/>
        <w:rPr>
          <w:szCs w:val="32"/>
        </w:rPr>
      </w:pPr>
    </w:p>
    <w:p>
      <w:pPr>
        <w:rPr>
          <w:szCs w:val="32"/>
        </w:rPr>
      </w:pPr>
    </w:p>
    <w:p>
      <w:pPr>
        <w:pStyle w:val="10"/>
        <w:rPr>
          <w:szCs w:val="32"/>
        </w:rPr>
      </w:pPr>
    </w:p>
    <w:p>
      <w:pPr>
        <w:pStyle w:val="10"/>
        <w:rPr>
          <w:szCs w:val="32"/>
        </w:rPr>
      </w:pPr>
    </w:p>
    <w:p>
      <w:pPr>
        <w:pStyle w:val="10"/>
        <w:rPr>
          <w:szCs w:val="32"/>
        </w:rPr>
      </w:pPr>
    </w:p>
    <w:p>
      <w:pPr>
        <w:pStyle w:val="10"/>
        <w:rPr>
          <w:szCs w:val="32"/>
        </w:rPr>
      </w:pPr>
    </w:p>
    <w:p>
      <w:pPr>
        <w:pStyle w:val="10"/>
        <w:rPr>
          <w:szCs w:val="32"/>
        </w:rPr>
      </w:pPr>
    </w:p>
    <w:p>
      <w:pPr>
        <w:pStyle w:val="10"/>
        <w:rPr>
          <w:szCs w:val="32"/>
        </w:rPr>
      </w:pPr>
    </w:p>
    <w:p>
      <w:pPr>
        <w:pStyle w:val="10"/>
        <w:rPr>
          <w:szCs w:val="32"/>
        </w:rPr>
      </w:pPr>
    </w:p>
    <w:p>
      <w:pPr>
        <w:pStyle w:val="10"/>
        <w:rPr>
          <w:szCs w:val="32"/>
        </w:rPr>
      </w:pPr>
    </w:p>
    <w:p>
      <w:pPr>
        <w:pStyle w:val="10"/>
        <w:rPr>
          <w:szCs w:val="32"/>
        </w:rPr>
      </w:pPr>
    </w:p>
    <w:p>
      <w:pPr>
        <w:pStyle w:val="10"/>
        <w:rPr>
          <w:szCs w:val="32"/>
        </w:rPr>
      </w:pPr>
    </w:p>
    <w:p>
      <w:pPr>
        <w:pStyle w:val="10"/>
        <w:rPr>
          <w:szCs w:val="32"/>
        </w:rPr>
      </w:pPr>
    </w:p>
    <w:p>
      <w:pPr>
        <w:pStyle w:val="10"/>
        <w:rPr>
          <w:szCs w:val="32"/>
        </w:rPr>
      </w:pPr>
    </w:p>
    <w:p>
      <w:pPr>
        <w:pStyle w:val="10"/>
        <w:rPr>
          <w:szCs w:val="32"/>
        </w:rPr>
      </w:pPr>
    </w:p>
    <w:p>
      <w:pPr>
        <w:pStyle w:val="7"/>
        <w:ind w:left="0" w:leftChars="0" w:firstLine="0" w:firstLineChars="0"/>
      </w:pPr>
    </w:p>
    <w:p/>
    <w:p>
      <w:pPr>
        <w:pStyle w:val="10"/>
      </w:pPr>
    </w:p>
    <w:p>
      <w:pPr>
        <w:spacing w:line="40" w:lineRule="exact"/>
        <w:rPr>
          <w:szCs w:val="32"/>
        </w:rPr>
      </w:pPr>
    </w:p>
    <w:p>
      <w:pPr>
        <w:spacing w:line="400" w:lineRule="exact"/>
        <w:rPr>
          <w:rFonts w:hint="eastAsia"/>
          <w:sz w:val="28"/>
          <w:szCs w:val="28"/>
          <w:lang w:eastAsia="zh-CN"/>
        </w:rPr>
        <w:sectPr>
          <w:footerReference r:id="rId3" w:type="default"/>
          <w:footerReference r:id="rId4" w:type="even"/>
          <w:pgSz w:w="11906" w:h="16838"/>
          <w:pgMar w:top="2098" w:right="1474" w:bottom="1985" w:left="1588" w:header="851" w:footer="1474" w:gutter="0"/>
          <w:cols w:space="720" w:num="1"/>
          <w:docGrid w:linePitch="579" w:charSpace="-849"/>
        </w:sect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4445</wp:posOffset>
                </wp:positionV>
                <wp:extent cx="5652135" cy="0"/>
                <wp:effectExtent l="0" t="0" r="0" b="0"/>
                <wp:wrapNone/>
                <wp:docPr id="3" name="直线 7"/>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7" o:spid="_x0000_s1026" o:spt="20" style="position:absolute;left:0pt;margin-left:-1.4pt;margin-top:0.35pt;height:0pt;width:445.05pt;z-index:251659264;mso-width-relative:page;mso-height-relative:page;" filled="f" stroked="t" coordsize="21600,21600" o:gfxdata="UEsFBgAAAAAAAAAAAAAAAAAAAAAAAFBLAwQKAAAAAACHTuJAAAAAAAAAAAAAAAAABAAAAGRycy9Q&#10;SwMEFAAAAAgAh07iQILMQw7UAAAABAEAAA8AAABkcnMvZG93bnJldi54bWxNzs1OwzAQBOA7Eu9g&#10;LRK31mmQiBXi9ACqKhCXtkhct/ESp43Xaez+8Pa4J3oczWr2q+YX14sTjaHzrGE2zUAQN9503Gr4&#10;2iwmCkSIyAZ7z6ThlwLM6/u7Ckvjz7yi0zq2Io1wKFGDjXEopQyNJYdh6gfi1P340WFMcWylGfGc&#10;xl0v8yx7lg47Th8sDvRqqdmvj04Dvi1X8VvlH0X3bj93m8VhadVB68eHWfYCItIl/h/DlZ/oUCfT&#10;1h/ZBNFrmORJHjUUIFKrVPEEYnuNsq7kLb7+A1BLAwQUAAAACACHTuJAy6aFlNEBAACRAwAADgAA&#10;AGRycy9lMm9Eb2MueG1srVNLjhMxEN0jcQfLe9JJRplBrXRmMWHYIIgEHKDiT7cl/+Ry0slZuAYr&#10;NhxnrkHZyWSA2YwQWThlV/n5vVfVy9uDs2yvEprgOz6bTDlTXgRpfN/xr1/u37zlDDN4CTZ41fGj&#10;Qn67ev1qOcZWzcMQrFSJEYjHdowdH3KObdOgGJQDnISoPCV1SA4ybVPfyAQjoTvbzKfT62YMScYU&#10;hEKk0/UpyVcVX2sl8ietUWVmO07ccl1TXbdlbVZLaPsEcTDiTAP+gYUD4+nRC9QaMrBdMs+gnBEp&#10;YNB5IoJrgtZGqKqB1Mymf6n5PEBUVQuZg/FiE/4/WPFxv0nMyI5fcebBUYsevn1/+PGT3RRvxogt&#10;ldz5TTrvMG5SEXrQyZV/ksAO1c/jxU91yEzQ4eJ6MZ9dLTgTj7nm6WJMmN+r4FgJOm6NL1Khhf0H&#10;zPQYlT6WlGPr2UgDNr+ZUhsF0KhoC5lCF4k8+r5exmCNvDfWliuY+u2dTWwPpfn1VzQR8B9l5ZU1&#10;4HCqq6nTWAwK5DsvWT5GssXT/PLCwSnJmVU07iUiQGgzGPuSSnraemJQbD0ZWaJtkEdqwi4m0w9k&#10;RU47VYmWJPW9Uj7PaBms3/cV7OlLWv0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gsxDDtQAAAAE&#10;AQAADwAAAAAAAAABACAAAAA4AAAAZHJzL2Rvd25yZXYueG1sUEsBAhQAFAAAAAgAh07iQMumhZTR&#10;AQAAkQMAAA4AAAAAAAAAAQAgAAAAOQEAAGRycy9lMm9Eb2MueG1sUEsFBgAAAAAGAAYAWQEAAHwF&#10;AAAAAA==&#10;">
                <v:fill on="f" focussize="0,0"/>
                <v:stroke weight="1pt"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299085</wp:posOffset>
                </wp:positionV>
                <wp:extent cx="5652135" cy="0"/>
                <wp:effectExtent l="0" t="0" r="0" b="0"/>
                <wp:wrapNone/>
                <wp:docPr id="4" name="直线 5"/>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5" o:spid="_x0000_s1026" o:spt="20" style="position:absolute;left:0pt;margin-top:23.55pt;height:0pt;width:445.05pt;mso-position-horizontal:center;z-index:251659264;mso-width-relative:page;mso-height-relative:page;" filled="f" stroked="t" coordsize="21600,21600" o:gfxdata="UEsFBgAAAAAAAAAAAAAAAAAAAAAAAFBLAwQKAAAAAACHTuJAAAAAAAAAAAAAAAAABAAAAGRycy9Q&#10;SwMEFAAAAAgAh07iQM4fTvjVAAAABgEAAA8AAABkcnMvZG93bnJldi54bWxNj09PwzAMxe9IfIfI&#10;SNxY2gmxUpruAJomEJdtSFy9xjSFxuma7A/fHiMO4+bnZ733czU/+V4daIxdYAP5JANF3ATbcWvg&#10;bbO4KUDFhGyxD0wGvinCvL68qLC04cgrOqxTqySEY4kGXEpDqXVsHHmMkzAQi/cRRo9J5NhqO+JR&#10;wn2vp1l2pz12LA0OB3p01Hyt994APi1X6b2Yvsy6Z/f6uVnslq7YGXN9lWcPoBKd0vkYfvEFHWph&#10;2oY926h6A/JIMnA7y0GJW9xnMmz/Frqu9H/8+gdQSwMEFAAAAAgAh07iQKQtHkDRAQAAkQMAAA4A&#10;AABkcnMvZTJvRG9jLnhtbK1TS44TMRDdI3EHy3vSSSADaqUziwnDBkEkhgNU/Om25J9cTjo5C9dg&#10;xYbjzDUoO5kMMJsRIgun7Co/v/eqenl9cJbtVUITfMdnkylnyosgje87/vXu9tU7zjCDl2CDVx0/&#10;KuTXq5cvlmNs1TwMwUqVGIF4bMfY8SHn2DYNikE5wEmIylNSh+Qg0zb1jUwwErqzzXw6vWrGkGRM&#10;QShEOl2fknxV8bVWIn/WGlVmtuPELdc11XVb1ma1hLZPEAcjzjTgH1g4MJ4evUCtIQPbJfMEyhmR&#10;AgadJyK4JmhthKoaSM1s+peaLwNEVbWQORgvNuH/gxWf9pvEjOz4G848OGrR/bfv9z9+skXxZozY&#10;UsmN36TzDuMmFaEHnVz5JwnsUP08XvxUh8wEHS6uFvPZ6wVn4iHXPF6MCfMHFRwrQcet8UUqtLD/&#10;iJkeo9KHknJsPRtpwOZvp9RGATQq2kKm0EUij76vlzFYI2+NteUKpn57YxPbQ2l+/RVNBPxHWXll&#10;DTic6mrqNBaDAvneS5aPkWzxNL+8cHBKcmYVjXuJCBDaDMY+p5Ketp4YFFtPRpZoG+SRmrCLyfQD&#10;WZHTTlWiJUl9r5TPM1oG6/d9BXv8kl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M4fTvjVAAAA&#10;BgEAAA8AAAAAAAAAAQAgAAAAOAAAAGRycy9kb3ducmV2LnhtbFBLAQIUABQAAAAIAIdO4kCkLR5A&#10;0QEAAJEDAAAOAAAAAAAAAAEAIAAAADoBAABkcnMvZTJvRG9jLnhtbFBLBQYAAAAABgAGAFkBAAB9&#10;BQAAAAA=&#10;">
                <v:fill on="f" focussize="0,0"/>
                <v:stroke weight="1pt" color="#000000" joinstyle="round"/>
                <v:imagedata o:title=""/>
                <o:lock v:ext="edit" aspectratio="f"/>
              </v:line>
            </w:pict>
          </mc:Fallback>
        </mc:AlternateContent>
      </w:r>
      <w:r>
        <w:rPr>
          <w:sz w:val="28"/>
          <w:szCs w:val="28"/>
        </w:rPr>
        <w:t>重庆市黔江区</w:t>
      </w:r>
      <w:r>
        <w:rPr>
          <w:rFonts w:hint="eastAsia"/>
          <w:sz w:val="28"/>
          <w:szCs w:val="28"/>
        </w:rPr>
        <w:t>商务委员会</w:t>
      </w:r>
      <w:r>
        <w:rPr>
          <w:sz w:val="28"/>
          <w:szCs w:val="28"/>
        </w:rPr>
        <w:t>办公室20</w:t>
      </w:r>
      <w:r>
        <w:rPr>
          <w:rFonts w:hint="eastAsia"/>
          <w:sz w:val="28"/>
          <w:szCs w:val="28"/>
        </w:rPr>
        <w:t>22</w:t>
      </w:r>
      <w:r>
        <w:rPr>
          <w:sz w:val="28"/>
          <w:szCs w:val="28"/>
        </w:rPr>
        <w:t>年</w:t>
      </w:r>
      <w:r>
        <w:rPr>
          <w:rFonts w:hint="eastAsia"/>
          <w:sz w:val="28"/>
          <w:szCs w:val="28"/>
          <w:lang w:val="en-US" w:eastAsia="zh-CN"/>
        </w:rPr>
        <w:t>12</w:t>
      </w:r>
      <w:r>
        <w:rPr>
          <w:sz w:val="28"/>
          <w:szCs w:val="28"/>
        </w:rPr>
        <w:t>月</w:t>
      </w:r>
      <w:r>
        <w:rPr>
          <w:rFonts w:hint="eastAsia"/>
          <w:sz w:val="28"/>
          <w:szCs w:val="28"/>
          <w:lang w:val="en-US" w:eastAsia="zh-CN"/>
        </w:rPr>
        <w:t>7</w:t>
      </w:r>
      <w:r>
        <w:rPr>
          <w:sz w:val="28"/>
          <w:szCs w:val="28"/>
        </w:rPr>
        <w:t>日印</w:t>
      </w:r>
      <w:r>
        <w:rPr>
          <w:rFonts w:hint="eastAsia"/>
          <w:sz w:val="28"/>
          <w:szCs w:val="28"/>
          <w:lang w:eastAsia="zh-CN"/>
        </w:rPr>
        <w:t>发</w:t>
      </w:r>
    </w:p>
    <w:p>
      <w:pPr>
        <w:pStyle w:val="6"/>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大标宋简体">
    <w:altName w:val="方正书宋_GBK"/>
    <w:panose1 w:val="00000000000000000000"/>
    <w:charset w:val="86"/>
    <w:family w:val="script"/>
    <w:pitch w:val="default"/>
    <w:sig w:usb0="00000000" w:usb1="00000000" w:usb2="00000000" w:usb3="00000000" w:csb0="00040000" w:csb1="00000000"/>
  </w:font>
  <w:font w:name="FZXBSK--GBK1-0">
    <w:altName w:val="仿宋"/>
    <w:panose1 w:val="00000000000000000000"/>
    <w:charset w:val="00"/>
    <w:family w:val="auto"/>
    <w:pitch w:val="default"/>
    <w:sig w:usb0="00000000" w:usb1="00000000" w:usb2="00000000" w:usb3="00000000" w:csb0="00000000" w:csb1="00000000"/>
  </w:font>
  <w:font w:name="FZFSK--GBK1-0">
    <w:altName w:val="仿宋"/>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FZHTK--GBK1-0">
    <w:altName w:val="仿宋"/>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color w:val="FFFFFF"/>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20" w:firstLineChars="15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5"/>
  <w:evenAndOddHeaders w:val="true"/>
  <w:drawingGridHorizontalSpacing w:val="158"/>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hN2JiOTdkZDdmOWEwMTFkZTBiNTZmNDhjMjZlYjEifQ=="/>
  </w:docVars>
  <w:rsids>
    <w:rsidRoot w:val="00CE3AB1"/>
    <w:rsid w:val="00000382"/>
    <w:rsid w:val="00003093"/>
    <w:rsid w:val="0000329F"/>
    <w:rsid w:val="00007FC6"/>
    <w:rsid w:val="000116DA"/>
    <w:rsid w:val="00013335"/>
    <w:rsid w:val="00014B91"/>
    <w:rsid w:val="00015E64"/>
    <w:rsid w:val="00017121"/>
    <w:rsid w:val="00017B17"/>
    <w:rsid w:val="0002225C"/>
    <w:rsid w:val="0002331B"/>
    <w:rsid w:val="0002417D"/>
    <w:rsid w:val="00024B01"/>
    <w:rsid w:val="00026F0E"/>
    <w:rsid w:val="000274E9"/>
    <w:rsid w:val="00030168"/>
    <w:rsid w:val="00031173"/>
    <w:rsid w:val="00031C22"/>
    <w:rsid w:val="00032977"/>
    <w:rsid w:val="00032B25"/>
    <w:rsid w:val="00033BC7"/>
    <w:rsid w:val="00035A41"/>
    <w:rsid w:val="00035E05"/>
    <w:rsid w:val="0003658E"/>
    <w:rsid w:val="00037023"/>
    <w:rsid w:val="00037B9E"/>
    <w:rsid w:val="0004032B"/>
    <w:rsid w:val="000415C6"/>
    <w:rsid w:val="00041B53"/>
    <w:rsid w:val="00041E75"/>
    <w:rsid w:val="0004373C"/>
    <w:rsid w:val="00043866"/>
    <w:rsid w:val="00043AB3"/>
    <w:rsid w:val="000460AE"/>
    <w:rsid w:val="000476FF"/>
    <w:rsid w:val="00050E30"/>
    <w:rsid w:val="00051EA7"/>
    <w:rsid w:val="00055746"/>
    <w:rsid w:val="00056F10"/>
    <w:rsid w:val="00057F7E"/>
    <w:rsid w:val="000604B2"/>
    <w:rsid w:val="0006085E"/>
    <w:rsid w:val="00060E1C"/>
    <w:rsid w:val="00063AD5"/>
    <w:rsid w:val="00063DB8"/>
    <w:rsid w:val="00065EDA"/>
    <w:rsid w:val="000660AB"/>
    <w:rsid w:val="00066D40"/>
    <w:rsid w:val="00067F0D"/>
    <w:rsid w:val="00070408"/>
    <w:rsid w:val="00070F48"/>
    <w:rsid w:val="000713E8"/>
    <w:rsid w:val="000714DF"/>
    <w:rsid w:val="00071E64"/>
    <w:rsid w:val="000729F4"/>
    <w:rsid w:val="000749FB"/>
    <w:rsid w:val="000761F2"/>
    <w:rsid w:val="000767F3"/>
    <w:rsid w:val="000812CB"/>
    <w:rsid w:val="00084781"/>
    <w:rsid w:val="000858A8"/>
    <w:rsid w:val="000901C2"/>
    <w:rsid w:val="00091529"/>
    <w:rsid w:val="00092A8A"/>
    <w:rsid w:val="00095E6E"/>
    <w:rsid w:val="0009670D"/>
    <w:rsid w:val="00096AB3"/>
    <w:rsid w:val="000A4164"/>
    <w:rsid w:val="000A7420"/>
    <w:rsid w:val="000A79DD"/>
    <w:rsid w:val="000B003C"/>
    <w:rsid w:val="000B1CE9"/>
    <w:rsid w:val="000B228B"/>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0284"/>
    <w:rsid w:val="000D2B51"/>
    <w:rsid w:val="000D2C2B"/>
    <w:rsid w:val="000D3F02"/>
    <w:rsid w:val="000D4EDB"/>
    <w:rsid w:val="000D5654"/>
    <w:rsid w:val="000D6290"/>
    <w:rsid w:val="000D6346"/>
    <w:rsid w:val="000D63AE"/>
    <w:rsid w:val="000D70C0"/>
    <w:rsid w:val="000D7F39"/>
    <w:rsid w:val="000E0E10"/>
    <w:rsid w:val="000E0E39"/>
    <w:rsid w:val="000E2E8F"/>
    <w:rsid w:val="000E3696"/>
    <w:rsid w:val="000E5323"/>
    <w:rsid w:val="000E534A"/>
    <w:rsid w:val="000E6520"/>
    <w:rsid w:val="000F045B"/>
    <w:rsid w:val="000F2923"/>
    <w:rsid w:val="000F50E5"/>
    <w:rsid w:val="000F51C7"/>
    <w:rsid w:val="000F54A2"/>
    <w:rsid w:val="00100406"/>
    <w:rsid w:val="00106917"/>
    <w:rsid w:val="00107AFB"/>
    <w:rsid w:val="00110DC0"/>
    <w:rsid w:val="00113397"/>
    <w:rsid w:val="0011527B"/>
    <w:rsid w:val="0011669C"/>
    <w:rsid w:val="00117E75"/>
    <w:rsid w:val="00122F31"/>
    <w:rsid w:val="001230FC"/>
    <w:rsid w:val="00125582"/>
    <w:rsid w:val="00125B16"/>
    <w:rsid w:val="00125E3B"/>
    <w:rsid w:val="0012609C"/>
    <w:rsid w:val="00126520"/>
    <w:rsid w:val="00130780"/>
    <w:rsid w:val="001307CF"/>
    <w:rsid w:val="00130FA5"/>
    <w:rsid w:val="0013201D"/>
    <w:rsid w:val="00132A20"/>
    <w:rsid w:val="0014002A"/>
    <w:rsid w:val="00140220"/>
    <w:rsid w:val="00140D16"/>
    <w:rsid w:val="001411E4"/>
    <w:rsid w:val="00142AA9"/>
    <w:rsid w:val="00145DF4"/>
    <w:rsid w:val="00145E1D"/>
    <w:rsid w:val="00145F70"/>
    <w:rsid w:val="00147385"/>
    <w:rsid w:val="001508A5"/>
    <w:rsid w:val="001509A5"/>
    <w:rsid w:val="0015389A"/>
    <w:rsid w:val="00153A3D"/>
    <w:rsid w:val="0015694C"/>
    <w:rsid w:val="00160E8A"/>
    <w:rsid w:val="00160F7A"/>
    <w:rsid w:val="00162C80"/>
    <w:rsid w:val="001644EB"/>
    <w:rsid w:val="00165858"/>
    <w:rsid w:val="00166911"/>
    <w:rsid w:val="00166EAB"/>
    <w:rsid w:val="00170182"/>
    <w:rsid w:val="00171FC6"/>
    <w:rsid w:val="00175C23"/>
    <w:rsid w:val="0017677B"/>
    <w:rsid w:val="001809FF"/>
    <w:rsid w:val="00180B55"/>
    <w:rsid w:val="00181320"/>
    <w:rsid w:val="00182365"/>
    <w:rsid w:val="00184850"/>
    <w:rsid w:val="00187BAC"/>
    <w:rsid w:val="00190910"/>
    <w:rsid w:val="00190B5C"/>
    <w:rsid w:val="00192BD7"/>
    <w:rsid w:val="00194177"/>
    <w:rsid w:val="0019633C"/>
    <w:rsid w:val="00197446"/>
    <w:rsid w:val="001A0189"/>
    <w:rsid w:val="001A0CE8"/>
    <w:rsid w:val="001A0DD3"/>
    <w:rsid w:val="001A1651"/>
    <w:rsid w:val="001A280B"/>
    <w:rsid w:val="001A35F7"/>
    <w:rsid w:val="001A368C"/>
    <w:rsid w:val="001A3C53"/>
    <w:rsid w:val="001A3EB5"/>
    <w:rsid w:val="001A3EDE"/>
    <w:rsid w:val="001A7BC4"/>
    <w:rsid w:val="001B0BEF"/>
    <w:rsid w:val="001B1681"/>
    <w:rsid w:val="001B232E"/>
    <w:rsid w:val="001B236F"/>
    <w:rsid w:val="001B5281"/>
    <w:rsid w:val="001B55C1"/>
    <w:rsid w:val="001B5FA3"/>
    <w:rsid w:val="001B6981"/>
    <w:rsid w:val="001B796D"/>
    <w:rsid w:val="001C0AE4"/>
    <w:rsid w:val="001C436D"/>
    <w:rsid w:val="001C43B5"/>
    <w:rsid w:val="001C586A"/>
    <w:rsid w:val="001C5DAD"/>
    <w:rsid w:val="001C69ED"/>
    <w:rsid w:val="001C6D8F"/>
    <w:rsid w:val="001C7F40"/>
    <w:rsid w:val="001D01DF"/>
    <w:rsid w:val="001D1323"/>
    <w:rsid w:val="001D1889"/>
    <w:rsid w:val="001D19C0"/>
    <w:rsid w:val="001D328C"/>
    <w:rsid w:val="001D6275"/>
    <w:rsid w:val="001D735E"/>
    <w:rsid w:val="001D75CD"/>
    <w:rsid w:val="001D7777"/>
    <w:rsid w:val="001E1257"/>
    <w:rsid w:val="001E14DC"/>
    <w:rsid w:val="001E1567"/>
    <w:rsid w:val="001E3E01"/>
    <w:rsid w:val="001E5DD4"/>
    <w:rsid w:val="001E6849"/>
    <w:rsid w:val="001E7EA3"/>
    <w:rsid w:val="001F345D"/>
    <w:rsid w:val="001F371C"/>
    <w:rsid w:val="001F5290"/>
    <w:rsid w:val="001F58B7"/>
    <w:rsid w:val="001F5A35"/>
    <w:rsid w:val="001F6064"/>
    <w:rsid w:val="001F6855"/>
    <w:rsid w:val="001F6DA4"/>
    <w:rsid w:val="001F76DB"/>
    <w:rsid w:val="00200EFD"/>
    <w:rsid w:val="002010BC"/>
    <w:rsid w:val="0020136C"/>
    <w:rsid w:val="002045EA"/>
    <w:rsid w:val="00204C4A"/>
    <w:rsid w:val="0020529C"/>
    <w:rsid w:val="002052BE"/>
    <w:rsid w:val="00206690"/>
    <w:rsid w:val="00207AD4"/>
    <w:rsid w:val="0021037F"/>
    <w:rsid w:val="002103C1"/>
    <w:rsid w:val="002137BE"/>
    <w:rsid w:val="0021392F"/>
    <w:rsid w:val="002140CF"/>
    <w:rsid w:val="002140D8"/>
    <w:rsid w:val="0021443D"/>
    <w:rsid w:val="00214A94"/>
    <w:rsid w:val="00215824"/>
    <w:rsid w:val="002166FA"/>
    <w:rsid w:val="00216C56"/>
    <w:rsid w:val="0021707D"/>
    <w:rsid w:val="00217AD0"/>
    <w:rsid w:val="00220483"/>
    <w:rsid w:val="0022084D"/>
    <w:rsid w:val="00220989"/>
    <w:rsid w:val="00220DF3"/>
    <w:rsid w:val="002220F6"/>
    <w:rsid w:val="00222EB0"/>
    <w:rsid w:val="0022355D"/>
    <w:rsid w:val="00224040"/>
    <w:rsid w:val="00224147"/>
    <w:rsid w:val="0022439F"/>
    <w:rsid w:val="00226F12"/>
    <w:rsid w:val="0023028B"/>
    <w:rsid w:val="002316B7"/>
    <w:rsid w:val="00235010"/>
    <w:rsid w:val="00236D56"/>
    <w:rsid w:val="00236E26"/>
    <w:rsid w:val="00237A0D"/>
    <w:rsid w:val="00237E75"/>
    <w:rsid w:val="002428FF"/>
    <w:rsid w:val="00242AFD"/>
    <w:rsid w:val="00245352"/>
    <w:rsid w:val="00245F32"/>
    <w:rsid w:val="00247742"/>
    <w:rsid w:val="00247E03"/>
    <w:rsid w:val="00247EBB"/>
    <w:rsid w:val="00251358"/>
    <w:rsid w:val="0025354C"/>
    <w:rsid w:val="00256678"/>
    <w:rsid w:val="00257070"/>
    <w:rsid w:val="0026223F"/>
    <w:rsid w:val="0026233C"/>
    <w:rsid w:val="00262CE9"/>
    <w:rsid w:val="0026342D"/>
    <w:rsid w:val="00264224"/>
    <w:rsid w:val="00265878"/>
    <w:rsid w:val="002669DB"/>
    <w:rsid w:val="002678DD"/>
    <w:rsid w:val="00267B54"/>
    <w:rsid w:val="00270AF8"/>
    <w:rsid w:val="00271879"/>
    <w:rsid w:val="00273592"/>
    <w:rsid w:val="00274878"/>
    <w:rsid w:val="00275090"/>
    <w:rsid w:val="00277925"/>
    <w:rsid w:val="002802D2"/>
    <w:rsid w:val="00281BDD"/>
    <w:rsid w:val="00282903"/>
    <w:rsid w:val="0028300F"/>
    <w:rsid w:val="0028529E"/>
    <w:rsid w:val="002878E6"/>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5C5F"/>
    <w:rsid w:val="002B7A47"/>
    <w:rsid w:val="002C1113"/>
    <w:rsid w:val="002C293B"/>
    <w:rsid w:val="002C36F3"/>
    <w:rsid w:val="002C5979"/>
    <w:rsid w:val="002C667B"/>
    <w:rsid w:val="002C6822"/>
    <w:rsid w:val="002C79F6"/>
    <w:rsid w:val="002D00D5"/>
    <w:rsid w:val="002D0101"/>
    <w:rsid w:val="002D1241"/>
    <w:rsid w:val="002D3AF1"/>
    <w:rsid w:val="002E1618"/>
    <w:rsid w:val="002E3E9F"/>
    <w:rsid w:val="002E5373"/>
    <w:rsid w:val="002E5E4E"/>
    <w:rsid w:val="002E792F"/>
    <w:rsid w:val="002F07E9"/>
    <w:rsid w:val="002F0EDC"/>
    <w:rsid w:val="002F1C37"/>
    <w:rsid w:val="002F3828"/>
    <w:rsid w:val="002F3E81"/>
    <w:rsid w:val="002F66BE"/>
    <w:rsid w:val="002F7604"/>
    <w:rsid w:val="002F7853"/>
    <w:rsid w:val="002F78BD"/>
    <w:rsid w:val="002F7CF4"/>
    <w:rsid w:val="003001CF"/>
    <w:rsid w:val="003018F7"/>
    <w:rsid w:val="00302631"/>
    <w:rsid w:val="00302648"/>
    <w:rsid w:val="00302F03"/>
    <w:rsid w:val="00304155"/>
    <w:rsid w:val="00306347"/>
    <w:rsid w:val="003102BA"/>
    <w:rsid w:val="00312B2A"/>
    <w:rsid w:val="00313459"/>
    <w:rsid w:val="00314E9E"/>
    <w:rsid w:val="00315C61"/>
    <w:rsid w:val="00315E67"/>
    <w:rsid w:val="00316D18"/>
    <w:rsid w:val="00316EC6"/>
    <w:rsid w:val="0031787E"/>
    <w:rsid w:val="00317A16"/>
    <w:rsid w:val="00323594"/>
    <w:rsid w:val="003244CB"/>
    <w:rsid w:val="003247B9"/>
    <w:rsid w:val="003256F5"/>
    <w:rsid w:val="00325703"/>
    <w:rsid w:val="00326499"/>
    <w:rsid w:val="00326B29"/>
    <w:rsid w:val="00327FAD"/>
    <w:rsid w:val="00330574"/>
    <w:rsid w:val="003319E3"/>
    <w:rsid w:val="00331F3D"/>
    <w:rsid w:val="00332A67"/>
    <w:rsid w:val="00333F1D"/>
    <w:rsid w:val="00336B22"/>
    <w:rsid w:val="00336D04"/>
    <w:rsid w:val="00336FE1"/>
    <w:rsid w:val="00340685"/>
    <w:rsid w:val="003422A9"/>
    <w:rsid w:val="00342B1E"/>
    <w:rsid w:val="00344B96"/>
    <w:rsid w:val="00344BEE"/>
    <w:rsid w:val="00346317"/>
    <w:rsid w:val="00350DEA"/>
    <w:rsid w:val="003530C5"/>
    <w:rsid w:val="00355240"/>
    <w:rsid w:val="003570D8"/>
    <w:rsid w:val="00357D61"/>
    <w:rsid w:val="00357D73"/>
    <w:rsid w:val="0036009E"/>
    <w:rsid w:val="00360684"/>
    <w:rsid w:val="00360E8E"/>
    <w:rsid w:val="003611A8"/>
    <w:rsid w:val="0036123E"/>
    <w:rsid w:val="00363066"/>
    <w:rsid w:val="00364B6B"/>
    <w:rsid w:val="0036571C"/>
    <w:rsid w:val="00371B13"/>
    <w:rsid w:val="0037210E"/>
    <w:rsid w:val="00372810"/>
    <w:rsid w:val="003770C7"/>
    <w:rsid w:val="0037719B"/>
    <w:rsid w:val="00380BB0"/>
    <w:rsid w:val="00380D5A"/>
    <w:rsid w:val="00380EB5"/>
    <w:rsid w:val="0038208F"/>
    <w:rsid w:val="00384420"/>
    <w:rsid w:val="0038482D"/>
    <w:rsid w:val="0038564B"/>
    <w:rsid w:val="003903E3"/>
    <w:rsid w:val="003913F0"/>
    <w:rsid w:val="00392691"/>
    <w:rsid w:val="00392F1C"/>
    <w:rsid w:val="003958FD"/>
    <w:rsid w:val="00395F25"/>
    <w:rsid w:val="003A09FD"/>
    <w:rsid w:val="003A199C"/>
    <w:rsid w:val="003A29DE"/>
    <w:rsid w:val="003A3CA9"/>
    <w:rsid w:val="003A4168"/>
    <w:rsid w:val="003A5412"/>
    <w:rsid w:val="003A54DB"/>
    <w:rsid w:val="003A6062"/>
    <w:rsid w:val="003A7ADF"/>
    <w:rsid w:val="003A7B14"/>
    <w:rsid w:val="003B2BD6"/>
    <w:rsid w:val="003B3200"/>
    <w:rsid w:val="003B32E3"/>
    <w:rsid w:val="003B3D8A"/>
    <w:rsid w:val="003B42C6"/>
    <w:rsid w:val="003B4FE4"/>
    <w:rsid w:val="003C0386"/>
    <w:rsid w:val="003C0792"/>
    <w:rsid w:val="003C0A11"/>
    <w:rsid w:val="003C0DA0"/>
    <w:rsid w:val="003C5813"/>
    <w:rsid w:val="003C5DAC"/>
    <w:rsid w:val="003C730F"/>
    <w:rsid w:val="003D010F"/>
    <w:rsid w:val="003D3543"/>
    <w:rsid w:val="003D3ABF"/>
    <w:rsid w:val="003D5597"/>
    <w:rsid w:val="003D5CA0"/>
    <w:rsid w:val="003D61DD"/>
    <w:rsid w:val="003D7775"/>
    <w:rsid w:val="003E0FD8"/>
    <w:rsid w:val="003E4469"/>
    <w:rsid w:val="003E5EDE"/>
    <w:rsid w:val="003E6FCB"/>
    <w:rsid w:val="003F0225"/>
    <w:rsid w:val="003F1E11"/>
    <w:rsid w:val="003F3684"/>
    <w:rsid w:val="003F3B19"/>
    <w:rsid w:val="003F3E99"/>
    <w:rsid w:val="003F440D"/>
    <w:rsid w:val="003F4E5F"/>
    <w:rsid w:val="003F4EF4"/>
    <w:rsid w:val="003F5E8A"/>
    <w:rsid w:val="003F6793"/>
    <w:rsid w:val="003F68C5"/>
    <w:rsid w:val="004002C1"/>
    <w:rsid w:val="0040076A"/>
    <w:rsid w:val="00401638"/>
    <w:rsid w:val="00401FD1"/>
    <w:rsid w:val="00406782"/>
    <w:rsid w:val="00407B6E"/>
    <w:rsid w:val="00410789"/>
    <w:rsid w:val="00411D13"/>
    <w:rsid w:val="00411F49"/>
    <w:rsid w:val="00412BB8"/>
    <w:rsid w:val="004144D4"/>
    <w:rsid w:val="004148F8"/>
    <w:rsid w:val="0041595F"/>
    <w:rsid w:val="00415A2B"/>
    <w:rsid w:val="00415B16"/>
    <w:rsid w:val="00416796"/>
    <w:rsid w:val="00416C1B"/>
    <w:rsid w:val="00416E30"/>
    <w:rsid w:val="00422B22"/>
    <w:rsid w:val="00422CFF"/>
    <w:rsid w:val="00422ED4"/>
    <w:rsid w:val="0042331F"/>
    <w:rsid w:val="0042580B"/>
    <w:rsid w:val="00426909"/>
    <w:rsid w:val="004271EF"/>
    <w:rsid w:val="004301D9"/>
    <w:rsid w:val="00430559"/>
    <w:rsid w:val="0043078E"/>
    <w:rsid w:val="00432138"/>
    <w:rsid w:val="00432546"/>
    <w:rsid w:val="00432DDA"/>
    <w:rsid w:val="00433CAD"/>
    <w:rsid w:val="00436211"/>
    <w:rsid w:val="0044037B"/>
    <w:rsid w:val="004422E1"/>
    <w:rsid w:val="00442BEA"/>
    <w:rsid w:val="00443407"/>
    <w:rsid w:val="004446AC"/>
    <w:rsid w:val="00446F3A"/>
    <w:rsid w:val="00451491"/>
    <w:rsid w:val="00452A7D"/>
    <w:rsid w:val="00452C5B"/>
    <w:rsid w:val="004563B2"/>
    <w:rsid w:val="00456F24"/>
    <w:rsid w:val="00456FE6"/>
    <w:rsid w:val="00461654"/>
    <w:rsid w:val="00461D8F"/>
    <w:rsid w:val="004648E5"/>
    <w:rsid w:val="00466CDC"/>
    <w:rsid w:val="004670BA"/>
    <w:rsid w:val="0047035B"/>
    <w:rsid w:val="004707C9"/>
    <w:rsid w:val="00471E62"/>
    <w:rsid w:val="00472AA6"/>
    <w:rsid w:val="004730AE"/>
    <w:rsid w:val="004731E3"/>
    <w:rsid w:val="004735E9"/>
    <w:rsid w:val="00473DA3"/>
    <w:rsid w:val="00473FCA"/>
    <w:rsid w:val="004756FE"/>
    <w:rsid w:val="004757F9"/>
    <w:rsid w:val="00475856"/>
    <w:rsid w:val="0047618E"/>
    <w:rsid w:val="00476191"/>
    <w:rsid w:val="00476FEC"/>
    <w:rsid w:val="00480ADB"/>
    <w:rsid w:val="004813F7"/>
    <w:rsid w:val="00482441"/>
    <w:rsid w:val="00484A69"/>
    <w:rsid w:val="0048562D"/>
    <w:rsid w:val="004856BE"/>
    <w:rsid w:val="00486B4A"/>
    <w:rsid w:val="00490890"/>
    <w:rsid w:val="004918FD"/>
    <w:rsid w:val="00493354"/>
    <w:rsid w:val="00497655"/>
    <w:rsid w:val="004A1974"/>
    <w:rsid w:val="004A1B93"/>
    <w:rsid w:val="004A22B3"/>
    <w:rsid w:val="004A276A"/>
    <w:rsid w:val="004A27F8"/>
    <w:rsid w:val="004A2ECF"/>
    <w:rsid w:val="004A4E91"/>
    <w:rsid w:val="004A5289"/>
    <w:rsid w:val="004A55B2"/>
    <w:rsid w:val="004A55BD"/>
    <w:rsid w:val="004A5A3E"/>
    <w:rsid w:val="004A7A18"/>
    <w:rsid w:val="004A7CB5"/>
    <w:rsid w:val="004B00B2"/>
    <w:rsid w:val="004B034D"/>
    <w:rsid w:val="004B05C2"/>
    <w:rsid w:val="004B1AA9"/>
    <w:rsid w:val="004B1AE8"/>
    <w:rsid w:val="004B22A6"/>
    <w:rsid w:val="004B2A16"/>
    <w:rsid w:val="004B353B"/>
    <w:rsid w:val="004B607D"/>
    <w:rsid w:val="004B77ED"/>
    <w:rsid w:val="004B7A39"/>
    <w:rsid w:val="004C1BB7"/>
    <w:rsid w:val="004C2358"/>
    <w:rsid w:val="004C602E"/>
    <w:rsid w:val="004C6C3F"/>
    <w:rsid w:val="004C741A"/>
    <w:rsid w:val="004D0001"/>
    <w:rsid w:val="004D05A4"/>
    <w:rsid w:val="004D2B5A"/>
    <w:rsid w:val="004D2FAE"/>
    <w:rsid w:val="004D35B5"/>
    <w:rsid w:val="004D37D9"/>
    <w:rsid w:val="004D53E2"/>
    <w:rsid w:val="004E045E"/>
    <w:rsid w:val="004E128C"/>
    <w:rsid w:val="004E2003"/>
    <w:rsid w:val="004E34B5"/>
    <w:rsid w:val="004E4451"/>
    <w:rsid w:val="004E4AB6"/>
    <w:rsid w:val="004E5B19"/>
    <w:rsid w:val="004E6476"/>
    <w:rsid w:val="004F1FBD"/>
    <w:rsid w:val="004F2EF7"/>
    <w:rsid w:val="004F4E03"/>
    <w:rsid w:val="004F4E3A"/>
    <w:rsid w:val="004F4E6A"/>
    <w:rsid w:val="004F632C"/>
    <w:rsid w:val="004F6955"/>
    <w:rsid w:val="00501FED"/>
    <w:rsid w:val="0050495F"/>
    <w:rsid w:val="00504D06"/>
    <w:rsid w:val="00505AE8"/>
    <w:rsid w:val="00505CF1"/>
    <w:rsid w:val="00506270"/>
    <w:rsid w:val="00506344"/>
    <w:rsid w:val="005063E2"/>
    <w:rsid w:val="005075C4"/>
    <w:rsid w:val="00511958"/>
    <w:rsid w:val="00511CF8"/>
    <w:rsid w:val="00516015"/>
    <w:rsid w:val="00517738"/>
    <w:rsid w:val="00517C76"/>
    <w:rsid w:val="00521D36"/>
    <w:rsid w:val="00523D39"/>
    <w:rsid w:val="00525073"/>
    <w:rsid w:val="0052522F"/>
    <w:rsid w:val="0052602B"/>
    <w:rsid w:val="00526832"/>
    <w:rsid w:val="00527BE2"/>
    <w:rsid w:val="00527C67"/>
    <w:rsid w:val="0053488A"/>
    <w:rsid w:val="00534AB0"/>
    <w:rsid w:val="005355AE"/>
    <w:rsid w:val="00541744"/>
    <w:rsid w:val="00544048"/>
    <w:rsid w:val="0054409A"/>
    <w:rsid w:val="00552ABE"/>
    <w:rsid w:val="00553517"/>
    <w:rsid w:val="005537DE"/>
    <w:rsid w:val="005550A0"/>
    <w:rsid w:val="0055528E"/>
    <w:rsid w:val="00555808"/>
    <w:rsid w:val="00555C9A"/>
    <w:rsid w:val="00561A3B"/>
    <w:rsid w:val="005623CC"/>
    <w:rsid w:val="005624D5"/>
    <w:rsid w:val="005633B2"/>
    <w:rsid w:val="005637D5"/>
    <w:rsid w:val="005645AA"/>
    <w:rsid w:val="00564F93"/>
    <w:rsid w:val="00566C60"/>
    <w:rsid w:val="005679E6"/>
    <w:rsid w:val="00567AB2"/>
    <w:rsid w:val="00567E6D"/>
    <w:rsid w:val="00572219"/>
    <w:rsid w:val="0057299E"/>
    <w:rsid w:val="005735B2"/>
    <w:rsid w:val="00574BB0"/>
    <w:rsid w:val="00575FE2"/>
    <w:rsid w:val="005768CC"/>
    <w:rsid w:val="00576B02"/>
    <w:rsid w:val="00576BF2"/>
    <w:rsid w:val="0058062E"/>
    <w:rsid w:val="005813FC"/>
    <w:rsid w:val="0058221F"/>
    <w:rsid w:val="005828DA"/>
    <w:rsid w:val="00582E9D"/>
    <w:rsid w:val="00584AFF"/>
    <w:rsid w:val="00586AF7"/>
    <w:rsid w:val="00586EDE"/>
    <w:rsid w:val="00586EE6"/>
    <w:rsid w:val="00587BF5"/>
    <w:rsid w:val="00590FF3"/>
    <w:rsid w:val="00591049"/>
    <w:rsid w:val="0059296C"/>
    <w:rsid w:val="00593018"/>
    <w:rsid w:val="005935FE"/>
    <w:rsid w:val="00593B26"/>
    <w:rsid w:val="00594305"/>
    <w:rsid w:val="00594FC3"/>
    <w:rsid w:val="00595909"/>
    <w:rsid w:val="00595EB6"/>
    <w:rsid w:val="005A1AB2"/>
    <w:rsid w:val="005A36D7"/>
    <w:rsid w:val="005A4542"/>
    <w:rsid w:val="005A64F6"/>
    <w:rsid w:val="005A7660"/>
    <w:rsid w:val="005B030E"/>
    <w:rsid w:val="005B0E4B"/>
    <w:rsid w:val="005B160A"/>
    <w:rsid w:val="005B1F66"/>
    <w:rsid w:val="005B2CD4"/>
    <w:rsid w:val="005B3681"/>
    <w:rsid w:val="005B37EE"/>
    <w:rsid w:val="005C09C6"/>
    <w:rsid w:val="005C176B"/>
    <w:rsid w:val="005C31F3"/>
    <w:rsid w:val="005C361D"/>
    <w:rsid w:val="005C3DA5"/>
    <w:rsid w:val="005C5515"/>
    <w:rsid w:val="005C6A64"/>
    <w:rsid w:val="005C771F"/>
    <w:rsid w:val="005D06DD"/>
    <w:rsid w:val="005D2391"/>
    <w:rsid w:val="005D765C"/>
    <w:rsid w:val="005D78D1"/>
    <w:rsid w:val="005E2129"/>
    <w:rsid w:val="005E44EF"/>
    <w:rsid w:val="005E4D94"/>
    <w:rsid w:val="005F01D9"/>
    <w:rsid w:val="005F2796"/>
    <w:rsid w:val="005F4EF1"/>
    <w:rsid w:val="005F6171"/>
    <w:rsid w:val="005F6ACA"/>
    <w:rsid w:val="005F6CCD"/>
    <w:rsid w:val="005F7336"/>
    <w:rsid w:val="005F7C32"/>
    <w:rsid w:val="006016EE"/>
    <w:rsid w:val="00601AEE"/>
    <w:rsid w:val="00602FC3"/>
    <w:rsid w:val="006064C1"/>
    <w:rsid w:val="00606B42"/>
    <w:rsid w:val="00607B3F"/>
    <w:rsid w:val="00607FC6"/>
    <w:rsid w:val="00610419"/>
    <w:rsid w:val="00611EEE"/>
    <w:rsid w:val="00612373"/>
    <w:rsid w:val="00615CA2"/>
    <w:rsid w:val="006162DD"/>
    <w:rsid w:val="006165B9"/>
    <w:rsid w:val="00616B00"/>
    <w:rsid w:val="00617191"/>
    <w:rsid w:val="00617CF7"/>
    <w:rsid w:val="00621730"/>
    <w:rsid w:val="0062280C"/>
    <w:rsid w:val="006230A9"/>
    <w:rsid w:val="006231AB"/>
    <w:rsid w:val="00623235"/>
    <w:rsid w:val="006247E4"/>
    <w:rsid w:val="0062542F"/>
    <w:rsid w:val="006265EB"/>
    <w:rsid w:val="00626960"/>
    <w:rsid w:val="0062703C"/>
    <w:rsid w:val="006275AA"/>
    <w:rsid w:val="00631FFA"/>
    <w:rsid w:val="00633511"/>
    <w:rsid w:val="006400EF"/>
    <w:rsid w:val="00640E01"/>
    <w:rsid w:val="00640FC0"/>
    <w:rsid w:val="00641C93"/>
    <w:rsid w:val="00642FD9"/>
    <w:rsid w:val="00643053"/>
    <w:rsid w:val="0064596F"/>
    <w:rsid w:val="006461FA"/>
    <w:rsid w:val="00646FA8"/>
    <w:rsid w:val="00647779"/>
    <w:rsid w:val="006507D1"/>
    <w:rsid w:val="0065199C"/>
    <w:rsid w:val="00652324"/>
    <w:rsid w:val="006526DA"/>
    <w:rsid w:val="0065311E"/>
    <w:rsid w:val="006538F8"/>
    <w:rsid w:val="00655BFB"/>
    <w:rsid w:val="006568D4"/>
    <w:rsid w:val="0066022F"/>
    <w:rsid w:val="00660332"/>
    <w:rsid w:val="0066095C"/>
    <w:rsid w:val="00662C3F"/>
    <w:rsid w:val="00663278"/>
    <w:rsid w:val="006637B3"/>
    <w:rsid w:val="00665338"/>
    <w:rsid w:val="006661C3"/>
    <w:rsid w:val="006674FE"/>
    <w:rsid w:val="0066777D"/>
    <w:rsid w:val="006718B7"/>
    <w:rsid w:val="00672454"/>
    <w:rsid w:val="006734B4"/>
    <w:rsid w:val="00674AF6"/>
    <w:rsid w:val="00674C3A"/>
    <w:rsid w:val="00674F34"/>
    <w:rsid w:val="00677696"/>
    <w:rsid w:val="00680191"/>
    <w:rsid w:val="006812CB"/>
    <w:rsid w:val="0068243F"/>
    <w:rsid w:val="00683589"/>
    <w:rsid w:val="00685C1D"/>
    <w:rsid w:val="00687CBB"/>
    <w:rsid w:val="006912AB"/>
    <w:rsid w:val="0069325F"/>
    <w:rsid w:val="006A0687"/>
    <w:rsid w:val="006A1A20"/>
    <w:rsid w:val="006A2A41"/>
    <w:rsid w:val="006A37F9"/>
    <w:rsid w:val="006A5983"/>
    <w:rsid w:val="006A6056"/>
    <w:rsid w:val="006A72DD"/>
    <w:rsid w:val="006A7719"/>
    <w:rsid w:val="006B0914"/>
    <w:rsid w:val="006B0CB0"/>
    <w:rsid w:val="006B23E4"/>
    <w:rsid w:val="006B2BBC"/>
    <w:rsid w:val="006B402B"/>
    <w:rsid w:val="006B410C"/>
    <w:rsid w:val="006B42D1"/>
    <w:rsid w:val="006B52BB"/>
    <w:rsid w:val="006B678E"/>
    <w:rsid w:val="006C10DA"/>
    <w:rsid w:val="006C15AE"/>
    <w:rsid w:val="006C36C2"/>
    <w:rsid w:val="006C48AF"/>
    <w:rsid w:val="006C6213"/>
    <w:rsid w:val="006C6C44"/>
    <w:rsid w:val="006C7961"/>
    <w:rsid w:val="006D1279"/>
    <w:rsid w:val="006D210F"/>
    <w:rsid w:val="006D2A94"/>
    <w:rsid w:val="006D3E0D"/>
    <w:rsid w:val="006D3FE7"/>
    <w:rsid w:val="006D4CBB"/>
    <w:rsid w:val="006D6265"/>
    <w:rsid w:val="006D7E39"/>
    <w:rsid w:val="006E182E"/>
    <w:rsid w:val="006E35BD"/>
    <w:rsid w:val="006E3603"/>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1EE5"/>
    <w:rsid w:val="0070368B"/>
    <w:rsid w:val="007069BB"/>
    <w:rsid w:val="00710912"/>
    <w:rsid w:val="00711FF0"/>
    <w:rsid w:val="00712141"/>
    <w:rsid w:val="007144F4"/>
    <w:rsid w:val="007164B9"/>
    <w:rsid w:val="007164FB"/>
    <w:rsid w:val="00721D23"/>
    <w:rsid w:val="00721FD5"/>
    <w:rsid w:val="0072376D"/>
    <w:rsid w:val="00724CB4"/>
    <w:rsid w:val="0072529B"/>
    <w:rsid w:val="00725E29"/>
    <w:rsid w:val="007260CA"/>
    <w:rsid w:val="00727C52"/>
    <w:rsid w:val="007303B8"/>
    <w:rsid w:val="00733008"/>
    <w:rsid w:val="007332DE"/>
    <w:rsid w:val="00736A59"/>
    <w:rsid w:val="00737AE4"/>
    <w:rsid w:val="00740AAD"/>
    <w:rsid w:val="00742385"/>
    <w:rsid w:val="00743803"/>
    <w:rsid w:val="00743812"/>
    <w:rsid w:val="00745ADA"/>
    <w:rsid w:val="00746629"/>
    <w:rsid w:val="00747577"/>
    <w:rsid w:val="007504A5"/>
    <w:rsid w:val="007517B2"/>
    <w:rsid w:val="0075193E"/>
    <w:rsid w:val="00752483"/>
    <w:rsid w:val="007527F6"/>
    <w:rsid w:val="007534DB"/>
    <w:rsid w:val="00753CF7"/>
    <w:rsid w:val="00754ECE"/>
    <w:rsid w:val="00756722"/>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0C7F"/>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1C38"/>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B5B7E"/>
    <w:rsid w:val="007C1885"/>
    <w:rsid w:val="007C1BA0"/>
    <w:rsid w:val="007C1C0A"/>
    <w:rsid w:val="007C3278"/>
    <w:rsid w:val="007C3A3B"/>
    <w:rsid w:val="007C41E1"/>
    <w:rsid w:val="007C4A27"/>
    <w:rsid w:val="007C63AA"/>
    <w:rsid w:val="007C63C4"/>
    <w:rsid w:val="007C67A8"/>
    <w:rsid w:val="007C6A57"/>
    <w:rsid w:val="007D4241"/>
    <w:rsid w:val="007D493E"/>
    <w:rsid w:val="007D49BB"/>
    <w:rsid w:val="007D50E5"/>
    <w:rsid w:val="007D5AE9"/>
    <w:rsid w:val="007E01E1"/>
    <w:rsid w:val="007E04A2"/>
    <w:rsid w:val="007E0DD6"/>
    <w:rsid w:val="007E1845"/>
    <w:rsid w:val="007E25A3"/>
    <w:rsid w:val="007E2840"/>
    <w:rsid w:val="007E4AD3"/>
    <w:rsid w:val="007E4F4A"/>
    <w:rsid w:val="007E7945"/>
    <w:rsid w:val="007F2486"/>
    <w:rsid w:val="007F3020"/>
    <w:rsid w:val="007F5C81"/>
    <w:rsid w:val="007F7679"/>
    <w:rsid w:val="007F796B"/>
    <w:rsid w:val="0080486D"/>
    <w:rsid w:val="00805493"/>
    <w:rsid w:val="008073F7"/>
    <w:rsid w:val="008149ED"/>
    <w:rsid w:val="008203D2"/>
    <w:rsid w:val="00820AB7"/>
    <w:rsid w:val="0082111A"/>
    <w:rsid w:val="00821D6E"/>
    <w:rsid w:val="00823BB0"/>
    <w:rsid w:val="008257C6"/>
    <w:rsid w:val="00826C16"/>
    <w:rsid w:val="008303CE"/>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30E"/>
    <w:rsid w:val="00841C7D"/>
    <w:rsid w:val="00842651"/>
    <w:rsid w:val="00843D0D"/>
    <w:rsid w:val="00845950"/>
    <w:rsid w:val="00846164"/>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1B3A"/>
    <w:rsid w:val="00875631"/>
    <w:rsid w:val="00875F96"/>
    <w:rsid w:val="0087607A"/>
    <w:rsid w:val="008767A9"/>
    <w:rsid w:val="00876998"/>
    <w:rsid w:val="00876A75"/>
    <w:rsid w:val="0087741D"/>
    <w:rsid w:val="0087781F"/>
    <w:rsid w:val="00882B46"/>
    <w:rsid w:val="00883F82"/>
    <w:rsid w:val="00885D0A"/>
    <w:rsid w:val="00891775"/>
    <w:rsid w:val="00891951"/>
    <w:rsid w:val="0089281F"/>
    <w:rsid w:val="0089368F"/>
    <w:rsid w:val="00894118"/>
    <w:rsid w:val="00894DA4"/>
    <w:rsid w:val="00895441"/>
    <w:rsid w:val="00895937"/>
    <w:rsid w:val="00896303"/>
    <w:rsid w:val="008971F7"/>
    <w:rsid w:val="00897AE2"/>
    <w:rsid w:val="008A07F2"/>
    <w:rsid w:val="008A1198"/>
    <w:rsid w:val="008A1512"/>
    <w:rsid w:val="008A16C7"/>
    <w:rsid w:val="008A1DF9"/>
    <w:rsid w:val="008A1FC1"/>
    <w:rsid w:val="008A2069"/>
    <w:rsid w:val="008A31AB"/>
    <w:rsid w:val="008A3431"/>
    <w:rsid w:val="008A37BF"/>
    <w:rsid w:val="008A4020"/>
    <w:rsid w:val="008A64E8"/>
    <w:rsid w:val="008B0970"/>
    <w:rsid w:val="008B11F2"/>
    <w:rsid w:val="008B3F3E"/>
    <w:rsid w:val="008B5BED"/>
    <w:rsid w:val="008B6507"/>
    <w:rsid w:val="008B7C55"/>
    <w:rsid w:val="008C0F4D"/>
    <w:rsid w:val="008C0F68"/>
    <w:rsid w:val="008C48DA"/>
    <w:rsid w:val="008C5684"/>
    <w:rsid w:val="008C654B"/>
    <w:rsid w:val="008C6BCA"/>
    <w:rsid w:val="008C6E8B"/>
    <w:rsid w:val="008C73B0"/>
    <w:rsid w:val="008C7550"/>
    <w:rsid w:val="008C76F5"/>
    <w:rsid w:val="008C7983"/>
    <w:rsid w:val="008C7EB9"/>
    <w:rsid w:val="008C7EC8"/>
    <w:rsid w:val="008D0FFD"/>
    <w:rsid w:val="008D19C7"/>
    <w:rsid w:val="008D1FF5"/>
    <w:rsid w:val="008D36F6"/>
    <w:rsid w:val="008E0C57"/>
    <w:rsid w:val="008E3E59"/>
    <w:rsid w:val="008E403C"/>
    <w:rsid w:val="008E46EB"/>
    <w:rsid w:val="008E4D0A"/>
    <w:rsid w:val="008E525D"/>
    <w:rsid w:val="008E5D86"/>
    <w:rsid w:val="008E6156"/>
    <w:rsid w:val="008E6565"/>
    <w:rsid w:val="008E75FB"/>
    <w:rsid w:val="008F0689"/>
    <w:rsid w:val="008F160A"/>
    <w:rsid w:val="008F29F8"/>
    <w:rsid w:val="008F2FEB"/>
    <w:rsid w:val="008F37A9"/>
    <w:rsid w:val="008F3EB1"/>
    <w:rsid w:val="008F45C8"/>
    <w:rsid w:val="008F4AF5"/>
    <w:rsid w:val="008F5EFC"/>
    <w:rsid w:val="008F7480"/>
    <w:rsid w:val="00900F59"/>
    <w:rsid w:val="009010D0"/>
    <w:rsid w:val="00903FC6"/>
    <w:rsid w:val="00905624"/>
    <w:rsid w:val="0090597F"/>
    <w:rsid w:val="0090624C"/>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63EB"/>
    <w:rsid w:val="009275E5"/>
    <w:rsid w:val="00927AC0"/>
    <w:rsid w:val="0093094B"/>
    <w:rsid w:val="00930A78"/>
    <w:rsid w:val="009312AE"/>
    <w:rsid w:val="00932605"/>
    <w:rsid w:val="009343FB"/>
    <w:rsid w:val="00935F67"/>
    <w:rsid w:val="00935FDB"/>
    <w:rsid w:val="0093693A"/>
    <w:rsid w:val="00937477"/>
    <w:rsid w:val="00937A22"/>
    <w:rsid w:val="00940C90"/>
    <w:rsid w:val="00941D14"/>
    <w:rsid w:val="0094338D"/>
    <w:rsid w:val="0094342A"/>
    <w:rsid w:val="00944A1B"/>
    <w:rsid w:val="009529B4"/>
    <w:rsid w:val="00952FF8"/>
    <w:rsid w:val="0095359D"/>
    <w:rsid w:val="0095572C"/>
    <w:rsid w:val="009565C1"/>
    <w:rsid w:val="00960845"/>
    <w:rsid w:val="009608AB"/>
    <w:rsid w:val="00960CBA"/>
    <w:rsid w:val="00961B6B"/>
    <w:rsid w:val="009636F2"/>
    <w:rsid w:val="00963F82"/>
    <w:rsid w:val="009645A2"/>
    <w:rsid w:val="009671F5"/>
    <w:rsid w:val="009677B5"/>
    <w:rsid w:val="00967A48"/>
    <w:rsid w:val="00971B4F"/>
    <w:rsid w:val="009738C6"/>
    <w:rsid w:val="00974996"/>
    <w:rsid w:val="00975358"/>
    <w:rsid w:val="009766D9"/>
    <w:rsid w:val="00976D3F"/>
    <w:rsid w:val="009778FB"/>
    <w:rsid w:val="0098484C"/>
    <w:rsid w:val="00984D31"/>
    <w:rsid w:val="00990553"/>
    <w:rsid w:val="00991F30"/>
    <w:rsid w:val="0099578F"/>
    <w:rsid w:val="00996B82"/>
    <w:rsid w:val="009A0002"/>
    <w:rsid w:val="009A0286"/>
    <w:rsid w:val="009A17CF"/>
    <w:rsid w:val="009A1E30"/>
    <w:rsid w:val="009A2369"/>
    <w:rsid w:val="009A326B"/>
    <w:rsid w:val="009A5FAA"/>
    <w:rsid w:val="009B0912"/>
    <w:rsid w:val="009B3011"/>
    <w:rsid w:val="009B3F6C"/>
    <w:rsid w:val="009B4213"/>
    <w:rsid w:val="009B51B7"/>
    <w:rsid w:val="009B5ABC"/>
    <w:rsid w:val="009B6D9D"/>
    <w:rsid w:val="009C48DC"/>
    <w:rsid w:val="009C494D"/>
    <w:rsid w:val="009C7F74"/>
    <w:rsid w:val="009D07B0"/>
    <w:rsid w:val="009D089F"/>
    <w:rsid w:val="009D15D5"/>
    <w:rsid w:val="009D1802"/>
    <w:rsid w:val="009D3705"/>
    <w:rsid w:val="009D3DCE"/>
    <w:rsid w:val="009D7148"/>
    <w:rsid w:val="009E1DFA"/>
    <w:rsid w:val="009E1FEE"/>
    <w:rsid w:val="009E2A91"/>
    <w:rsid w:val="009E32E7"/>
    <w:rsid w:val="009E7151"/>
    <w:rsid w:val="009E7DBD"/>
    <w:rsid w:val="009F1B39"/>
    <w:rsid w:val="009F4DE8"/>
    <w:rsid w:val="009F52B4"/>
    <w:rsid w:val="00A00825"/>
    <w:rsid w:val="00A01204"/>
    <w:rsid w:val="00A02184"/>
    <w:rsid w:val="00A02A6C"/>
    <w:rsid w:val="00A03A5F"/>
    <w:rsid w:val="00A03D46"/>
    <w:rsid w:val="00A0508B"/>
    <w:rsid w:val="00A05B28"/>
    <w:rsid w:val="00A06A61"/>
    <w:rsid w:val="00A0770D"/>
    <w:rsid w:val="00A079A5"/>
    <w:rsid w:val="00A14577"/>
    <w:rsid w:val="00A14D9B"/>
    <w:rsid w:val="00A14DDA"/>
    <w:rsid w:val="00A167FB"/>
    <w:rsid w:val="00A21BAC"/>
    <w:rsid w:val="00A23BA5"/>
    <w:rsid w:val="00A25E22"/>
    <w:rsid w:val="00A26337"/>
    <w:rsid w:val="00A26F75"/>
    <w:rsid w:val="00A307AE"/>
    <w:rsid w:val="00A31C9B"/>
    <w:rsid w:val="00A322EF"/>
    <w:rsid w:val="00A335C8"/>
    <w:rsid w:val="00A34CCD"/>
    <w:rsid w:val="00A34E90"/>
    <w:rsid w:val="00A376C8"/>
    <w:rsid w:val="00A378F3"/>
    <w:rsid w:val="00A41E4B"/>
    <w:rsid w:val="00A43770"/>
    <w:rsid w:val="00A44015"/>
    <w:rsid w:val="00A445F4"/>
    <w:rsid w:val="00A475F1"/>
    <w:rsid w:val="00A47AAA"/>
    <w:rsid w:val="00A51228"/>
    <w:rsid w:val="00A5130D"/>
    <w:rsid w:val="00A51AA8"/>
    <w:rsid w:val="00A544FE"/>
    <w:rsid w:val="00A55473"/>
    <w:rsid w:val="00A56F21"/>
    <w:rsid w:val="00A607D0"/>
    <w:rsid w:val="00A60BEF"/>
    <w:rsid w:val="00A60EDC"/>
    <w:rsid w:val="00A621AE"/>
    <w:rsid w:val="00A62796"/>
    <w:rsid w:val="00A62E0E"/>
    <w:rsid w:val="00A62EE0"/>
    <w:rsid w:val="00A646C8"/>
    <w:rsid w:val="00A64F69"/>
    <w:rsid w:val="00A65325"/>
    <w:rsid w:val="00A65BDF"/>
    <w:rsid w:val="00A65D57"/>
    <w:rsid w:val="00A65FE0"/>
    <w:rsid w:val="00A67198"/>
    <w:rsid w:val="00A67B42"/>
    <w:rsid w:val="00A70862"/>
    <w:rsid w:val="00A70D5A"/>
    <w:rsid w:val="00A71A6C"/>
    <w:rsid w:val="00A72ACD"/>
    <w:rsid w:val="00A72C3A"/>
    <w:rsid w:val="00A72FB9"/>
    <w:rsid w:val="00A741DC"/>
    <w:rsid w:val="00A74D00"/>
    <w:rsid w:val="00A75E7F"/>
    <w:rsid w:val="00A76BF6"/>
    <w:rsid w:val="00A76F43"/>
    <w:rsid w:val="00A80907"/>
    <w:rsid w:val="00A80C63"/>
    <w:rsid w:val="00A81210"/>
    <w:rsid w:val="00A81B04"/>
    <w:rsid w:val="00A823D9"/>
    <w:rsid w:val="00A8279C"/>
    <w:rsid w:val="00A82ACC"/>
    <w:rsid w:val="00A83961"/>
    <w:rsid w:val="00A86160"/>
    <w:rsid w:val="00A86D2B"/>
    <w:rsid w:val="00A879E4"/>
    <w:rsid w:val="00A87BCF"/>
    <w:rsid w:val="00A90CF7"/>
    <w:rsid w:val="00A92213"/>
    <w:rsid w:val="00A92905"/>
    <w:rsid w:val="00A93088"/>
    <w:rsid w:val="00A9318A"/>
    <w:rsid w:val="00A94393"/>
    <w:rsid w:val="00A95E83"/>
    <w:rsid w:val="00A961F2"/>
    <w:rsid w:val="00A9736E"/>
    <w:rsid w:val="00AA037D"/>
    <w:rsid w:val="00AA098C"/>
    <w:rsid w:val="00AA3A50"/>
    <w:rsid w:val="00AA5DCF"/>
    <w:rsid w:val="00AB021E"/>
    <w:rsid w:val="00AB1FF0"/>
    <w:rsid w:val="00AB2B4D"/>
    <w:rsid w:val="00AB33DD"/>
    <w:rsid w:val="00AB47D5"/>
    <w:rsid w:val="00AB47DB"/>
    <w:rsid w:val="00AB49AD"/>
    <w:rsid w:val="00AB6040"/>
    <w:rsid w:val="00AB6417"/>
    <w:rsid w:val="00AB6EC4"/>
    <w:rsid w:val="00AC06CA"/>
    <w:rsid w:val="00AC0B0A"/>
    <w:rsid w:val="00AC23E1"/>
    <w:rsid w:val="00AC2503"/>
    <w:rsid w:val="00AC5181"/>
    <w:rsid w:val="00AC7CA3"/>
    <w:rsid w:val="00AD4150"/>
    <w:rsid w:val="00AD44B9"/>
    <w:rsid w:val="00AD5CCB"/>
    <w:rsid w:val="00AD60FA"/>
    <w:rsid w:val="00AD631A"/>
    <w:rsid w:val="00AD644C"/>
    <w:rsid w:val="00AD6B03"/>
    <w:rsid w:val="00AD75A8"/>
    <w:rsid w:val="00AD77FD"/>
    <w:rsid w:val="00AD7ED1"/>
    <w:rsid w:val="00AE165D"/>
    <w:rsid w:val="00AE1C2B"/>
    <w:rsid w:val="00AE34B5"/>
    <w:rsid w:val="00AE37B5"/>
    <w:rsid w:val="00AE4491"/>
    <w:rsid w:val="00AE48FF"/>
    <w:rsid w:val="00AE4AE8"/>
    <w:rsid w:val="00AE593A"/>
    <w:rsid w:val="00AE73E5"/>
    <w:rsid w:val="00AF0215"/>
    <w:rsid w:val="00AF0302"/>
    <w:rsid w:val="00AF05BC"/>
    <w:rsid w:val="00AF1F6F"/>
    <w:rsid w:val="00AF241B"/>
    <w:rsid w:val="00AF3B5C"/>
    <w:rsid w:val="00AF4B25"/>
    <w:rsid w:val="00AF515F"/>
    <w:rsid w:val="00B005D1"/>
    <w:rsid w:val="00B010DC"/>
    <w:rsid w:val="00B04492"/>
    <w:rsid w:val="00B06B46"/>
    <w:rsid w:val="00B1012C"/>
    <w:rsid w:val="00B12365"/>
    <w:rsid w:val="00B13328"/>
    <w:rsid w:val="00B1562F"/>
    <w:rsid w:val="00B15AFB"/>
    <w:rsid w:val="00B21660"/>
    <w:rsid w:val="00B21F0D"/>
    <w:rsid w:val="00B22175"/>
    <w:rsid w:val="00B23C69"/>
    <w:rsid w:val="00B2418F"/>
    <w:rsid w:val="00B25152"/>
    <w:rsid w:val="00B25D7F"/>
    <w:rsid w:val="00B25DA1"/>
    <w:rsid w:val="00B31AEC"/>
    <w:rsid w:val="00B33937"/>
    <w:rsid w:val="00B363E3"/>
    <w:rsid w:val="00B370B3"/>
    <w:rsid w:val="00B374D5"/>
    <w:rsid w:val="00B37873"/>
    <w:rsid w:val="00B40EC6"/>
    <w:rsid w:val="00B44189"/>
    <w:rsid w:val="00B45963"/>
    <w:rsid w:val="00B4669E"/>
    <w:rsid w:val="00B467AD"/>
    <w:rsid w:val="00B46EAC"/>
    <w:rsid w:val="00B50921"/>
    <w:rsid w:val="00B521BE"/>
    <w:rsid w:val="00B5316B"/>
    <w:rsid w:val="00B54524"/>
    <w:rsid w:val="00B5461D"/>
    <w:rsid w:val="00B54D77"/>
    <w:rsid w:val="00B5566A"/>
    <w:rsid w:val="00B55C17"/>
    <w:rsid w:val="00B568CA"/>
    <w:rsid w:val="00B615D8"/>
    <w:rsid w:val="00B618AC"/>
    <w:rsid w:val="00B621AB"/>
    <w:rsid w:val="00B62302"/>
    <w:rsid w:val="00B6232D"/>
    <w:rsid w:val="00B64CB4"/>
    <w:rsid w:val="00B6690F"/>
    <w:rsid w:val="00B67B40"/>
    <w:rsid w:val="00B67BCA"/>
    <w:rsid w:val="00B72601"/>
    <w:rsid w:val="00B72FA8"/>
    <w:rsid w:val="00B7536B"/>
    <w:rsid w:val="00B763A1"/>
    <w:rsid w:val="00B81D79"/>
    <w:rsid w:val="00B826EB"/>
    <w:rsid w:val="00B84751"/>
    <w:rsid w:val="00B8494A"/>
    <w:rsid w:val="00B870C1"/>
    <w:rsid w:val="00B87C74"/>
    <w:rsid w:val="00B9069B"/>
    <w:rsid w:val="00B91D9C"/>
    <w:rsid w:val="00B92CCF"/>
    <w:rsid w:val="00B93272"/>
    <w:rsid w:val="00B93A30"/>
    <w:rsid w:val="00B94AB3"/>
    <w:rsid w:val="00BA025D"/>
    <w:rsid w:val="00BA2005"/>
    <w:rsid w:val="00BA28A7"/>
    <w:rsid w:val="00BA3266"/>
    <w:rsid w:val="00BA60DC"/>
    <w:rsid w:val="00BA66E7"/>
    <w:rsid w:val="00BA6B34"/>
    <w:rsid w:val="00BB04EE"/>
    <w:rsid w:val="00BB0523"/>
    <w:rsid w:val="00BB3D22"/>
    <w:rsid w:val="00BB400C"/>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2BE"/>
    <w:rsid w:val="00BD6A37"/>
    <w:rsid w:val="00BD6FF8"/>
    <w:rsid w:val="00BE03C0"/>
    <w:rsid w:val="00BE2B93"/>
    <w:rsid w:val="00BE3107"/>
    <w:rsid w:val="00BE4897"/>
    <w:rsid w:val="00BE5F12"/>
    <w:rsid w:val="00BE5F7A"/>
    <w:rsid w:val="00BE7252"/>
    <w:rsid w:val="00BE73AC"/>
    <w:rsid w:val="00BF31F8"/>
    <w:rsid w:val="00BF33BE"/>
    <w:rsid w:val="00BF38D6"/>
    <w:rsid w:val="00BF3C1E"/>
    <w:rsid w:val="00BF3E2A"/>
    <w:rsid w:val="00BF5967"/>
    <w:rsid w:val="00BF5E3C"/>
    <w:rsid w:val="00BF6395"/>
    <w:rsid w:val="00BF664F"/>
    <w:rsid w:val="00BF6B85"/>
    <w:rsid w:val="00BF7610"/>
    <w:rsid w:val="00C019E9"/>
    <w:rsid w:val="00C025CF"/>
    <w:rsid w:val="00C03838"/>
    <w:rsid w:val="00C046EE"/>
    <w:rsid w:val="00C0530B"/>
    <w:rsid w:val="00C068AF"/>
    <w:rsid w:val="00C10869"/>
    <w:rsid w:val="00C10C4D"/>
    <w:rsid w:val="00C13F06"/>
    <w:rsid w:val="00C16C53"/>
    <w:rsid w:val="00C20921"/>
    <w:rsid w:val="00C2092F"/>
    <w:rsid w:val="00C219A6"/>
    <w:rsid w:val="00C22CAC"/>
    <w:rsid w:val="00C22FDF"/>
    <w:rsid w:val="00C2329C"/>
    <w:rsid w:val="00C2344D"/>
    <w:rsid w:val="00C24086"/>
    <w:rsid w:val="00C253C2"/>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54E4D"/>
    <w:rsid w:val="00C609E9"/>
    <w:rsid w:val="00C61B0B"/>
    <w:rsid w:val="00C61F68"/>
    <w:rsid w:val="00C62314"/>
    <w:rsid w:val="00C633D2"/>
    <w:rsid w:val="00C63AE6"/>
    <w:rsid w:val="00C700EA"/>
    <w:rsid w:val="00C74178"/>
    <w:rsid w:val="00C81540"/>
    <w:rsid w:val="00C81BA6"/>
    <w:rsid w:val="00C820D0"/>
    <w:rsid w:val="00C86C66"/>
    <w:rsid w:val="00C90238"/>
    <w:rsid w:val="00C915A9"/>
    <w:rsid w:val="00C91605"/>
    <w:rsid w:val="00C92A4B"/>
    <w:rsid w:val="00C9346F"/>
    <w:rsid w:val="00C93652"/>
    <w:rsid w:val="00C94455"/>
    <w:rsid w:val="00C9497A"/>
    <w:rsid w:val="00C94C33"/>
    <w:rsid w:val="00C957C9"/>
    <w:rsid w:val="00C9630F"/>
    <w:rsid w:val="00C963C8"/>
    <w:rsid w:val="00CA03B8"/>
    <w:rsid w:val="00CA0828"/>
    <w:rsid w:val="00CA102E"/>
    <w:rsid w:val="00CA37DB"/>
    <w:rsid w:val="00CA40B0"/>
    <w:rsid w:val="00CA6D37"/>
    <w:rsid w:val="00CB1E85"/>
    <w:rsid w:val="00CB271C"/>
    <w:rsid w:val="00CB2D6D"/>
    <w:rsid w:val="00CB3596"/>
    <w:rsid w:val="00CB40FF"/>
    <w:rsid w:val="00CB4639"/>
    <w:rsid w:val="00CB4FA8"/>
    <w:rsid w:val="00CB7034"/>
    <w:rsid w:val="00CC084A"/>
    <w:rsid w:val="00CC14CA"/>
    <w:rsid w:val="00CC1892"/>
    <w:rsid w:val="00CC28B5"/>
    <w:rsid w:val="00CC2B6F"/>
    <w:rsid w:val="00CC41B9"/>
    <w:rsid w:val="00CC6BF9"/>
    <w:rsid w:val="00CD05B6"/>
    <w:rsid w:val="00CD0A78"/>
    <w:rsid w:val="00CD1289"/>
    <w:rsid w:val="00CD1563"/>
    <w:rsid w:val="00CD215C"/>
    <w:rsid w:val="00CD2B45"/>
    <w:rsid w:val="00CD2BDF"/>
    <w:rsid w:val="00CD30CA"/>
    <w:rsid w:val="00CD4451"/>
    <w:rsid w:val="00CD4B85"/>
    <w:rsid w:val="00CD5423"/>
    <w:rsid w:val="00CD6589"/>
    <w:rsid w:val="00CD766D"/>
    <w:rsid w:val="00CD7D8D"/>
    <w:rsid w:val="00CE21FB"/>
    <w:rsid w:val="00CE2DB9"/>
    <w:rsid w:val="00CE3AB1"/>
    <w:rsid w:val="00CE4A0E"/>
    <w:rsid w:val="00CE4C45"/>
    <w:rsid w:val="00CE70F4"/>
    <w:rsid w:val="00CF3694"/>
    <w:rsid w:val="00CF4BFB"/>
    <w:rsid w:val="00CF64DE"/>
    <w:rsid w:val="00D003A7"/>
    <w:rsid w:val="00D01BBC"/>
    <w:rsid w:val="00D02862"/>
    <w:rsid w:val="00D03F0A"/>
    <w:rsid w:val="00D04A3B"/>
    <w:rsid w:val="00D0591C"/>
    <w:rsid w:val="00D059C4"/>
    <w:rsid w:val="00D067F1"/>
    <w:rsid w:val="00D06CD4"/>
    <w:rsid w:val="00D10662"/>
    <w:rsid w:val="00D12E54"/>
    <w:rsid w:val="00D149EA"/>
    <w:rsid w:val="00D17447"/>
    <w:rsid w:val="00D17BCF"/>
    <w:rsid w:val="00D2106F"/>
    <w:rsid w:val="00D266AA"/>
    <w:rsid w:val="00D2753C"/>
    <w:rsid w:val="00D3110F"/>
    <w:rsid w:val="00D31737"/>
    <w:rsid w:val="00D317CE"/>
    <w:rsid w:val="00D318FF"/>
    <w:rsid w:val="00D3260C"/>
    <w:rsid w:val="00D32995"/>
    <w:rsid w:val="00D32E49"/>
    <w:rsid w:val="00D32EB9"/>
    <w:rsid w:val="00D33E07"/>
    <w:rsid w:val="00D35C13"/>
    <w:rsid w:val="00D36772"/>
    <w:rsid w:val="00D3709F"/>
    <w:rsid w:val="00D37FDF"/>
    <w:rsid w:val="00D41626"/>
    <w:rsid w:val="00D44201"/>
    <w:rsid w:val="00D449A0"/>
    <w:rsid w:val="00D45301"/>
    <w:rsid w:val="00D458C9"/>
    <w:rsid w:val="00D51B3F"/>
    <w:rsid w:val="00D51EA7"/>
    <w:rsid w:val="00D56306"/>
    <w:rsid w:val="00D57352"/>
    <w:rsid w:val="00D629FE"/>
    <w:rsid w:val="00D64930"/>
    <w:rsid w:val="00D6531C"/>
    <w:rsid w:val="00D66062"/>
    <w:rsid w:val="00D670CB"/>
    <w:rsid w:val="00D70611"/>
    <w:rsid w:val="00D71EB8"/>
    <w:rsid w:val="00D729CA"/>
    <w:rsid w:val="00D72A74"/>
    <w:rsid w:val="00D7507D"/>
    <w:rsid w:val="00D7510F"/>
    <w:rsid w:val="00D75E57"/>
    <w:rsid w:val="00D76291"/>
    <w:rsid w:val="00D80C4C"/>
    <w:rsid w:val="00D821D8"/>
    <w:rsid w:val="00D82C34"/>
    <w:rsid w:val="00D8361B"/>
    <w:rsid w:val="00D83C6D"/>
    <w:rsid w:val="00D83E69"/>
    <w:rsid w:val="00D852CF"/>
    <w:rsid w:val="00D856F4"/>
    <w:rsid w:val="00D856F8"/>
    <w:rsid w:val="00D86EA7"/>
    <w:rsid w:val="00D87744"/>
    <w:rsid w:val="00D90ACE"/>
    <w:rsid w:val="00D9153C"/>
    <w:rsid w:val="00D92430"/>
    <w:rsid w:val="00D93A82"/>
    <w:rsid w:val="00D93A98"/>
    <w:rsid w:val="00D93FF7"/>
    <w:rsid w:val="00D941AB"/>
    <w:rsid w:val="00D960DF"/>
    <w:rsid w:val="00D9789E"/>
    <w:rsid w:val="00D97E6F"/>
    <w:rsid w:val="00DA00D5"/>
    <w:rsid w:val="00DA0622"/>
    <w:rsid w:val="00DA0667"/>
    <w:rsid w:val="00DA0EB1"/>
    <w:rsid w:val="00DA105E"/>
    <w:rsid w:val="00DA10FB"/>
    <w:rsid w:val="00DA1465"/>
    <w:rsid w:val="00DA1609"/>
    <w:rsid w:val="00DA1725"/>
    <w:rsid w:val="00DA21F5"/>
    <w:rsid w:val="00DA35B9"/>
    <w:rsid w:val="00DA478B"/>
    <w:rsid w:val="00DA4A04"/>
    <w:rsid w:val="00DA619B"/>
    <w:rsid w:val="00DB09F4"/>
    <w:rsid w:val="00DB1E63"/>
    <w:rsid w:val="00DB2EB6"/>
    <w:rsid w:val="00DB347E"/>
    <w:rsid w:val="00DB551E"/>
    <w:rsid w:val="00DB58A0"/>
    <w:rsid w:val="00DB58CB"/>
    <w:rsid w:val="00DB631C"/>
    <w:rsid w:val="00DB69B6"/>
    <w:rsid w:val="00DB7B65"/>
    <w:rsid w:val="00DC0E8A"/>
    <w:rsid w:val="00DC5A62"/>
    <w:rsid w:val="00DC69E4"/>
    <w:rsid w:val="00DD02F6"/>
    <w:rsid w:val="00DD19A5"/>
    <w:rsid w:val="00DD3D7D"/>
    <w:rsid w:val="00DD517B"/>
    <w:rsid w:val="00DD5BEF"/>
    <w:rsid w:val="00DD5EBE"/>
    <w:rsid w:val="00DE0422"/>
    <w:rsid w:val="00DE0530"/>
    <w:rsid w:val="00DE05A3"/>
    <w:rsid w:val="00DE0DF8"/>
    <w:rsid w:val="00DE43AF"/>
    <w:rsid w:val="00DE4C9C"/>
    <w:rsid w:val="00DE6160"/>
    <w:rsid w:val="00DE7FC8"/>
    <w:rsid w:val="00DF0E0A"/>
    <w:rsid w:val="00DF1864"/>
    <w:rsid w:val="00DF4C16"/>
    <w:rsid w:val="00DF66B4"/>
    <w:rsid w:val="00DF7206"/>
    <w:rsid w:val="00E0071D"/>
    <w:rsid w:val="00E024B3"/>
    <w:rsid w:val="00E0443C"/>
    <w:rsid w:val="00E06582"/>
    <w:rsid w:val="00E076A9"/>
    <w:rsid w:val="00E13489"/>
    <w:rsid w:val="00E14E9B"/>
    <w:rsid w:val="00E15DFA"/>
    <w:rsid w:val="00E20280"/>
    <w:rsid w:val="00E22566"/>
    <w:rsid w:val="00E24C7B"/>
    <w:rsid w:val="00E279DD"/>
    <w:rsid w:val="00E30C6E"/>
    <w:rsid w:val="00E314E8"/>
    <w:rsid w:val="00E31A4F"/>
    <w:rsid w:val="00E356F8"/>
    <w:rsid w:val="00E3733F"/>
    <w:rsid w:val="00E375C2"/>
    <w:rsid w:val="00E4144F"/>
    <w:rsid w:val="00E435D2"/>
    <w:rsid w:val="00E436A4"/>
    <w:rsid w:val="00E44203"/>
    <w:rsid w:val="00E44F19"/>
    <w:rsid w:val="00E4513F"/>
    <w:rsid w:val="00E460EF"/>
    <w:rsid w:val="00E46AC7"/>
    <w:rsid w:val="00E46C01"/>
    <w:rsid w:val="00E47ED6"/>
    <w:rsid w:val="00E51F52"/>
    <w:rsid w:val="00E529E1"/>
    <w:rsid w:val="00E54ED2"/>
    <w:rsid w:val="00E56B85"/>
    <w:rsid w:val="00E60184"/>
    <w:rsid w:val="00E60A52"/>
    <w:rsid w:val="00E60C18"/>
    <w:rsid w:val="00E6122D"/>
    <w:rsid w:val="00E635BE"/>
    <w:rsid w:val="00E6378F"/>
    <w:rsid w:val="00E64996"/>
    <w:rsid w:val="00E66A8C"/>
    <w:rsid w:val="00E67216"/>
    <w:rsid w:val="00E67469"/>
    <w:rsid w:val="00E70704"/>
    <w:rsid w:val="00E72281"/>
    <w:rsid w:val="00E72D46"/>
    <w:rsid w:val="00E75662"/>
    <w:rsid w:val="00E76B34"/>
    <w:rsid w:val="00E7720F"/>
    <w:rsid w:val="00E77544"/>
    <w:rsid w:val="00E81D50"/>
    <w:rsid w:val="00E81EFF"/>
    <w:rsid w:val="00E834CC"/>
    <w:rsid w:val="00E84742"/>
    <w:rsid w:val="00E8643F"/>
    <w:rsid w:val="00E90435"/>
    <w:rsid w:val="00E9287C"/>
    <w:rsid w:val="00E92B24"/>
    <w:rsid w:val="00E92BE7"/>
    <w:rsid w:val="00E9422D"/>
    <w:rsid w:val="00E9438F"/>
    <w:rsid w:val="00E9524A"/>
    <w:rsid w:val="00E96C3A"/>
    <w:rsid w:val="00E97C0B"/>
    <w:rsid w:val="00E97E09"/>
    <w:rsid w:val="00EA1CF8"/>
    <w:rsid w:val="00EA243C"/>
    <w:rsid w:val="00EA2742"/>
    <w:rsid w:val="00EA29CF"/>
    <w:rsid w:val="00EA2B0D"/>
    <w:rsid w:val="00EB79E0"/>
    <w:rsid w:val="00EC00A4"/>
    <w:rsid w:val="00EC172F"/>
    <w:rsid w:val="00EC290F"/>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27B"/>
    <w:rsid w:val="00ED6521"/>
    <w:rsid w:val="00ED65C3"/>
    <w:rsid w:val="00ED6CFE"/>
    <w:rsid w:val="00ED7A52"/>
    <w:rsid w:val="00EE0584"/>
    <w:rsid w:val="00EE06C4"/>
    <w:rsid w:val="00EE0CA7"/>
    <w:rsid w:val="00EE24C6"/>
    <w:rsid w:val="00EE31E5"/>
    <w:rsid w:val="00EE3534"/>
    <w:rsid w:val="00EE568F"/>
    <w:rsid w:val="00EE67AA"/>
    <w:rsid w:val="00EE682F"/>
    <w:rsid w:val="00EE6B56"/>
    <w:rsid w:val="00EE6C60"/>
    <w:rsid w:val="00EE6EBD"/>
    <w:rsid w:val="00EE788D"/>
    <w:rsid w:val="00EE7911"/>
    <w:rsid w:val="00EF2339"/>
    <w:rsid w:val="00EF2CE5"/>
    <w:rsid w:val="00EF3886"/>
    <w:rsid w:val="00EF7852"/>
    <w:rsid w:val="00F010BE"/>
    <w:rsid w:val="00F016F6"/>
    <w:rsid w:val="00F02EE6"/>
    <w:rsid w:val="00F051E3"/>
    <w:rsid w:val="00F07EC1"/>
    <w:rsid w:val="00F11B1B"/>
    <w:rsid w:val="00F121C4"/>
    <w:rsid w:val="00F1262F"/>
    <w:rsid w:val="00F15134"/>
    <w:rsid w:val="00F17245"/>
    <w:rsid w:val="00F17C1F"/>
    <w:rsid w:val="00F20AE0"/>
    <w:rsid w:val="00F21D33"/>
    <w:rsid w:val="00F22A55"/>
    <w:rsid w:val="00F23101"/>
    <w:rsid w:val="00F26226"/>
    <w:rsid w:val="00F26537"/>
    <w:rsid w:val="00F27FB2"/>
    <w:rsid w:val="00F30799"/>
    <w:rsid w:val="00F32897"/>
    <w:rsid w:val="00F32D25"/>
    <w:rsid w:val="00F341A9"/>
    <w:rsid w:val="00F36B44"/>
    <w:rsid w:val="00F37AC5"/>
    <w:rsid w:val="00F44932"/>
    <w:rsid w:val="00F4630A"/>
    <w:rsid w:val="00F46CA7"/>
    <w:rsid w:val="00F47D50"/>
    <w:rsid w:val="00F52CC4"/>
    <w:rsid w:val="00F53B51"/>
    <w:rsid w:val="00F54212"/>
    <w:rsid w:val="00F56DB0"/>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AB4"/>
    <w:rsid w:val="00F92D15"/>
    <w:rsid w:val="00F92DC1"/>
    <w:rsid w:val="00F93083"/>
    <w:rsid w:val="00F93C6E"/>
    <w:rsid w:val="00F95BF4"/>
    <w:rsid w:val="00F97404"/>
    <w:rsid w:val="00F97CBD"/>
    <w:rsid w:val="00FA043E"/>
    <w:rsid w:val="00FA10F8"/>
    <w:rsid w:val="00FA1E25"/>
    <w:rsid w:val="00FA1F6D"/>
    <w:rsid w:val="00FA3857"/>
    <w:rsid w:val="00FA3B5D"/>
    <w:rsid w:val="00FA3F93"/>
    <w:rsid w:val="00FA45C2"/>
    <w:rsid w:val="00FA7966"/>
    <w:rsid w:val="00FB2049"/>
    <w:rsid w:val="00FB2CCC"/>
    <w:rsid w:val="00FB30B9"/>
    <w:rsid w:val="00FB4579"/>
    <w:rsid w:val="00FB45D2"/>
    <w:rsid w:val="00FB50D8"/>
    <w:rsid w:val="00FB5BB9"/>
    <w:rsid w:val="00FB654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D6D28"/>
    <w:rsid w:val="00FE008C"/>
    <w:rsid w:val="00FE0C99"/>
    <w:rsid w:val="00FE0FC6"/>
    <w:rsid w:val="00FE1381"/>
    <w:rsid w:val="00FE5C93"/>
    <w:rsid w:val="00FE5EF8"/>
    <w:rsid w:val="00FE7FFE"/>
    <w:rsid w:val="00FF4347"/>
    <w:rsid w:val="00FF43E0"/>
    <w:rsid w:val="00FF464C"/>
    <w:rsid w:val="00FF4C39"/>
    <w:rsid w:val="03BA4C61"/>
    <w:rsid w:val="03E11AAC"/>
    <w:rsid w:val="057101B6"/>
    <w:rsid w:val="0D2A66B0"/>
    <w:rsid w:val="0D507A94"/>
    <w:rsid w:val="0E2A1FC8"/>
    <w:rsid w:val="0F4E7F38"/>
    <w:rsid w:val="117D6161"/>
    <w:rsid w:val="12173DF9"/>
    <w:rsid w:val="174538C6"/>
    <w:rsid w:val="18955EEB"/>
    <w:rsid w:val="1A8C598F"/>
    <w:rsid w:val="1B6037F3"/>
    <w:rsid w:val="1D6372A4"/>
    <w:rsid w:val="22474C99"/>
    <w:rsid w:val="24361865"/>
    <w:rsid w:val="26B45F7E"/>
    <w:rsid w:val="274F04CA"/>
    <w:rsid w:val="284B569C"/>
    <w:rsid w:val="29244268"/>
    <w:rsid w:val="2AAA4DC1"/>
    <w:rsid w:val="2BC36CF7"/>
    <w:rsid w:val="2DD75DC1"/>
    <w:rsid w:val="323B5E34"/>
    <w:rsid w:val="35181A32"/>
    <w:rsid w:val="36823DF3"/>
    <w:rsid w:val="3A1B3BD1"/>
    <w:rsid w:val="3B4E4C98"/>
    <w:rsid w:val="3FD140EA"/>
    <w:rsid w:val="4A2B583C"/>
    <w:rsid w:val="4B2B6389"/>
    <w:rsid w:val="4B8572F1"/>
    <w:rsid w:val="4E410B2E"/>
    <w:rsid w:val="51664A27"/>
    <w:rsid w:val="52766FBD"/>
    <w:rsid w:val="56E70A59"/>
    <w:rsid w:val="5C4C4B9E"/>
    <w:rsid w:val="5E652175"/>
    <w:rsid w:val="5EAB514A"/>
    <w:rsid w:val="60B20C66"/>
    <w:rsid w:val="611F2AAF"/>
    <w:rsid w:val="63837120"/>
    <w:rsid w:val="658B6596"/>
    <w:rsid w:val="67A46B00"/>
    <w:rsid w:val="68505C3F"/>
    <w:rsid w:val="6D1A30AF"/>
    <w:rsid w:val="6D2910F3"/>
    <w:rsid w:val="6E3870BA"/>
    <w:rsid w:val="6ED35D03"/>
    <w:rsid w:val="725725DB"/>
    <w:rsid w:val="779D662F"/>
    <w:rsid w:val="7BC40725"/>
    <w:rsid w:val="7BFE6FB1"/>
    <w:rsid w:val="7E9B0B88"/>
    <w:rsid w:val="7EA5043A"/>
    <w:rsid w:val="7F9F3F1A"/>
    <w:rsid w:val="7FC56178"/>
    <w:rsid w:val="FEFFC144"/>
    <w:rsid w:val="FFF0B9EF"/>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4"/>
    <w:unhideWhenUsed/>
    <w:qFormat/>
    <w:uiPriority w:val="99"/>
    <w:pPr>
      <w:jc w:val="center"/>
    </w:pPr>
    <w:rPr>
      <w:rFonts w:ascii="方正大标宋简体" w:hAnsi="宋体" w:eastAsia="方正大标宋简体"/>
      <w:sz w:val="36"/>
      <w:szCs w:val="36"/>
    </w:rPr>
  </w:style>
  <w:style w:type="paragraph" w:styleId="3">
    <w:name w:val="Body Text Indent"/>
    <w:basedOn w:val="1"/>
    <w:link w:val="25"/>
    <w:qFormat/>
    <w:uiPriority w:val="0"/>
    <w:pPr>
      <w:spacing w:after="120"/>
      <w:ind w:left="420" w:leftChars="200"/>
    </w:pPr>
  </w:style>
  <w:style w:type="paragraph" w:styleId="4">
    <w:name w:val="Date"/>
    <w:basedOn w:val="1"/>
    <w:next w:val="1"/>
    <w:link w:val="22"/>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next w:val="7"/>
    <w:link w:val="20"/>
    <w:qFormat/>
    <w:uiPriority w:val="0"/>
    <w:pPr>
      <w:tabs>
        <w:tab w:val="center" w:pos="4153"/>
        <w:tab w:val="right" w:pos="8306"/>
      </w:tabs>
      <w:snapToGrid w:val="0"/>
      <w:jc w:val="left"/>
    </w:pPr>
    <w:rPr>
      <w:sz w:val="18"/>
    </w:rPr>
  </w:style>
  <w:style w:type="paragraph" w:customStyle="1" w:styleId="7">
    <w:name w:val="索引 51"/>
    <w:basedOn w:val="1"/>
    <w:next w:val="1"/>
    <w:qFormat/>
    <w:uiPriority w:val="0"/>
    <w:pPr>
      <w:ind w:left="1680"/>
    </w:pPr>
    <w:rPr>
      <w:rFonts w:ascii="Calibri" w:hAnsi="Calibri" w:eastAsia="宋体"/>
      <w:sz w:val="21"/>
      <w:szCs w:val="24"/>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2"/>
    <w:qFormat/>
    <w:uiPriority w:val="0"/>
    <w:pPr>
      <w:spacing w:after="0"/>
      <w:ind w:firstLine="100" w:firstLineChars="100"/>
    </w:pPr>
    <w:rPr>
      <w:rFonts w:ascii="宋体"/>
      <w:sz w:val="28"/>
    </w:rPr>
  </w:style>
  <w:style w:type="paragraph" w:styleId="11">
    <w:name w:val="Body Text First Indent 2"/>
    <w:basedOn w:val="3"/>
    <w:link w:val="26"/>
    <w:qFormat/>
    <w:uiPriority w:val="0"/>
    <w:pPr>
      <w:ind w:firstLine="420" w:firstLineChars="200"/>
    </w:pPr>
  </w:style>
  <w:style w:type="table" w:styleId="13">
    <w:name w:val="Table Grid"/>
    <w:basedOn w:val="12"/>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Hyperlink"/>
    <w:basedOn w:val="14"/>
    <w:qFormat/>
    <w:uiPriority w:val="0"/>
    <w:rPr>
      <w:color w:val="0000FF"/>
      <w:u w:val="single"/>
    </w:rPr>
  </w:style>
  <w:style w:type="character" w:customStyle="1" w:styleId="17">
    <w:name w:val="font71"/>
    <w:basedOn w:val="14"/>
    <w:qFormat/>
    <w:uiPriority w:val="0"/>
    <w:rPr>
      <w:rFonts w:hint="eastAsia" w:ascii="宋体" w:hAnsi="宋体" w:eastAsia="宋体" w:cs="宋体"/>
      <w:color w:val="auto"/>
      <w:sz w:val="20"/>
      <w:szCs w:val="20"/>
      <w:u w:val="none"/>
    </w:rPr>
  </w:style>
  <w:style w:type="character" w:customStyle="1" w:styleId="18">
    <w:name w:val="font61"/>
    <w:basedOn w:val="14"/>
    <w:qFormat/>
    <w:uiPriority w:val="0"/>
    <w:rPr>
      <w:rFonts w:hint="eastAsia" w:ascii="宋体" w:hAnsi="宋体" w:eastAsia="宋体" w:cs="宋体"/>
      <w:color w:val="000000"/>
      <w:sz w:val="22"/>
      <w:szCs w:val="22"/>
      <w:u w:val="none"/>
    </w:rPr>
  </w:style>
  <w:style w:type="character" w:customStyle="1" w:styleId="19">
    <w:name w:val="font81"/>
    <w:basedOn w:val="14"/>
    <w:qFormat/>
    <w:uiPriority w:val="0"/>
    <w:rPr>
      <w:rFonts w:ascii="Arial" w:hAnsi="Arial" w:cs="Arial"/>
      <w:color w:val="000000"/>
      <w:sz w:val="20"/>
      <w:szCs w:val="20"/>
      <w:u w:val="none"/>
    </w:rPr>
  </w:style>
  <w:style w:type="character" w:customStyle="1" w:styleId="20">
    <w:name w:val="页脚 Char"/>
    <w:basedOn w:val="14"/>
    <w:link w:val="6"/>
    <w:qFormat/>
    <w:uiPriority w:val="99"/>
    <w:rPr>
      <w:rFonts w:eastAsia="方正仿宋_GBK"/>
      <w:kern w:val="2"/>
      <w:sz w:val="18"/>
    </w:rPr>
  </w:style>
  <w:style w:type="character" w:customStyle="1" w:styleId="21">
    <w:name w:val="font91"/>
    <w:basedOn w:val="14"/>
    <w:qFormat/>
    <w:uiPriority w:val="0"/>
    <w:rPr>
      <w:rFonts w:hint="eastAsia" w:ascii="宋体" w:hAnsi="宋体" w:eastAsia="宋体" w:cs="宋体"/>
      <w:color w:val="000000"/>
      <w:sz w:val="20"/>
      <w:szCs w:val="20"/>
      <w:u w:val="none"/>
    </w:rPr>
  </w:style>
  <w:style w:type="character" w:customStyle="1" w:styleId="22">
    <w:name w:val="日期 Char"/>
    <w:basedOn w:val="14"/>
    <w:link w:val="4"/>
    <w:qFormat/>
    <w:uiPriority w:val="0"/>
    <w:rPr>
      <w:rFonts w:eastAsia="方正仿宋_GBK"/>
      <w:kern w:val="2"/>
      <w:sz w:val="32"/>
    </w:rPr>
  </w:style>
  <w:style w:type="paragraph" w:customStyle="1" w:styleId="23">
    <w:name w:val="列出段落1"/>
    <w:basedOn w:val="1"/>
    <w:qFormat/>
    <w:uiPriority w:val="0"/>
    <w:pPr>
      <w:ind w:firstLine="420" w:firstLineChars="200"/>
    </w:pPr>
    <w:rPr>
      <w:rFonts w:ascii="Calibri" w:hAnsi="Calibri" w:eastAsia="宋体"/>
      <w:sz w:val="21"/>
      <w:szCs w:val="22"/>
    </w:rPr>
  </w:style>
  <w:style w:type="character" w:customStyle="1" w:styleId="24">
    <w:name w:val="正文文本 Char"/>
    <w:basedOn w:val="14"/>
    <w:link w:val="2"/>
    <w:qFormat/>
    <w:uiPriority w:val="99"/>
    <w:rPr>
      <w:rFonts w:ascii="方正大标宋简体" w:hAnsi="宋体" w:eastAsia="方正大标宋简体" w:cs="Times New Roman"/>
      <w:kern w:val="2"/>
      <w:sz w:val="36"/>
      <w:szCs w:val="36"/>
    </w:rPr>
  </w:style>
  <w:style w:type="character" w:customStyle="1" w:styleId="25">
    <w:name w:val="正文文本缩进 Char"/>
    <w:basedOn w:val="14"/>
    <w:link w:val="3"/>
    <w:qFormat/>
    <w:uiPriority w:val="0"/>
    <w:rPr>
      <w:rFonts w:eastAsia="方正仿宋_GBK"/>
      <w:kern w:val="2"/>
      <w:sz w:val="32"/>
    </w:rPr>
  </w:style>
  <w:style w:type="character" w:customStyle="1" w:styleId="26">
    <w:name w:val="正文首行缩进 2 Char"/>
    <w:basedOn w:val="25"/>
    <w:link w:val="11"/>
    <w:qFormat/>
    <w:uiPriority w:val="0"/>
  </w:style>
  <w:style w:type="paragraph" w:customStyle="1" w:styleId="27">
    <w:name w:val="Default"/>
    <w:next w:val="1"/>
    <w:qFormat/>
    <w:uiPriority w:val="0"/>
    <w:pPr>
      <w:autoSpaceDE w:val="0"/>
      <w:autoSpaceDN w:val="0"/>
      <w:adjustRightInd w:val="0"/>
    </w:pPr>
    <w:rPr>
      <w:rFonts w:ascii="Arial" w:hAnsi="Arial" w:eastAsia="宋体" w:cs="Arial"/>
      <w:color w:val="000000"/>
      <w:sz w:val="24"/>
      <w:szCs w:val="24"/>
      <w:lang w:val="en-US" w:eastAsia="zh-CN" w:bidi="ar-SA"/>
    </w:rPr>
  </w:style>
  <w:style w:type="character" w:customStyle="1" w:styleId="28">
    <w:name w:val="NormalCharacter"/>
    <w:qFormat/>
    <w:uiPriority w:val="0"/>
    <w:rPr>
      <w:rFonts w:ascii="Calibri" w:hAnsi="Calibri" w:eastAsia="宋体" w:cs="Times New Roman"/>
      <w:color w:val="auto"/>
      <w:kern w:val="2"/>
      <w:sz w:val="21"/>
      <w:szCs w:val="24"/>
      <w:lang w:val="en-US" w:eastAsia="zh-CN" w:bidi="ar-SA"/>
    </w:rPr>
  </w:style>
  <w:style w:type="character" w:customStyle="1" w:styleId="29">
    <w:name w:val="fontstyle01"/>
    <w:basedOn w:val="14"/>
    <w:qFormat/>
    <w:uiPriority w:val="0"/>
    <w:rPr>
      <w:rFonts w:ascii="FZXBSK--GBK1-0" w:hAnsi="FZXBSK--GBK1-0" w:eastAsia="FZXBSK--GBK1-0" w:cs="FZXBSK--GBK1-0"/>
      <w:color w:val="000000"/>
      <w:sz w:val="44"/>
      <w:szCs w:val="44"/>
    </w:rPr>
  </w:style>
  <w:style w:type="character" w:customStyle="1" w:styleId="30">
    <w:name w:val="fontstyle21"/>
    <w:basedOn w:val="14"/>
    <w:qFormat/>
    <w:uiPriority w:val="0"/>
    <w:rPr>
      <w:rFonts w:ascii="FZFSK--GBK1-0" w:hAnsi="FZFSK--GBK1-0" w:eastAsia="FZFSK--GBK1-0" w:cs="FZFSK--GBK1-0"/>
      <w:color w:val="000000"/>
      <w:sz w:val="32"/>
      <w:szCs w:val="32"/>
    </w:rPr>
  </w:style>
  <w:style w:type="character" w:customStyle="1" w:styleId="31">
    <w:name w:val="fontstyle31"/>
    <w:basedOn w:val="14"/>
    <w:qFormat/>
    <w:uiPriority w:val="0"/>
    <w:rPr>
      <w:rFonts w:ascii="TimesNewRomanPSMT" w:hAnsi="TimesNewRomanPSMT" w:eastAsia="TimesNewRomanPSMT" w:cs="TimesNewRomanPSMT"/>
      <w:color w:val="000000"/>
      <w:sz w:val="32"/>
      <w:szCs w:val="32"/>
    </w:rPr>
  </w:style>
  <w:style w:type="character" w:customStyle="1" w:styleId="32">
    <w:name w:val="fontstyle41"/>
    <w:basedOn w:val="14"/>
    <w:qFormat/>
    <w:uiPriority w:val="0"/>
    <w:rPr>
      <w:rFonts w:ascii="FZHTK--GBK1-0" w:hAnsi="FZHTK--GBK1-0" w:eastAsia="FZHTK--GBK1-0" w:cs="FZHTK--GBK1-0"/>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9</Pages>
  <Words>3204</Words>
  <Characters>3279</Characters>
  <Lines>2</Lines>
  <Paragraphs>1</Paragraphs>
  <TotalTime>14</TotalTime>
  <ScaleCrop>false</ScaleCrop>
  <LinksUpToDate>false</LinksUpToDate>
  <CharactersWithSpaces>3394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2022-08-08T14:34:00Z</dcterms:created>
  <dc:creator>Lenovo User</dc:creator>
  <cp:lastModifiedBy> </cp:lastModifiedBy>
  <cp:lastPrinted>2022-11-08T15:10:00Z</cp:lastPrinted>
  <dcterms:modified xsi:type="dcterms:W3CDTF">2022-12-07T07:35:10Z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2710AF6DDC904A9F9C3D4DEBB248EB02</vt:lpwstr>
  </property>
</Properties>
</file>