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8</w:t>
      </w:r>
      <w:r>
        <w:rPr>
          <w:rFonts w:ascii="Times New Roman" w:hAnsi="Times New Roman" w:eastAsia="方正小标宋_GBK" w:cs="Times New Roman"/>
          <w:sz w:val="44"/>
          <w:szCs w:val="44"/>
        </w:rPr>
        <w:t>年黔江区国民经济和社会发展统计公报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黔江区统计局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2018年，全区上下坚持以习近平新时代中国特色社会主义思想为指导，全面贯彻党的十九大和十九届二中、三中全会精神，紧紧围绕习近平总书记对重庆提出的“两点”定位、“两地”“两高”目标和营造良好政治生态、做到“四个扎实”的重要指示要求，坚持稳中求进工作总基调，深入贯彻新发展理念，落实高质量发展要求，坚决打好“三大攻坚战”和实施“八项行动计划”，着力推进“工业强区、旅游大区、城市靓区”三大建设，统筹推进稳增长、促改革、调结构、惠民生、防风险工作，保持了经济持续健康发展和社会大局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初步核算，全年地区生产总值2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47.29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7.4</w:t>
      </w:r>
      <w:r>
        <w:rPr>
          <w:rFonts w:ascii="Times New Roman" w:hAnsi="Times New Roman" w:eastAsia="方正仿宋_GBK" w:cs="Times New Roman"/>
          <w:sz w:val="32"/>
          <w:szCs w:val="32"/>
        </w:rPr>
        <w:t>%。分产业看，第一产业增加值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23.38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5.1</w:t>
      </w:r>
      <w:r>
        <w:rPr>
          <w:rFonts w:ascii="Times New Roman" w:hAnsi="Times New Roman" w:eastAsia="方正仿宋_GBK" w:cs="Times New Roman"/>
          <w:sz w:val="32"/>
          <w:szCs w:val="32"/>
        </w:rPr>
        <w:t>%；第二产业增加值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108.87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8.1</w:t>
      </w:r>
      <w:r>
        <w:rPr>
          <w:rFonts w:ascii="Times New Roman" w:hAnsi="Times New Roman" w:eastAsia="方正仿宋_GBK" w:cs="Times New Roman"/>
          <w:sz w:val="32"/>
          <w:szCs w:val="32"/>
        </w:rPr>
        <w:t>%；第三产业增加值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115.04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7.3</w:t>
      </w:r>
      <w:r>
        <w:rPr>
          <w:rFonts w:ascii="Times New Roman" w:hAnsi="Times New Roman" w:eastAsia="方正仿宋_GBK" w:cs="Times New Roman"/>
          <w:sz w:val="32"/>
          <w:szCs w:val="32"/>
        </w:rPr>
        <w:t>%。三次产业结构比为：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9.5:44:46.5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民营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经济实现增加值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110.47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%，占全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经济的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44.7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%。按常住人口计算，全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人均地区生产总值达到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51439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图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instrText xml:space="preserve"> SEQ 图 \* ARABIC </w:instrTex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2018年按产业分地区生产总值及其占比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4543425" cy="2134870"/>
            <wp:effectExtent l="4445" t="4445" r="5080" b="13335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年末户籍人口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55.66</w:t>
      </w:r>
      <w:r>
        <w:rPr>
          <w:rFonts w:ascii="Times New Roman" w:hAnsi="Times New Roman" w:eastAsia="方正仿宋_GBK" w:cs="Times New Roman"/>
          <w:sz w:val="32"/>
          <w:szCs w:val="32"/>
        </w:rPr>
        <w:t>万人。其中，城镇人口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23.47</w:t>
      </w:r>
      <w:r>
        <w:rPr>
          <w:rFonts w:ascii="Times New Roman" w:hAnsi="Times New Roman" w:eastAsia="方正仿宋_GBK" w:cs="Times New Roman"/>
          <w:sz w:val="32"/>
          <w:szCs w:val="32"/>
        </w:rPr>
        <w:t>万人，乡村人口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32.19</w:t>
      </w:r>
      <w:r>
        <w:rPr>
          <w:rFonts w:ascii="Times New Roman" w:hAnsi="Times New Roman" w:eastAsia="方正仿宋_GBK" w:cs="Times New Roman"/>
          <w:sz w:val="32"/>
          <w:szCs w:val="32"/>
        </w:rPr>
        <w:t>万人。全年迁出人口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0.53</w:t>
      </w:r>
      <w:r>
        <w:rPr>
          <w:rFonts w:ascii="Times New Roman" w:hAnsi="Times New Roman" w:eastAsia="方正仿宋_GBK" w:cs="Times New Roman"/>
          <w:sz w:val="32"/>
          <w:szCs w:val="32"/>
        </w:rPr>
        <w:t>万人，迁入人口0.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万人。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表1  2018年年末户籍人口数及其构成</w:t>
      </w:r>
    </w:p>
    <w:tbl>
      <w:tblPr>
        <w:tblStyle w:val="8"/>
        <w:tblW w:w="6920" w:type="dxa"/>
        <w:jc w:val="center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676"/>
        <w:gridCol w:w="2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年末数（万人）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比重（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%</w:t>
            </w: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户籍总人口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按城乡分：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城镇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23.47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乡村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57.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按男女分：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29.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47.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按年龄分：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0-17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岁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22.0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18-34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岁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14.26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25.6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35-59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岁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19.96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35.9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60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岁及以上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9.19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年末常住人口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48.39</w:t>
      </w:r>
      <w:r>
        <w:rPr>
          <w:rFonts w:ascii="Times New Roman" w:hAnsi="Times New Roman" w:eastAsia="方正仿宋_GBK" w:cs="Times New Roman"/>
          <w:sz w:val="32"/>
          <w:szCs w:val="32"/>
        </w:rPr>
        <w:t>万人，比上年增加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0.63</w:t>
      </w:r>
      <w:r>
        <w:rPr>
          <w:rFonts w:ascii="Times New Roman" w:hAnsi="Times New Roman" w:eastAsia="方正仿宋_GBK" w:cs="Times New Roman"/>
          <w:sz w:val="32"/>
          <w:szCs w:val="32"/>
        </w:rPr>
        <w:t>万人，其中城镇常住人口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24.52</w:t>
      </w:r>
      <w:r>
        <w:rPr>
          <w:rFonts w:ascii="Times New Roman" w:hAnsi="Times New Roman" w:eastAsia="方正仿宋_GBK" w:cs="Times New Roman"/>
          <w:sz w:val="32"/>
          <w:szCs w:val="32"/>
        </w:rPr>
        <w:t>万人。常住人口城镇化率（城镇常住人口占总常住人口比重）为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50.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%，比上年提高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</w:t>
      </w:r>
      <w:r>
        <w:rPr>
          <w:rFonts w:ascii="Times New Roman" w:hAnsi="Times New Roman" w:eastAsia="方正仿宋_GBK" w:cs="Times New Roman"/>
          <w:sz w:val="32"/>
          <w:szCs w:val="32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全年城镇新增就业人员2.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53</w:t>
      </w:r>
      <w:r>
        <w:rPr>
          <w:rFonts w:ascii="Times New Roman" w:hAnsi="Times New Roman" w:eastAsia="方正仿宋_GBK" w:cs="Times New Roman"/>
          <w:sz w:val="32"/>
          <w:szCs w:val="32"/>
        </w:rPr>
        <w:t>万人，比上年增加0.2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万人。城镇登记失业人员实现就业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0.47</w:t>
      </w:r>
      <w:r>
        <w:rPr>
          <w:rFonts w:ascii="Times New Roman" w:hAnsi="Times New Roman" w:eastAsia="方正仿宋_GBK" w:cs="Times New Roman"/>
          <w:sz w:val="32"/>
          <w:szCs w:val="32"/>
        </w:rPr>
        <w:t>万人。年末城镇登记失业率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3.19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全年居民消费价格比上年上涨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1.9</w:t>
      </w:r>
      <w:r>
        <w:rPr>
          <w:rFonts w:ascii="Times New Roman" w:hAnsi="Times New Roman" w:eastAsia="方正仿宋_GBK" w:cs="Times New Roman"/>
          <w:sz w:val="32"/>
          <w:szCs w:val="32"/>
        </w:rPr>
        <w:t>%。其中，食品烟酒类上涨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0.6</w:t>
      </w:r>
      <w:r>
        <w:rPr>
          <w:rFonts w:ascii="Times New Roman" w:hAnsi="Times New Roman" w:eastAsia="方正仿宋_GBK" w:cs="Times New Roman"/>
          <w:sz w:val="32"/>
          <w:szCs w:val="32"/>
        </w:rPr>
        <w:t>%；衣着类上涨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0.6</w:t>
      </w:r>
      <w:r>
        <w:rPr>
          <w:rFonts w:ascii="Times New Roman" w:hAnsi="Times New Roman" w:eastAsia="方正仿宋_GBK" w:cs="Times New Roman"/>
          <w:sz w:val="32"/>
          <w:szCs w:val="32"/>
        </w:rPr>
        <w:t>%；居住类上涨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4.0</w:t>
      </w:r>
      <w:r>
        <w:rPr>
          <w:rFonts w:ascii="Times New Roman" w:hAnsi="Times New Roman" w:eastAsia="方正仿宋_GBK" w:cs="Times New Roman"/>
          <w:sz w:val="32"/>
          <w:szCs w:val="32"/>
        </w:rPr>
        <w:t>%；生活用品及服务类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下降1.9</w:t>
      </w:r>
      <w:r>
        <w:rPr>
          <w:rFonts w:ascii="Times New Roman" w:hAnsi="Times New Roman" w:eastAsia="方正仿宋_GBK" w:cs="Times New Roman"/>
          <w:sz w:val="32"/>
          <w:szCs w:val="32"/>
        </w:rPr>
        <w:t>%；交通和通信类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上涨3.7</w:t>
      </w:r>
      <w:r>
        <w:rPr>
          <w:rFonts w:ascii="Times New Roman" w:hAnsi="Times New Roman" w:eastAsia="方正仿宋_GBK" w:cs="Times New Roman"/>
          <w:sz w:val="32"/>
          <w:szCs w:val="32"/>
        </w:rPr>
        <w:t>%；教育文化和娱乐类上涨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3.1</w:t>
      </w:r>
      <w:r>
        <w:rPr>
          <w:rFonts w:ascii="Times New Roman" w:hAnsi="Times New Roman" w:eastAsia="方正仿宋_GBK" w:cs="Times New Roman"/>
          <w:sz w:val="32"/>
          <w:szCs w:val="32"/>
        </w:rPr>
        <w:t>%；医疗保健类上涨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3.6</w:t>
      </w:r>
      <w:r>
        <w:rPr>
          <w:rFonts w:ascii="Times New Roman" w:hAnsi="Times New Roman" w:eastAsia="方正仿宋_GBK" w:cs="Times New Roman"/>
          <w:sz w:val="32"/>
          <w:szCs w:val="32"/>
        </w:rPr>
        <w:t>%；其他用品和服务类上涨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2.3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全年一般公共预算收入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25.21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12.8</w:t>
      </w:r>
      <w:r>
        <w:rPr>
          <w:rFonts w:ascii="Times New Roman" w:hAnsi="Times New Roman" w:eastAsia="方正仿宋_GBK" w:cs="Times New Roman"/>
          <w:sz w:val="32"/>
          <w:szCs w:val="32"/>
        </w:rPr>
        <w:t>%，其中税收收入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19.06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18</w:t>
      </w:r>
      <w:r>
        <w:rPr>
          <w:rFonts w:ascii="Times New Roman" w:hAnsi="Times New Roman" w:eastAsia="方正仿宋_GBK" w:cs="Times New Roman"/>
          <w:sz w:val="32"/>
          <w:szCs w:val="32"/>
        </w:rPr>
        <w:t>%。一般公共预算支出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65.04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增长13.4</w:t>
      </w:r>
      <w:r>
        <w:rPr>
          <w:rFonts w:ascii="Times New Roman" w:hAnsi="Times New Roman" w:eastAsia="方正仿宋_GBK" w:cs="Times New Roman"/>
          <w:sz w:val="32"/>
          <w:szCs w:val="32"/>
        </w:rPr>
        <w:t>%。其中，一般公共服务支出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4.97</w:t>
      </w:r>
      <w:r>
        <w:rPr>
          <w:rFonts w:ascii="Times New Roman" w:hAnsi="Times New Roman" w:eastAsia="方正仿宋_GBK" w:cs="Times New Roman"/>
          <w:sz w:val="32"/>
          <w:szCs w:val="32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下降3.1</w:t>
      </w:r>
      <w:r>
        <w:rPr>
          <w:rFonts w:ascii="Times New Roman" w:hAnsi="Times New Roman" w:eastAsia="方正仿宋_GBK" w:cs="Times New Roman"/>
          <w:sz w:val="32"/>
          <w:szCs w:val="32"/>
        </w:rPr>
        <w:t>%；教育支出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11.85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2.6</w:t>
      </w:r>
      <w:r>
        <w:rPr>
          <w:rFonts w:ascii="Times New Roman" w:hAnsi="Times New Roman" w:eastAsia="方正仿宋_GBK" w:cs="Times New Roman"/>
          <w:sz w:val="32"/>
          <w:szCs w:val="32"/>
        </w:rPr>
        <w:t>%；社会保障和就业支出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6.44</w:t>
      </w:r>
      <w:r>
        <w:rPr>
          <w:rFonts w:ascii="Times New Roman" w:hAnsi="Times New Roman" w:eastAsia="方正仿宋_GBK" w:cs="Times New Roman"/>
          <w:sz w:val="32"/>
          <w:szCs w:val="32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增长21.9</w:t>
      </w:r>
      <w:r>
        <w:rPr>
          <w:rFonts w:ascii="Times New Roman" w:hAnsi="Times New Roman" w:eastAsia="方正仿宋_GBK" w:cs="Times New Roman"/>
          <w:sz w:val="32"/>
          <w:szCs w:val="32"/>
        </w:rPr>
        <w:t>%。医疗卫生与计生支出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5.92</w:t>
      </w:r>
      <w:r>
        <w:rPr>
          <w:rFonts w:ascii="Times New Roman" w:hAnsi="Times New Roman" w:eastAsia="方正仿宋_GBK" w:cs="Times New Roman"/>
          <w:sz w:val="32"/>
          <w:szCs w:val="32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下降1.3</w:t>
      </w:r>
      <w:r>
        <w:rPr>
          <w:rFonts w:ascii="Times New Roman" w:hAnsi="Times New Roman" w:eastAsia="方正仿宋_GBK" w:cs="Times New Roman"/>
          <w:sz w:val="32"/>
          <w:szCs w:val="32"/>
        </w:rPr>
        <w:t>%；农林水事务支出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10.17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9.8</w:t>
      </w:r>
      <w:r>
        <w:rPr>
          <w:rFonts w:ascii="Times New Roman" w:hAnsi="Times New Roman" w:eastAsia="方正仿宋_GBK" w:cs="Times New Roman"/>
          <w:sz w:val="32"/>
          <w:szCs w:val="32"/>
        </w:rPr>
        <w:t>%；交通运输支出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4.44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表2   2018年一般公共收入及其构成</w:t>
      </w:r>
    </w:p>
    <w:tbl>
      <w:tblPr>
        <w:tblStyle w:val="8"/>
        <w:tblW w:w="78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2340"/>
        <w:gridCol w:w="1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绝对量（亿元）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同比增速（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%</w:t>
            </w: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一般公共预算收入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25.21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税收收入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19.0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增值税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8.48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企业所得税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2.88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115.0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非税收入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6.15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全年农林牧渔业增加值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23.87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5.2</w:t>
      </w:r>
      <w:r>
        <w:rPr>
          <w:rFonts w:ascii="Times New Roman" w:hAnsi="Times New Roman" w:eastAsia="方正仿宋_GBK" w:cs="Times New Roman"/>
          <w:sz w:val="32"/>
          <w:szCs w:val="32"/>
        </w:rPr>
        <w:t>%。其中，种植业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15.35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6.8</w:t>
      </w:r>
      <w:r>
        <w:rPr>
          <w:rFonts w:ascii="Times New Roman" w:hAnsi="Times New Roman" w:eastAsia="方正仿宋_GBK" w:cs="Times New Roman"/>
          <w:sz w:val="32"/>
          <w:szCs w:val="32"/>
        </w:rPr>
        <w:t>%；林业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1.88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13.2</w:t>
      </w:r>
      <w:r>
        <w:rPr>
          <w:rFonts w:ascii="Times New Roman" w:hAnsi="Times New Roman" w:eastAsia="方正仿宋_GBK" w:cs="Times New Roman"/>
          <w:sz w:val="32"/>
          <w:szCs w:val="32"/>
        </w:rPr>
        <w:t>%；畜牧业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5.84</w:t>
      </w:r>
      <w:r>
        <w:rPr>
          <w:rFonts w:ascii="Times New Roman" w:hAnsi="Times New Roman" w:eastAsia="方正仿宋_GBK" w:cs="Times New Roman"/>
          <w:sz w:val="32"/>
          <w:szCs w:val="32"/>
        </w:rPr>
        <w:t>亿元，下降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0.8</w:t>
      </w:r>
      <w:r>
        <w:rPr>
          <w:rFonts w:ascii="Times New Roman" w:hAnsi="Times New Roman" w:eastAsia="方正仿宋_GBK" w:cs="Times New Roman"/>
          <w:sz w:val="32"/>
          <w:szCs w:val="32"/>
        </w:rPr>
        <w:t>%；渔业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0.31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14.8</w:t>
      </w:r>
      <w:r>
        <w:rPr>
          <w:rFonts w:ascii="Times New Roman" w:hAnsi="Times New Roman" w:eastAsia="方正仿宋_GBK" w:cs="Times New Roman"/>
          <w:sz w:val="32"/>
          <w:szCs w:val="32"/>
        </w:rPr>
        <w:t>%；农林牧渔服务业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0.49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8.8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全年粮食播种面积72.22万亩，比上年增长0.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%。粮食综合单产315.59公斤/亩，增长0.9%。蔬菜播种面积16.38万亩，增长1.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%。瓜果种植面积1.38万亩，增长2.5%。全年粮食产量22.79万吨，比上年增长1.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%，其中夏粮产量4.84万吨，增长2.3%。全年谷物产量12.93万吨，增长0.1%。其中，稻谷产量5.8万吨，增长0.6%；玉米产量7万吨，减少0.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表3  2018年主要农产品产量</w:t>
      </w:r>
    </w:p>
    <w:tbl>
      <w:tblPr>
        <w:tblStyle w:val="8"/>
        <w:tblW w:w="77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2286"/>
        <w:gridCol w:w="2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产量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比上年增长（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%</w:t>
            </w: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粮食产量（万吨）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22.79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油料产量（万吨）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-16.4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蔬菜产量（万吨）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23.26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瓜果产量（万吨）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生猪出栏（万头）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65.05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4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羊出栏（万只）</w:t>
            </w:r>
          </w:p>
        </w:tc>
        <w:tc>
          <w:tcPr>
            <w:tcW w:w="228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5.18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-5.2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家禽出栏（万只）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192.90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全年工业增加值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81.3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8.0</w:t>
      </w:r>
      <w:r>
        <w:rPr>
          <w:rFonts w:ascii="Times New Roman" w:hAnsi="Times New Roman" w:eastAsia="方正仿宋_GBK" w:cs="Times New Roman"/>
          <w:sz w:val="32"/>
          <w:szCs w:val="32"/>
        </w:rPr>
        <w:t>%，占地区生产总值的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32.9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规模以上工业增加值增长8.2%。分产业看，卷烟及配套产业增长10.7%；农副产品加工产业增长18.4%；生物医药产业增长53.7%；轻纺服装产业增长24.3%；节能环保产业下降3.5%；新材料产业增长7%。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规模以上工业主营业务收入比上年增长9.1%，利税总额下降34.5%，利润总额增长39.8%，产品销售率97.8%，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个百分点。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表4   2018年规模以上工业企业主要产品产量</w:t>
      </w:r>
    </w:p>
    <w:tbl>
      <w:tblPr>
        <w:tblStyle w:val="8"/>
        <w:tblW w:w="76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2402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主要产品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产量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比上年增长（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%</w:t>
            </w: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卷烟（万箱）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32.24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水泥（万吨）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230.3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铝材（万吨）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6.6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-6.9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发电量（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  <w:lang w:eastAsia="zh-CN"/>
              </w:rPr>
              <w:t>万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千瓦时）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21852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18.2</w:t>
            </w: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全年建筑业增加值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27.58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8.3</w:t>
      </w:r>
      <w:r>
        <w:rPr>
          <w:rFonts w:ascii="Times New Roman" w:hAnsi="Times New Roman" w:eastAsia="方正仿宋_GBK" w:cs="Times New Roman"/>
          <w:sz w:val="32"/>
          <w:szCs w:val="32"/>
        </w:rPr>
        <w:t>%，占地区生产总值的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11.1</w:t>
      </w:r>
      <w:r>
        <w:rPr>
          <w:rFonts w:ascii="Times New Roman" w:hAnsi="Times New Roman" w:eastAsia="方正仿宋_GBK" w:cs="Times New Roman"/>
          <w:sz w:val="32"/>
          <w:szCs w:val="32"/>
        </w:rPr>
        <w:t>%。建筑业总产值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113.29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8.3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表5   2018年建筑业主要指标</w:t>
      </w:r>
    </w:p>
    <w:tbl>
      <w:tblPr>
        <w:tblStyle w:val="8"/>
        <w:tblW w:w="7721" w:type="dxa"/>
        <w:jc w:val="center"/>
        <w:tblInd w:w="-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2210"/>
        <w:gridCol w:w="2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绝对值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比上年增长（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总产值（亿元）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113.29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企业数（个）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  <w:szCs w:val="24"/>
              </w:rPr>
              <w:t>在地项目个数（个）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852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12.1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全年固定资产投资比上年增长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8.1</w:t>
      </w:r>
      <w:r>
        <w:rPr>
          <w:rFonts w:ascii="Times New Roman" w:hAnsi="Times New Roman" w:eastAsia="方正仿宋_GBK" w:cs="Times New Roman"/>
          <w:sz w:val="32"/>
          <w:szCs w:val="32"/>
        </w:rPr>
        <w:t>%。其中，第一产业投资增长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107.8%</w:t>
      </w:r>
      <w:r>
        <w:rPr>
          <w:rFonts w:ascii="Times New Roman" w:hAnsi="Times New Roman" w:eastAsia="方正仿宋_GBK" w:cs="Times New Roman"/>
          <w:sz w:val="32"/>
          <w:szCs w:val="32"/>
        </w:rPr>
        <w:t>；第二产业投资增长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1.4</w:t>
      </w:r>
      <w:r>
        <w:rPr>
          <w:rFonts w:ascii="Times New Roman" w:hAnsi="Times New Roman" w:eastAsia="方正仿宋_GBK" w:cs="Times New Roman"/>
          <w:sz w:val="32"/>
          <w:szCs w:val="32"/>
        </w:rPr>
        <w:t>%；第三产业投资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6.3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分性质看：国有投资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增长30.1</w:t>
      </w:r>
      <w:r>
        <w:rPr>
          <w:rFonts w:ascii="Times New Roman" w:hAnsi="Times New Roman" w:eastAsia="方正仿宋_GBK" w:cs="Times New Roman"/>
          <w:sz w:val="32"/>
          <w:szCs w:val="32"/>
        </w:rPr>
        <w:t>%；民间投资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下降12</w:t>
      </w:r>
      <w:r>
        <w:rPr>
          <w:rFonts w:ascii="Times New Roman" w:hAnsi="Times New Roman" w:eastAsia="方正仿宋_GBK" w:cs="Times New Roman"/>
          <w:sz w:val="32"/>
          <w:szCs w:val="32"/>
        </w:rPr>
        <w:t>%。分类别看：建设与改造投资增长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8.8</w:t>
      </w:r>
      <w:r>
        <w:rPr>
          <w:rFonts w:ascii="Times New Roman" w:hAnsi="Times New Roman" w:eastAsia="方正仿宋_GBK" w:cs="Times New Roman"/>
          <w:sz w:val="32"/>
          <w:szCs w:val="32"/>
        </w:rPr>
        <w:t>%；房地产开发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增长4.4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图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instrText xml:space="preserve"> SEQ 图 \* ARABIC </w:instrTex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2018年按领域分固定资产投资及其占比</w:t>
      </w:r>
    </w:p>
    <w:p>
      <w:pPr>
        <w:jc w:val="center"/>
      </w:pPr>
      <w:r>
        <w:drawing>
          <wp:inline distT="0" distB="0" distL="114300" distR="114300">
            <wp:extent cx="4572000" cy="1735455"/>
            <wp:effectExtent l="5080" t="4445" r="13970" b="1270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全年商品房施工面积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222.92</w:t>
      </w:r>
      <w:r>
        <w:rPr>
          <w:rFonts w:ascii="Times New Roman" w:hAnsi="Times New Roman" w:eastAsia="方正仿宋_GBK" w:cs="Times New Roman"/>
          <w:sz w:val="32"/>
          <w:szCs w:val="32"/>
        </w:rPr>
        <w:t>万平方米，比上年增长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1.2</w:t>
      </w:r>
      <w:r>
        <w:rPr>
          <w:rFonts w:ascii="Times New Roman" w:hAnsi="Times New Roman" w:eastAsia="方正仿宋_GBK" w:cs="Times New Roman"/>
          <w:sz w:val="32"/>
          <w:szCs w:val="32"/>
        </w:rPr>
        <w:t>%。商品房销售面积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58.54</w:t>
      </w:r>
      <w:r>
        <w:rPr>
          <w:rFonts w:ascii="Times New Roman" w:hAnsi="Times New Roman" w:eastAsia="方正仿宋_GBK" w:cs="Times New Roman"/>
          <w:sz w:val="32"/>
          <w:szCs w:val="32"/>
        </w:rPr>
        <w:t>万平方米，增长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3.4</w:t>
      </w:r>
      <w:r>
        <w:rPr>
          <w:rFonts w:ascii="Times New Roman" w:hAnsi="Times New Roman" w:eastAsia="方正仿宋_GBK" w:cs="Times New Roman"/>
          <w:sz w:val="32"/>
          <w:szCs w:val="32"/>
        </w:rPr>
        <w:t>%，其中，住宅销售面积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52.50</w:t>
      </w:r>
      <w:r>
        <w:rPr>
          <w:rFonts w:ascii="Times New Roman" w:hAnsi="Times New Roman" w:eastAsia="方正仿宋_GBK" w:cs="Times New Roman"/>
          <w:sz w:val="32"/>
          <w:szCs w:val="32"/>
        </w:rPr>
        <w:t>万平方米，增长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10.1</w:t>
      </w:r>
      <w:r>
        <w:rPr>
          <w:rFonts w:ascii="Times New Roman" w:hAnsi="Times New Roman" w:eastAsia="方正仿宋_GBK" w:cs="Times New Roman"/>
          <w:sz w:val="32"/>
          <w:szCs w:val="32"/>
        </w:rPr>
        <w:t>%。商品房销售额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29.25</w:t>
      </w:r>
      <w:r>
        <w:rPr>
          <w:rFonts w:ascii="Times New Roman" w:hAnsi="Times New Roman" w:eastAsia="方正仿宋_GBK" w:cs="Times New Roman"/>
          <w:sz w:val="32"/>
          <w:szCs w:val="32"/>
        </w:rPr>
        <w:t>亿元，下降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3.7</w:t>
      </w:r>
      <w:r>
        <w:rPr>
          <w:rFonts w:ascii="Times New Roman" w:hAnsi="Times New Roman" w:eastAsia="方正仿宋_GBK" w:cs="Times New Roman"/>
          <w:sz w:val="32"/>
          <w:szCs w:val="32"/>
        </w:rPr>
        <w:t>%，其中，住宅销售额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26.80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五、国内贸易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全年批发和零售业增加值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15.16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%，占地区生产总值的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6.1</w:t>
      </w:r>
      <w:r>
        <w:rPr>
          <w:rFonts w:ascii="Times New Roman" w:hAnsi="Times New Roman" w:eastAsia="方正仿宋_GBK" w:cs="Times New Roman"/>
          <w:sz w:val="32"/>
          <w:szCs w:val="32"/>
        </w:rPr>
        <w:t>%；住宿和餐饮业增加值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8.79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5.5</w:t>
      </w:r>
      <w:r>
        <w:rPr>
          <w:rFonts w:ascii="Times New Roman" w:hAnsi="Times New Roman" w:eastAsia="方正仿宋_GBK" w:cs="Times New Roman"/>
          <w:sz w:val="32"/>
          <w:szCs w:val="32"/>
        </w:rPr>
        <w:t>%，占地区生产总值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3.6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全年社会消费品零售总额比上年增长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8.3</w:t>
      </w:r>
      <w:r>
        <w:rPr>
          <w:rFonts w:ascii="Times New Roman" w:hAnsi="Times New Roman" w:eastAsia="方正仿宋_GBK" w:cs="Times New Roman"/>
          <w:sz w:val="32"/>
          <w:szCs w:val="32"/>
        </w:rPr>
        <w:t>%。全年批发零售企业商品销售额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267.37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10.2</w:t>
      </w:r>
      <w:r>
        <w:rPr>
          <w:rFonts w:ascii="Times New Roman" w:hAnsi="Times New Roman" w:eastAsia="方正仿宋_GBK" w:cs="Times New Roman"/>
          <w:sz w:val="32"/>
          <w:szCs w:val="32"/>
        </w:rPr>
        <w:t>%。住宿餐饮企业营业收入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19.65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12.8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在限额以上法人企业商品零售额中，粮油、食品类比上年增长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11.9</w:t>
      </w:r>
      <w:r>
        <w:rPr>
          <w:rFonts w:ascii="Times New Roman" w:hAnsi="Times New Roman" w:eastAsia="方正仿宋_GBK" w:cs="Times New Roman"/>
          <w:sz w:val="32"/>
          <w:szCs w:val="32"/>
        </w:rPr>
        <w:t>%，饮料类增长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19.6</w:t>
      </w:r>
      <w:r>
        <w:rPr>
          <w:rFonts w:ascii="Times New Roman" w:hAnsi="Times New Roman" w:eastAsia="方正仿宋_GBK" w:cs="Times New Roman"/>
          <w:sz w:val="32"/>
          <w:szCs w:val="32"/>
        </w:rPr>
        <w:t>%，烟酒类增长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ascii="Times New Roman" w:hAnsi="Times New Roman" w:eastAsia="方正仿宋_GBK" w:cs="Times New Roman"/>
          <w:sz w:val="32"/>
          <w:szCs w:val="32"/>
        </w:rPr>
        <w:t>%，服装、鞋帽、针纺织品类增长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11.7</w:t>
      </w:r>
      <w:r>
        <w:rPr>
          <w:rFonts w:ascii="Times New Roman" w:hAnsi="Times New Roman" w:eastAsia="方正仿宋_GBK" w:cs="Times New Roman"/>
          <w:sz w:val="32"/>
          <w:szCs w:val="32"/>
        </w:rPr>
        <w:t>%，化妆品类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下降26.1</w:t>
      </w:r>
      <w:r>
        <w:rPr>
          <w:rFonts w:ascii="Times New Roman" w:hAnsi="Times New Roman" w:eastAsia="方正仿宋_GBK" w:cs="Times New Roman"/>
          <w:sz w:val="32"/>
          <w:szCs w:val="32"/>
        </w:rPr>
        <w:t>%，金银珠宝类增长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10.6</w:t>
      </w:r>
      <w:r>
        <w:rPr>
          <w:rFonts w:ascii="Times New Roman" w:hAnsi="Times New Roman" w:eastAsia="方正仿宋_GBK" w:cs="Times New Roman"/>
          <w:sz w:val="32"/>
          <w:szCs w:val="32"/>
        </w:rPr>
        <w:t>%，日用品类增长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%，文化办公用品类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下降55.4</w:t>
      </w:r>
      <w:r>
        <w:rPr>
          <w:rFonts w:ascii="Times New Roman" w:hAnsi="Times New Roman" w:eastAsia="方正仿宋_GBK" w:cs="Times New Roman"/>
          <w:sz w:val="32"/>
          <w:szCs w:val="32"/>
        </w:rPr>
        <w:t>%，家用电器和音像器材类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下降19.9</w:t>
      </w:r>
      <w:r>
        <w:rPr>
          <w:rFonts w:ascii="Times New Roman" w:hAnsi="Times New Roman" w:eastAsia="方正仿宋_GBK" w:cs="Times New Roman"/>
          <w:sz w:val="32"/>
          <w:szCs w:val="32"/>
        </w:rPr>
        <w:t>%，中西药材类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下降13.6</w:t>
      </w:r>
      <w:r>
        <w:rPr>
          <w:rFonts w:ascii="Times New Roman" w:hAnsi="Times New Roman" w:eastAsia="方正仿宋_GBK" w:cs="Times New Roman"/>
          <w:sz w:val="32"/>
          <w:szCs w:val="32"/>
        </w:rPr>
        <w:t>%，家具类下降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19.5</w:t>
      </w:r>
      <w:r>
        <w:rPr>
          <w:rFonts w:ascii="Times New Roman" w:hAnsi="Times New Roman" w:eastAsia="方正仿宋_GBK" w:cs="Times New Roman"/>
          <w:sz w:val="32"/>
          <w:szCs w:val="32"/>
        </w:rPr>
        <w:t>%，通信器材类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下降38.7</w:t>
      </w:r>
      <w:r>
        <w:rPr>
          <w:rFonts w:ascii="Times New Roman" w:hAnsi="Times New Roman" w:eastAsia="方正仿宋_GBK" w:cs="Times New Roman"/>
          <w:sz w:val="32"/>
          <w:szCs w:val="32"/>
        </w:rPr>
        <w:t>%，石油及制品类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增长16.6</w:t>
      </w:r>
      <w:r>
        <w:rPr>
          <w:rFonts w:ascii="Times New Roman" w:hAnsi="Times New Roman" w:eastAsia="方正仿宋_GBK" w:cs="Times New Roman"/>
          <w:sz w:val="32"/>
          <w:szCs w:val="32"/>
        </w:rPr>
        <w:t>%，建筑及装潢材料类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下降40.5</w:t>
      </w:r>
      <w:r>
        <w:rPr>
          <w:rFonts w:ascii="Times New Roman" w:hAnsi="Times New Roman" w:eastAsia="方正仿宋_GBK" w:cs="Times New Roman"/>
          <w:sz w:val="32"/>
          <w:szCs w:val="32"/>
        </w:rPr>
        <w:t>%，汽车类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下降14.7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六、交通、邮电和旅游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全年交通运输、仓储和邮政业增加值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7.16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5.7</w:t>
      </w:r>
      <w:r>
        <w:rPr>
          <w:rFonts w:ascii="Times New Roman" w:hAnsi="Times New Roman" w:eastAsia="方正仿宋_GBK" w:cs="Times New Roman"/>
          <w:sz w:val="32"/>
          <w:szCs w:val="32"/>
        </w:rPr>
        <w:t>%，占地区生产总值的2.9%。公路通车总里程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3910</w:t>
      </w:r>
      <w:r>
        <w:rPr>
          <w:rFonts w:ascii="Times New Roman" w:hAnsi="Times New Roman" w:eastAsia="方正仿宋_GBK" w:cs="Times New Roman"/>
          <w:sz w:val="32"/>
          <w:szCs w:val="32"/>
        </w:rPr>
        <w:t>公里。公路货物运输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487</w:t>
      </w:r>
      <w:r>
        <w:rPr>
          <w:rFonts w:ascii="Times New Roman" w:hAnsi="Times New Roman" w:eastAsia="方正仿宋_GBK" w:cs="Times New Roman"/>
          <w:sz w:val="32"/>
          <w:szCs w:val="32"/>
        </w:rPr>
        <w:t>万吨，比上年增长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%，公路货运周转量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48597</w:t>
      </w:r>
      <w:r>
        <w:rPr>
          <w:rFonts w:ascii="Times New Roman" w:hAnsi="Times New Roman" w:eastAsia="方正仿宋_GBK" w:cs="Times New Roman"/>
          <w:sz w:val="32"/>
          <w:szCs w:val="32"/>
        </w:rPr>
        <w:t>万吨公里，增长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7.4</w:t>
      </w:r>
      <w:r>
        <w:rPr>
          <w:rFonts w:ascii="Times New Roman" w:hAnsi="Times New Roman" w:eastAsia="方正仿宋_GBK" w:cs="Times New Roman"/>
          <w:sz w:val="32"/>
          <w:szCs w:val="32"/>
        </w:rPr>
        <w:t>%。公路旅客运输量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1218</w:t>
      </w:r>
      <w:r>
        <w:rPr>
          <w:rFonts w:ascii="Times New Roman" w:hAnsi="Times New Roman" w:eastAsia="方正仿宋_GBK" w:cs="Times New Roman"/>
          <w:sz w:val="32"/>
          <w:szCs w:val="32"/>
        </w:rPr>
        <w:t>万人，增长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10.9</w:t>
      </w:r>
      <w:r>
        <w:rPr>
          <w:rFonts w:ascii="Times New Roman" w:hAnsi="Times New Roman" w:eastAsia="方正仿宋_GBK" w:cs="Times New Roman"/>
          <w:sz w:val="32"/>
          <w:szCs w:val="32"/>
        </w:rPr>
        <w:t>%，公路客运周转量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54444</w:t>
      </w:r>
      <w:r>
        <w:rPr>
          <w:rFonts w:ascii="Times New Roman" w:hAnsi="Times New Roman" w:eastAsia="方正仿宋_GBK" w:cs="Times New Roman"/>
          <w:sz w:val="32"/>
          <w:szCs w:val="32"/>
        </w:rPr>
        <w:t>万人公里，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4.8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年末开通航线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10条，全年飞机起降4923架次，</w:t>
      </w:r>
      <w:r>
        <w:rPr>
          <w:rFonts w:ascii="Times New Roman" w:hAnsi="Times New Roman" w:eastAsia="方正仿宋_GBK" w:cs="Times New Roman"/>
          <w:sz w:val="32"/>
          <w:szCs w:val="32"/>
        </w:rPr>
        <w:t>旅客吞吐量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40.99</w:t>
      </w:r>
      <w:r>
        <w:rPr>
          <w:rFonts w:ascii="Times New Roman" w:hAnsi="Times New Roman" w:eastAsia="方正仿宋_GBK" w:cs="Times New Roman"/>
          <w:sz w:val="32"/>
          <w:szCs w:val="32"/>
        </w:rPr>
        <w:t>万人次，增长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42</w:t>
      </w:r>
      <w:r>
        <w:rPr>
          <w:rFonts w:ascii="Times New Roman" w:hAnsi="Times New Roman" w:eastAsia="方正仿宋_GBK" w:cs="Times New Roman"/>
          <w:sz w:val="32"/>
          <w:szCs w:val="32"/>
        </w:rPr>
        <w:t>%，邮货吞吐量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163.4</w:t>
      </w:r>
      <w:r>
        <w:rPr>
          <w:rFonts w:ascii="Times New Roman" w:hAnsi="Times New Roman" w:eastAsia="方正仿宋_GBK" w:cs="Times New Roman"/>
          <w:sz w:val="32"/>
          <w:szCs w:val="32"/>
        </w:rPr>
        <w:t>吨，增长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35.6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邮政业务总量增长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30.2</w:t>
      </w:r>
      <w:r>
        <w:rPr>
          <w:rFonts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电信业务总量增长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153.5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%。年末固定电话用户5.7万户，移动电话用户56万户，互联网用户17.6万户。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全年接待游客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2064.24</w:t>
      </w:r>
      <w:r>
        <w:rPr>
          <w:rFonts w:ascii="Times New Roman" w:hAnsi="Times New Roman" w:eastAsia="方正仿宋_GBK" w:cs="Times New Roman"/>
          <w:sz w:val="32"/>
          <w:szCs w:val="32"/>
        </w:rPr>
        <w:t>万人次，比上年增长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41.4</w:t>
      </w:r>
      <w:r>
        <w:rPr>
          <w:rFonts w:ascii="Times New Roman" w:hAnsi="Times New Roman" w:eastAsia="方正仿宋_GBK" w:cs="Times New Roman"/>
          <w:sz w:val="32"/>
          <w:szCs w:val="32"/>
        </w:rPr>
        <w:t>%。其中，接待过夜游客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450.4</w:t>
      </w:r>
      <w:r>
        <w:rPr>
          <w:rFonts w:ascii="Times New Roman" w:hAnsi="Times New Roman" w:eastAsia="方正仿宋_GBK" w:cs="Times New Roman"/>
          <w:sz w:val="32"/>
          <w:szCs w:val="32"/>
        </w:rPr>
        <w:t>万人次，增长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27.4</w:t>
      </w:r>
      <w:r>
        <w:rPr>
          <w:rFonts w:ascii="Times New Roman" w:hAnsi="Times New Roman" w:eastAsia="方正仿宋_GBK" w:cs="Times New Roman"/>
          <w:sz w:val="32"/>
          <w:szCs w:val="32"/>
        </w:rPr>
        <w:t>%；接待一日游游客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1613.84</w:t>
      </w:r>
      <w:r>
        <w:rPr>
          <w:rFonts w:ascii="Times New Roman" w:hAnsi="Times New Roman" w:eastAsia="方正仿宋_GBK" w:cs="Times New Roman"/>
          <w:sz w:val="32"/>
          <w:szCs w:val="32"/>
        </w:rPr>
        <w:t>万人次，增长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45.87</w:t>
      </w:r>
      <w:r>
        <w:rPr>
          <w:rFonts w:ascii="Times New Roman" w:hAnsi="Times New Roman" w:eastAsia="方正仿宋_GBK" w:cs="Times New Roman"/>
          <w:sz w:val="32"/>
          <w:szCs w:val="32"/>
        </w:rPr>
        <w:t>%。全年旅游总收入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107.4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70.8</w:t>
      </w:r>
      <w:r>
        <w:rPr>
          <w:rFonts w:ascii="Times New Roman" w:hAnsi="Times New Roman" w:eastAsia="方正仿宋_GBK" w:cs="Times New Roman"/>
          <w:sz w:val="32"/>
          <w:szCs w:val="32"/>
        </w:rPr>
        <w:t>%。其中，过夜游收入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21.79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33.4</w:t>
      </w:r>
      <w:r>
        <w:rPr>
          <w:rFonts w:ascii="Times New Roman" w:hAnsi="Times New Roman" w:eastAsia="方正仿宋_GBK" w:cs="Times New Roman"/>
          <w:sz w:val="32"/>
          <w:szCs w:val="32"/>
        </w:rPr>
        <w:t>%；一日游收入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85.61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83.9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七、金融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全年金融业增加值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21.43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下降1.8</w:t>
      </w:r>
      <w:r>
        <w:rPr>
          <w:rFonts w:ascii="Times New Roman" w:hAnsi="Times New Roman" w:eastAsia="方正仿宋_GBK" w:cs="Times New Roman"/>
          <w:sz w:val="32"/>
          <w:szCs w:val="32"/>
        </w:rPr>
        <w:t>%，占地区生产总值的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8.7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年末金融机构存款余额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260.78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亿元，比上年末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增长15.2</w:t>
      </w:r>
      <w:r>
        <w:rPr>
          <w:rFonts w:ascii="Times New Roman" w:hAnsi="Times New Roman" w:eastAsia="方正仿宋_GBK" w:cs="Times New Roman"/>
          <w:sz w:val="32"/>
          <w:szCs w:val="32"/>
        </w:rPr>
        <w:t>%，其中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住户存款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153.68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11.6</w:t>
      </w:r>
      <w:r>
        <w:rPr>
          <w:rFonts w:ascii="Times New Roman" w:hAnsi="Times New Roman" w:eastAsia="方正仿宋_GBK" w:cs="Times New Roman"/>
          <w:sz w:val="32"/>
          <w:szCs w:val="32"/>
        </w:rPr>
        <w:t>%。年末金融机构贷款余额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250.96</w:t>
      </w:r>
      <w:r>
        <w:rPr>
          <w:rFonts w:ascii="Times New Roman" w:hAnsi="Times New Roman" w:eastAsia="方正仿宋_GBK" w:cs="Times New Roman"/>
          <w:sz w:val="32"/>
          <w:szCs w:val="32"/>
        </w:rPr>
        <w:t>亿元，比上年末增长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5.3</w:t>
      </w:r>
      <w:r>
        <w:rPr>
          <w:rFonts w:ascii="Times New Roman" w:hAnsi="Times New Roman" w:eastAsia="方正仿宋_GBK" w:cs="Times New Roman"/>
          <w:sz w:val="32"/>
          <w:szCs w:val="32"/>
        </w:rPr>
        <w:t>%。其中，短期贷款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37.74</w:t>
      </w:r>
      <w:r>
        <w:rPr>
          <w:rFonts w:ascii="Times New Roman" w:hAnsi="Times New Roman" w:eastAsia="方正仿宋_GBK" w:cs="Times New Roman"/>
          <w:sz w:val="32"/>
          <w:szCs w:val="32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下降30.8</w:t>
      </w:r>
      <w:r>
        <w:rPr>
          <w:rFonts w:ascii="Times New Roman" w:hAnsi="Times New Roman" w:eastAsia="方正仿宋_GBK" w:cs="Times New Roman"/>
          <w:sz w:val="32"/>
          <w:szCs w:val="32"/>
        </w:rPr>
        <w:t>%；中长期贷款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210.89</w:t>
      </w:r>
      <w:r>
        <w:rPr>
          <w:rFonts w:ascii="Times New Roman" w:hAnsi="Times New Roman" w:eastAsia="方正仿宋_GBK" w:cs="Times New Roman"/>
          <w:sz w:val="32"/>
          <w:szCs w:val="32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15.3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2018年年末金融机构存贷款余额</w:t>
      </w:r>
    </w:p>
    <w:tbl>
      <w:tblPr>
        <w:tblStyle w:val="8"/>
        <w:tblW w:w="7831" w:type="dxa"/>
        <w:jc w:val="center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200"/>
        <w:gridCol w:w="2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年末数（亿元）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比上年增长（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%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金融机构存贷款余额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511.74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金融机构各项存款余额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260.78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住户存款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153.68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非金融企业存款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70.52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kern w:val="0"/>
                <w:sz w:val="22"/>
              </w:rPr>
              <w:t>金融机构各项贷款余额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250.96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短期贷款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37.74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-30.8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0"/>
                <w:sz w:val="22"/>
              </w:rPr>
              <w:t>中长期贷款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210.89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15.3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全年保费收入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10.58</w:t>
      </w:r>
      <w:r>
        <w:rPr>
          <w:rFonts w:ascii="Times New Roman" w:hAnsi="Times New Roman" w:eastAsia="方正仿宋_GBK" w:cs="Times New Roman"/>
          <w:sz w:val="32"/>
          <w:szCs w:val="32"/>
        </w:rPr>
        <w:t>亿元。其中，财产险保费收入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2.75</w:t>
      </w:r>
      <w:r>
        <w:rPr>
          <w:rFonts w:ascii="Times New Roman" w:hAnsi="Times New Roman" w:eastAsia="方正仿宋_GBK" w:cs="Times New Roman"/>
          <w:sz w:val="32"/>
          <w:szCs w:val="32"/>
        </w:rPr>
        <w:t>亿元；人身险保费收入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7.83</w:t>
      </w:r>
      <w:r>
        <w:rPr>
          <w:rFonts w:ascii="Times New Roman" w:hAnsi="Times New Roman" w:eastAsia="方正仿宋_GBK" w:cs="Times New Roman"/>
          <w:sz w:val="32"/>
          <w:szCs w:val="32"/>
        </w:rPr>
        <w:t>亿元。各保险公司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财产险</w:t>
      </w:r>
      <w:r>
        <w:rPr>
          <w:rFonts w:ascii="Times New Roman" w:hAnsi="Times New Roman" w:eastAsia="方正仿宋_GBK" w:cs="Times New Roman"/>
          <w:sz w:val="32"/>
          <w:szCs w:val="32"/>
        </w:rPr>
        <w:t>赔付保险金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1.5</w:t>
      </w:r>
      <w:r>
        <w:rPr>
          <w:rFonts w:ascii="Times New Roman" w:hAnsi="Times New Roman" w:eastAsia="方正仿宋_GBK" w:cs="Times New Roman"/>
          <w:sz w:val="32"/>
          <w:szCs w:val="32"/>
        </w:rPr>
        <w:t>亿元。</w:t>
      </w:r>
    </w:p>
    <w:p>
      <w:pPr>
        <w:spacing w:line="58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八、人民生活和社会保障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全区常住居民人均可支配收入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21935</w:t>
      </w:r>
      <w:r>
        <w:rPr>
          <w:rFonts w:ascii="Times New Roman" w:hAnsi="Times New Roman" w:eastAsia="方正仿宋_GBK" w:cs="Times New Roman"/>
          <w:sz w:val="32"/>
          <w:szCs w:val="32"/>
        </w:rPr>
        <w:t>元，比上年增加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2110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10.6</w:t>
      </w:r>
      <w:r>
        <w:rPr>
          <w:rFonts w:ascii="Times New Roman" w:hAnsi="Times New Roman" w:eastAsia="方正仿宋_GBK" w:cs="Times New Roman"/>
          <w:sz w:val="32"/>
          <w:szCs w:val="32"/>
        </w:rPr>
        <w:t>%。全区常住居民人均消费支出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1553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元，比上年增加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10.3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全年城镇常住居民人均可支配收入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32435</w:t>
      </w:r>
      <w:r>
        <w:rPr>
          <w:rFonts w:ascii="Times New Roman" w:hAnsi="Times New Roman" w:eastAsia="方正仿宋_GBK" w:cs="Times New Roman"/>
          <w:sz w:val="32"/>
          <w:szCs w:val="32"/>
        </w:rPr>
        <w:t>元，比上年增加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262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元，增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长8.8</w:t>
      </w:r>
      <w:r>
        <w:rPr>
          <w:rFonts w:ascii="Times New Roman" w:hAnsi="Times New Roman" w:eastAsia="方正仿宋_GBK" w:cs="Times New Roman"/>
          <w:sz w:val="32"/>
          <w:szCs w:val="32"/>
        </w:rPr>
        <w:t>%。其中工资性收入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15706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8.3</w:t>
      </w:r>
      <w:r>
        <w:rPr>
          <w:rFonts w:ascii="Times New Roman" w:hAnsi="Times New Roman" w:eastAsia="方正仿宋_GBK" w:cs="Times New Roman"/>
          <w:sz w:val="32"/>
          <w:szCs w:val="32"/>
        </w:rPr>
        <w:t>%；经营净收入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10305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4.4</w:t>
      </w:r>
      <w:r>
        <w:rPr>
          <w:rFonts w:ascii="Times New Roman" w:hAnsi="Times New Roman" w:eastAsia="方正仿宋_GBK" w:cs="Times New Roman"/>
          <w:sz w:val="32"/>
          <w:szCs w:val="32"/>
        </w:rPr>
        <w:t>%；财产净收入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2771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9.1</w:t>
      </w:r>
      <w:r>
        <w:rPr>
          <w:rFonts w:ascii="Times New Roman" w:hAnsi="Times New Roman" w:eastAsia="方正仿宋_GBK" w:cs="Times New Roman"/>
          <w:sz w:val="32"/>
          <w:szCs w:val="32"/>
        </w:rPr>
        <w:t>%；转移净收入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365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26.0</w:t>
      </w:r>
      <w:r>
        <w:rPr>
          <w:rFonts w:ascii="Times New Roman" w:hAnsi="Times New Roman" w:eastAsia="方正仿宋_GBK" w:cs="Times New Roman"/>
          <w:sz w:val="32"/>
          <w:szCs w:val="32"/>
        </w:rPr>
        <w:t>%。全年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城镇</w:t>
      </w:r>
      <w:r>
        <w:rPr>
          <w:rFonts w:ascii="Times New Roman" w:hAnsi="Times New Roman" w:eastAsia="方正仿宋_GBK" w:cs="Times New Roman"/>
          <w:sz w:val="32"/>
          <w:szCs w:val="32"/>
        </w:rPr>
        <w:t>常住居民人均消费支出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21705</w:t>
      </w:r>
      <w:r>
        <w:rPr>
          <w:rFonts w:ascii="Times New Roman" w:hAnsi="Times New Roman" w:eastAsia="方正仿宋_GBK" w:cs="Times New Roman"/>
          <w:sz w:val="32"/>
          <w:szCs w:val="32"/>
        </w:rPr>
        <w:t>元，比上年增加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167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8.4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全年农村常住居民人均可支配收入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11806</w:t>
      </w:r>
      <w:r>
        <w:rPr>
          <w:rFonts w:ascii="Times New Roman" w:hAnsi="Times New Roman" w:eastAsia="方正仿宋_GBK" w:cs="Times New Roman"/>
          <w:sz w:val="32"/>
          <w:szCs w:val="32"/>
        </w:rPr>
        <w:t>元，比上年增加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1014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9.4</w:t>
      </w:r>
      <w:r>
        <w:rPr>
          <w:rFonts w:ascii="Times New Roman" w:hAnsi="Times New Roman" w:eastAsia="方正仿宋_GBK" w:cs="Times New Roman"/>
          <w:sz w:val="32"/>
          <w:szCs w:val="32"/>
        </w:rPr>
        <w:t>%。其中：工资性收入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3339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10.2</w:t>
      </w:r>
      <w:r>
        <w:rPr>
          <w:rFonts w:ascii="Times New Roman" w:hAnsi="Times New Roman" w:eastAsia="方正仿宋_GBK" w:cs="Times New Roman"/>
          <w:sz w:val="32"/>
          <w:szCs w:val="32"/>
        </w:rPr>
        <w:t>%；经营净收入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3780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8.7</w:t>
      </w:r>
      <w:r>
        <w:rPr>
          <w:rFonts w:ascii="Times New Roman" w:hAnsi="Times New Roman" w:eastAsia="方正仿宋_GBK" w:cs="Times New Roman"/>
          <w:sz w:val="32"/>
          <w:szCs w:val="32"/>
        </w:rPr>
        <w:t>%；财产净收入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264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9.1</w:t>
      </w:r>
      <w:r>
        <w:rPr>
          <w:rFonts w:ascii="Times New Roman" w:hAnsi="Times New Roman" w:eastAsia="方正仿宋_GBK" w:cs="Times New Roman"/>
          <w:sz w:val="32"/>
          <w:szCs w:val="32"/>
        </w:rPr>
        <w:t>%；转移净收入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4423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9.4</w:t>
      </w:r>
      <w:r>
        <w:rPr>
          <w:rFonts w:ascii="Times New Roman" w:hAnsi="Times New Roman" w:eastAsia="方正仿宋_GBK" w:cs="Times New Roman"/>
          <w:sz w:val="32"/>
          <w:szCs w:val="32"/>
        </w:rPr>
        <w:t>%。农村常住居民人均生活消费支出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9578</w:t>
      </w:r>
      <w:r>
        <w:rPr>
          <w:rFonts w:ascii="Times New Roman" w:hAnsi="Times New Roman" w:eastAsia="方正仿宋_GBK" w:cs="Times New Roman"/>
          <w:sz w:val="32"/>
          <w:szCs w:val="32"/>
        </w:rPr>
        <w:t>元，比上年增加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10.1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2018年居民人均可支配收入</w:t>
      </w:r>
    </w:p>
    <w:tbl>
      <w:tblPr>
        <w:tblStyle w:val="8"/>
        <w:tblW w:w="88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885"/>
        <w:gridCol w:w="1365"/>
        <w:gridCol w:w="990"/>
        <w:gridCol w:w="1425"/>
        <w:gridCol w:w="930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全体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城镇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绝对量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比上年增长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%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绝对量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比上年增长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%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绝对量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比上年增长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%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人均可支配收入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21935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32435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11806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工资性收入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9411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11.0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15706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8.3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3339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经营净收入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6984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10305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3780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财产净收入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2771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9.1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2"/>
              </w:rPr>
              <w:t>转移净收入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4045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365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26.0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4423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9.4</w:t>
            </w:r>
          </w:p>
        </w:tc>
      </w:tr>
    </w:tbl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图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  全区居民人均消费支出结构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drawing>
          <wp:inline distT="0" distB="0" distL="114300" distR="114300">
            <wp:extent cx="5047615" cy="2314575"/>
            <wp:effectExtent l="5080" t="4445" r="14605" b="508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方正仿宋_GBK" w:cs="Times New Roman"/>
          <w:sz w:val="32"/>
          <w:szCs w:val="32"/>
        </w:rPr>
        <w:t>城镇企业职工基本养老保险参保人数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6.77</w:t>
      </w:r>
      <w:r>
        <w:rPr>
          <w:rFonts w:ascii="Times New Roman" w:hAnsi="Times New Roman" w:eastAsia="方正仿宋_GBK" w:cs="Times New Roman"/>
          <w:sz w:val="32"/>
          <w:szCs w:val="32"/>
        </w:rPr>
        <w:t>万人，比上年增长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15.9</w:t>
      </w:r>
      <w:r>
        <w:rPr>
          <w:rFonts w:ascii="Times New Roman" w:hAnsi="Times New Roman" w:eastAsia="方正仿宋_GBK" w:cs="Times New Roman"/>
          <w:sz w:val="32"/>
          <w:szCs w:val="32"/>
        </w:rPr>
        <w:t>%。城乡居民社会养老保险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参保</w:t>
      </w:r>
      <w:r>
        <w:rPr>
          <w:rFonts w:ascii="Times New Roman" w:hAnsi="Times New Roman" w:eastAsia="方正仿宋_GBK" w:cs="Times New Roman"/>
          <w:sz w:val="32"/>
          <w:szCs w:val="32"/>
        </w:rPr>
        <w:t>人数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20.32</w:t>
      </w:r>
      <w:r>
        <w:rPr>
          <w:rFonts w:ascii="Times New Roman" w:hAnsi="Times New Roman" w:eastAsia="方正仿宋_GBK" w:cs="Times New Roman"/>
          <w:sz w:val="32"/>
          <w:szCs w:val="32"/>
        </w:rPr>
        <w:t>万人，增长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2.3</w:t>
      </w:r>
      <w:r>
        <w:rPr>
          <w:rFonts w:ascii="Times New Roman" w:hAnsi="Times New Roman" w:eastAsia="方正仿宋_GBK" w:cs="Times New Roman"/>
          <w:sz w:val="32"/>
          <w:szCs w:val="32"/>
        </w:rPr>
        <w:t>%。城镇职工基本医疗保险参保人数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5.86</w:t>
      </w:r>
      <w:r>
        <w:rPr>
          <w:rFonts w:ascii="Times New Roman" w:hAnsi="Times New Roman" w:eastAsia="方正仿宋_GBK" w:cs="Times New Roman"/>
          <w:sz w:val="32"/>
          <w:szCs w:val="32"/>
        </w:rPr>
        <w:t>万人，增长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10.1</w:t>
      </w:r>
      <w:r>
        <w:rPr>
          <w:rFonts w:ascii="Times New Roman" w:hAnsi="Times New Roman" w:eastAsia="方正仿宋_GBK" w:cs="Times New Roman"/>
          <w:sz w:val="32"/>
          <w:szCs w:val="32"/>
        </w:rPr>
        <w:t>%。城乡居民基本医疗保险参保人数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46.01</w:t>
      </w:r>
      <w:r>
        <w:rPr>
          <w:rFonts w:ascii="Times New Roman" w:hAnsi="Times New Roman" w:eastAsia="方正仿宋_GBK" w:cs="Times New Roman"/>
          <w:sz w:val="32"/>
          <w:szCs w:val="32"/>
        </w:rPr>
        <w:t>万人，增长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0.9</w:t>
      </w:r>
      <w:r>
        <w:rPr>
          <w:rFonts w:ascii="Times New Roman" w:hAnsi="Times New Roman" w:eastAsia="方正仿宋_GBK" w:cs="Times New Roman"/>
          <w:sz w:val="32"/>
          <w:szCs w:val="32"/>
        </w:rPr>
        <w:t>%。工伤保险参保人数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5.42</w:t>
      </w:r>
      <w:r>
        <w:rPr>
          <w:rFonts w:ascii="Times New Roman" w:hAnsi="Times New Roman" w:eastAsia="方正仿宋_GBK" w:cs="Times New Roman"/>
          <w:sz w:val="32"/>
          <w:szCs w:val="32"/>
        </w:rPr>
        <w:t>万人，增长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7.8</w:t>
      </w:r>
      <w:r>
        <w:rPr>
          <w:rFonts w:ascii="Times New Roman" w:hAnsi="Times New Roman" w:eastAsia="方正仿宋_GBK" w:cs="Times New Roman"/>
          <w:sz w:val="32"/>
          <w:szCs w:val="32"/>
        </w:rPr>
        <w:t>%。生育保险参保人数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4.75</w:t>
      </w:r>
      <w:r>
        <w:rPr>
          <w:rFonts w:ascii="Times New Roman" w:hAnsi="Times New Roman" w:eastAsia="方正仿宋_GBK" w:cs="Times New Roman"/>
          <w:sz w:val="32"/>
          <w:szCs w:val="32"/>
        </w:rPr>
        <w:t>万人，增长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12.2</w:t>
      </w:r>
      <w:r>
        <w:rPr>
          <w:rFonts w:ascii="Times New Roman" w:hAnsi="Times New Roman" w:eastAsia="方正仿宋_GBK" w:cs="Times New Roman"/>
          <w:sz w:val="32"/>
          <w:szCs w:val="32"/>
        </w:rPr>
        <w:t>%。失业保险参保人数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3.9</w:t>
      </w:r>
      <w:r>
        <w:rPr>
          <w:rFonts w:ascii="Times New Roman" w:hAnsi="Times New Roman" w:eastAsia="方正仿宋_GBK" w:cs="Times New Roman"/>
          <w:sz w:val="32"/>
          <w:szCs w:val="32"/>
        </w:rPr>
        <w:t>万人，增长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10.5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区年末共有城乡低保对象10233户20803人。其中，城市低保3672户6765人；农村低保6561户14038人。全年累计发放城乡低保金10039.8万元。其中，城市低保3801.6万元；农村低保6506.2万元。城市低保月人均补差463元，农村低保月人均补差382元。全区特困人员2369人，共发放供养金2005.3万元、发放照料护理补贴99.12万元。经济困难的高龄失能老年人614人，累计发放养老服务补贴144.4万元。孤儿53人，累计发放基本生活费81.6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九、教育、科学技术和文化体育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全区共有各级各类学校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247</w:t>
      </w:r>
      <w:r>
        <w:rPr>
          <w:rFonts w:ascii="Times New Roman" w:hAnsi="Times New Roman" w:eastAsia="方正仿宋_GBK" w:cs="Times New Roman"/>
          <w:sz w:val="32"/>
          <w:szCs w:val="32"/>
        </w:rPr>
        <w:t>所。其中，高等教育学校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所，中等职业学校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所，普通中学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27</w:t>
      </w:r>
      <w:r>
        <w:rPr>
          <w:rFonts w:ascii="Times New Roman" w:hAnsi="Times New Roman" w:eastAsia="方正仿宋_GBK" w:cs="Times New Roman"/>
          <w:sz w:val="32"/>
          <w:szCs w:val="32"/>
        </w:rPr>
        <w:t>所，小学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71</w:t>
      </w:r>
      <w:r>
        <w:rPr>
          <w:rFonts w:ascii="Times New Roman" w:hAnsi="Times New Roman" w:eastAsia="方正仿宋_GBK" w:cs="Times New Roman"/>
          <w:sz w:val="32"/>
          <w:szCs w:val="32"/>
        </w:rPr>
        <w:t>所，幼儿园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146</w:t>
      </w:r>
      <w:r>
        <w:rPr>
          <w:rFonts w:ascii="Times New Roman" w:hAnsi="Times New Roman" w:eastAsia="方正仿宋_GBK" w:cs="Times New Roman"/>
          <w:sz w:val="32"/>
          <w:szCs w:val="32"/>
        </w:rPr>
        <w:t>所，特殊教育学校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所。普通本专科招生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0.19</w:t>
      </w:r>
      <w:r>
        <w:rPr>
          <w:rFonts w:ascii="Times New Roman" w:hAnsi="Times New Roman" w:eastAsia="方正仿宋_GBK" w:cs="Times New Roman"/>
          <w:sz w:val="32"/>
          <w:szCs w:val="32"/>
        </w:rPr>
        <w:t>万人，在校生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0.81</w:t>
      </w:r>
      <w:r>
        <w:rPr>
          <w:rFonts w:ascii="Times New Roman" w:hAnsi="Times New Roman" w:eastAsia="方正仿宋_GBK" w:cs="Times New Roman"/>
          <w:sz w:val="32"/>
          <w:szCs w:val="32"/>
        </w:rPr>
        <w:t>万人，毕业生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0.17</w:t>
      </w:r>
      <w:r>
        <w:rPr>
          <w:rFonts w:ascii="Times New Roman" w:hAnsi="Times New Roman" w:eastAsia="方正仿宋_GBK" w:cs="Times New Roman"/>
          <w:sz w:val="32"/>
          <w:szCs w:val="32"/>
        </w:rPr>
        <w:t>万人。中等职业教育招生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0.37</w:t>
      </w:r>
      <w:r>
        <w:rPr>
          <w:rFonts w:ascii="Times New Roman" w:hAnsi="Times New Roman" w:eastAsia="方正仿宋_GBK" w:cs="Times New Roman"/>
          <w:sz w:val="32"/>
          <w:szCs w:val="32"/>
        </w:rPr>
        <w:t>万人，在校生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0.98</w:t>
      </w:r>
      <w:r>
        <w:rPr>
          <w:rFonts w:ascii="Times New Roman" w:hAnsi="Times New Roman" w:eastAsia="方正仿宋_GBK" w:cs="Times New Roman"/>
          <w:sz w:val="32"/>
          <w:szCs w:val="32"/>
        </w:rPr>
        <w:t>万人，毕业生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0.23</w:t>
      </w:r>
      <w:r>
        <w:rPr>
          <w:rFonts w:ascii="Times New Roman" w:hAnsi="Times New Roman" w:eastAsia="方正仿宋_GBK" w:cs="Times New Roman"/>
          <w:sz w:val="32"/>
          <w:szCs w:val="32"/>
        </w:rPr>
        <w:t>万人。普通高中学招生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0.41</w:t>
      </w:r>
      <w:r>
        <w:rPr>
          <w:rFonts w:ascii="Times New Roman" w:hAnsi="Times New Roman" w:eastAsia="方正仿宋_GBK" w:cs="Times New Roman"/>
          <w:sz w:val="32"/>
          <w:szCs w:val="32"/>
        </w:rPr>
        <w:t>万人，在校生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1.33</w:t>
      </w:r>
      <w:r>
        <w:rPr>
          <w:rFonts w:ascii="Times New Roman" w:hAnsi="Times New Roman" w:eastAsia="方正仿宋_GBK" w:cs="Times New Roman"/>
          <w:sz w:val="32"/>
          <w:szCs w:val="32"/>
        </w:rPr>
        <w:t>万人，毕业生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0.51</w:t>
      </w:r>
      <w:r>
        <w:rPr>
          <w:rFonts w:ascii="Times New Roman" w:hAnsi="Times New Roman" w:eastAsia="方正仿宋_GBK" w:cs="Times New Roman"/>
          <w:sz w:val="32"/>
          <w:szCs w:val="32"/>
        </w:rPr>
        <w:t>万人。普通初中学招生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0.77</w:t>
      </w:r>
      <w:r>
        <w:rPr>
          <w:rFonts w:ascii="Times New Roman" w:hAnsi="Times New Roman" w:eastAsia="方正仿宋_GBK" w:cs="Times New Roman"/>
          <w:sz w:val="32"/>
          <w:szCs w:val="32"/>
        </w:rPr>
        <w:t>万人，在校生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2.36</w:t>
      </w:r>
      <w:r>
        <w:rPr>
          <w:rFonts w:ascii="Times New Roman" w:hAnsi="Times New Roman" w:eastAsia="方正仿宋_GBK" w:cs="Times New Roman"/>
          <w:sz w:val="32"/>
          <w:szCs w:val="32"/>
        </w:rPr>
        <w:t>万人，毕业生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0.82</w:t>
      </w:r>
      <w:r>
        <w:rPr>
          <w:rFonts w:ascii="Times New Roman" w:hAnsi="Times New Roman" w:eastAsia="方正仿宋_GBK" w:cs="Times New Roman"/>
          <w:sz w:val="32"/>
          <w:szCs w:val="32"/>
        </w:rPr>
        <w:t>万人。普通小学招生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0.69</w:t>
      </w:r>
      <w:r>
        <w:rPr>
          <w:rFonts w:ascii="Times New Roman" w:hAnsi="Times New Roman" w:eastAsia="方正仿宋_GBK" w:cs="Times New Roman"/>
          <w:sz w:val="32"/>
          <w:szCs w:val="32"/>
        </w:rPr>
        <w:t>万人，在校生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4.25</w:t>
      </w:r>
      <w:r>
        <w:rPr>
          <w:rFonts w:ascii="Times New Roman" w:hAnsi="Times New Roman" w:eastAsia="方正仿宋_GBK" w:cs="Times New Roman"/>
          <w:sz w:val="32"/>
          <w:szCs w:val="32"/>
        </w:rPr>
        <w:t>万人，毕业生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0.74</w:t>
      </w:r>
      <w:r>
        <w:rPr>
          <w:rFonts w:ascii="Times New Roman" w:hAnsi="Times New Roman" w:eastAsia="方正仿宋_GBK" w:cs="Times New Roman"/>
          <w:sz w:val="32"/>
          <w:szCs w:val="32"/>
        </w:rPr>
        <w:t>万人。学前教育招生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1.59</w:t>
      </w:r>
      <w:r>
        <w:rPr>
          <w:rFonts w:ascii="Times New Roman" w:hAnsi="Times New Roman" w:eastAsia="方正仿宋_GBK" w:cs="Times New Roman"/>
          <w:sz w:val="32"/>
          <w:szCs w:val="32"/>
        </w:rPr>
        <w:t>万人，在校生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1.78</w:t>
      </w:r>
      <w:r>
        <w:rPr>
          <w:rFonts w:ascii="Times New Roman" w:hAnsi="Times New Roman" w:eastAsia="方正仿宋_GBK" w:cs="Times New Roman"/>
          <w:sz w:val="32"/>
          <w:szCs w:val="32"/>
        </w:rPr>
        <w:t>万人，毕业生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0.69</w:t>
      </w:r>
      <w:r>
        <w:rPr>
          <w:rFonts w:ascii="Times New Roman" w:hAnsi="Times New Roman" w:eastAsia="方正仿宋_GBK" w:cs="Times New Roman"/>
          <w:sz w:val="32"/>
          <w:szCs w:val="32"/>
        </w:rPr>
        <w:t>万人。特殊教育招生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36</w:t>
      </w:r>
      <w:r>
        <w:rPr>
          <w:rFonts w:ascii="Times New Roman" w:hAnsi="Times New Roman" w:eastAsia="方正仿宋_GBK" w:cs="Times New Roman"/>
          <w:sz w:val="32"/>
          <w:szCs w:val="32"/>
        </w:rPr>
        <w:t>人，在校生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135</w:t>
      </w:r>
      <w:r>
        <w:rPr>
          <w:rFonts w:ascii="Times New Roman" w:hAnsi="Times New Roman" w:eastAsia="方正仿宋_GBK" w:cs="Times New Roman"/>
          <w:sz w:val="32"/>
          <w:szCs w:val="32"/>
        </w:rPr>
        <w:t>人，毕业生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16</w:t>
      </w:r>
      <w:r>
        <w:rPr>
          <w:rFonts w:ascii="Times New Roman" w:hAnsi="Times New Roman" w:eastAsia="方正仿宋_GBK" w:cs="Times New Roman"/>
          <w:sz w:val="32"/>
          <w:szCs w:val="32"/>
        </w:rPr>
        <w:t>人。中考上全市联招线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2556</w:t>
      </w:r>
      <w:r>
        <w:rPr>
          <w:rFonts w:ascii="Times New Roman" w:hAnsi="Times New Roman" w:eastAsia="方正仿宋_GBK" w:cs="Times New Roman"/>
          <w:sz w:val="32"/>
          <w:szCs w:val="32"/>
        </w:rPr>
        <w:t>人，比上年增加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571</w:t>
      </w:r>
      <w:r>
        <w:rPr>
          <w:rFonts w:ascii="Times New Roman" w:hAnsi="Times New Roman" w:eastAsia="方正仿宋_GBK" w:cs="Times New Roman"/>
          <w:sz w:val="32"/>
          <w:szCs w:val="32"/>
        </w:rPr>
        <w:t>人。普通高考一本硬上线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1063</w:t>
      </w:r>
      <w:r>
        <w:rPr>
          <w:rFonts w:ascii="Times New Roman" w:hAnsi="Times New Roman" w:eastAsia="方正仿宋_GBK" w:cs="Times New Roman"/>
          <w:sz w:val="32"/>
          <w:szCs w:val="32"/>
        </w:rPr>
        <w:t>人，职教中心对口高考本科上线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301</w:t>
      </w:r>
      <w:r>
        <w:rPr>
          <w:rFonts w:ascii="Times New Roman" w:hAnsi="Times New Roman" w:eastAsia="方正仿宋_GBK" w:cs="Times New Roman"/>
          <w:sz w:val="32"/>
          <w:szCs w:val="32"/>
        </w:rPr>
        <w:t>人。学前教育三年毛入园率为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90.1</w:t>
      </w:r>
      <w:r>
        <w:rPr>
          <w:rFonts w:ascii="Times New Roman" w:hAnsi="Times New Roman" w:eastAsia="方正仿宋_GBK" w:cs="Times New Roman"/>
          <w:sz w:val="32"/>
          <w:szCs w:val="32"/>
        </w:rPr>
        <w:t>%，九年义务教育巩固率为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99.7</w:t>
      </w:r>
      <w:r>
        <w:rPr>
          <w:rFonts w:ascii="Times New Roman" w:hAnsi="Times New Roman" w:eastAsia="方正仿宋_GBK" w:cs="Times New Roman"/>
          <w:sz w:val="32"/>
          <w:szCs w:val="32"/>
        </w:rPr>
        <w:t>%，高中阶段毛入学率为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97.5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新增国家级星创天地1家，新增国家级众创空间1家，全区市级双创平台达6家，国家级达4家。全年实施区级科技计划项目94项，下达项目资金50万元。全年全区专利申请213件，比上年增长8.1%，获得专利授权152件，增长8.6%，万人发明专利拥有量2.43件/万人，增长14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区共有文艺表演团体13个，民族文化艺术馆1个，公共图书馆1个。有线数字电视实际用户2.7万户。广播人口覆盖率达96.9%、电视人口覆盖率97.7%。图书馆馆藏图书23.2万册。全区有覆盖城区、重点旅游乡镇广场的免费WiFi热点104个。全年开展各种群众文体活动2000余场次。全年完成农村惠民电影放映2035场，送演出进基层274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全年在市级及以上体育赛事中获得金牌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43</w:t>
      </w:r>
      <w:r>
        <w:rPr>
          <w:rFonts w:ascii="Times New Roman" w:hAnsi="Times New Roman" w:eastAsia="方正仿宋_GBK" w:cs="Times New Roman"/>
          <w:sz w:val="32"/>
          <w:szCs w:val="32"/>
        </w:rPr>
        <w:t>枚，银牌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49</w:t>
      </w:r>
      <w:r>
        <w:rPr>
          <w:rFonts w:ascii="Times New Roman" w:hAnsi="Times New Roman" w:eastAsia="方正仿宋_GBK" w:cs="Times New Roman"/>
          <w:sz w:val="32"/>
          <w:szCs w:val="32"/>
        </w:rPr>
        <w:t>枚，铜牌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60</w:t>
      </w:r>
      <w:r>
        <w:rPr>
          <w:rFonts w:ascii="Times New Roman" w:hAnsi="Times New Roman" w:eastAsia="方正仿宋_GBK" w:cs="Times New Roman"/>
          <w:sz w:val="32"/>
          <w:szCs w:val="32"/>
        </w:rPr>
        <w:t>枚。全区共有体育场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个，体育馆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个、游泳池（馆）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方正仿宋_GBK" w:cs="Times New Roman"/>
          <w:sz w:val="32"/>
          <w:szCs w:val="32"/>
        </w:rPr>
        <w:t>个。201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年国民体质监测抽样合格率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92.7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十、卫生和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区年末共有各级各类医疗卫生机构295个（含村卫生室）。其中，医院12个；妇幼保健院1个；疾病预防控制中心1个；乡镇卫生院24个；社区卫生服务中心6个。共有卫生机构床位数4032张。其中，医院床位3064张；社区卫生服务中心275张，乡镇卫生院床位547张。共有医疗卫生机构卫生技术人员3700人，其中执业医师和执业助理医师1048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累计整合财政涉农扶贫资金13.49亿元，争取到各类对口帮扶资金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0.61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截止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2018年底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，全区建档立卡贫困户11758户、45398人。已脱贫10982户、42645人(其中新脱贫734户、2696人)，贫困人口减少至776户、2753人（包括返贫15户、51人），贫困发生率降至0.88%。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十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一</w:t>
      </w:r>
      <w:r>
        <w:rPr>
          <w:rFonts w:ascii="Times New Roman" w:hAnsi="Times New Roman" w:eastAsia="方正黑体_GBK" w:cs="Times New Roman"/>
          <w:sz w:val="32"/>
          <w:szCs w:val="32"/>
        </w:rPr>
        <w:t>、环境保护和生态建设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全年水资源总量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21.46</w:t>
      </w:r>
      <w:r>
        <w:rPr>
          <w:rFonts w:ascii="Times New Roman" w:hAnsi="Times New Roman" w:eastAsia="方正仿宋_GBK" w:cs="Times New Roman"/>
          <w:sz w:val="32"/>
          <w:szCs w:val="32"/>
        </w:rPr>
        <w:t>亿立方米。年降水量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1341.4</w:t>
      </w:r>
      <w:r>
        <w:rPr>
          <w:rFonts w:ascii="Times New Roman" w:hAnsi="Times New Roman" w:eastAsia="方正仿宋_GBK" w:cs="Times New Roman"/>
          <w:sz w:val="32"/>
          <w:szCs w:val="32"/>
        </w:rPr>
        <w:t>毫米。总用水量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1.13</w:t>
      </w:r>
      <w:r>
        <w:rPr>
          <w:rFonts w:ascii="Times New Roman" w:hAnsi="Times New Roman" w:eastAsia="方正仿宋_GBK" w:cs="Times New Roman"/>
          <w:sz w:val="32"/>
          <w:szCs w:val="32"/>
        </w:rPr>
        <w:t>亿立方米。治理水土流失面积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101.29</w:t>
      </w:r>
      <w:r>
        <w:rPr>
          <w:rFonts w:ascii="Times New Roman" w:hAnsi="Times New Roman" w:eastAsia="方正仿宋_GBK" w:cs="Times New Roman"/>
          <w:sz w:val="32"/>
          <w:szCs w:val="32"/>
        </w:rPr>
        <w:t>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全区自然保护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个，其中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国家级自然保护地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3个，</w:t>
      </w:r>
      <w:r>
        <w:rPr>
          <w:rFonts w:ascii="Times New Roman" w:hAnsi="Times New Roman" w:eastAsia="方正仿宋_GBK" w:cs="Times New Roman"/>
          <w:sz w:val="32"/>
          <w:szCs w:val="32"/>
        </w:rPr>
        <w:t>市级自然保护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个。全区森林覆盖率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65</w:t>
      </w:r>
      <w:r>
        <w:rPr>
          <w:rFonts w:ascii="Times New Roman" w:hAnsi="Times New Roman" w:eastAsia="方正仿宋_GBK" w:cs="Times New Roman"/>
          <w:sz w:val="32"/>
          <w:szCs w:val="32"/>
        </w:rPr>
        <w:t>%，比上年提高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4.8</w:t>
      </w:r>
      <w:r>
        <w:rPr>
          <w:rFonts w:ascii="Times New Roman" w:hAnsi="Times New Roman" w:eastAsia="方正仿宋_GBK" w:cs="Times New Roman"/>
          <w:sz w:val="32"/>
          <w:szCs w:val="32"/>
        </w:rPr>
        <w:t>个百分点。全年完成营造林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24.35</w:t>
      </w:r>
      <w:r>
        <w:rPr>
          <w:rFonts w:ascii="Times New Roman" w:hAnsi="Times New Roman" w:eastAsia="方正仿宋_GBK" w:cs="Times New Roman"/>
          <w:sz w:val="32"/>
          <w:szCs w:val="32"/>
        </w:rPr>
        <w:t>万亩。其中，新造林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7.2</w:t>
      </w:r>
      <w:r>
        <w:rPr>
          <w:rFonts w:ascii="Times New Roman" w:hAnsi="Times New Roman" w:eastAsia="方正仿宋_GBK" w:cs="Times New Roman"/>
          <w:sz w:val="32"/>
          <w:szCs w:val="32"/>
        </w:rPr>
        <w:t>万亩；封山育林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3.15</w:t>
      </w:r>
      <w:r>
        <w:rPr>
          <w:rFonts w:ascii="Times New Roman" w:hAnsi="Times New Roman" w:eastAsia="方正仿宋_GBK" w:cs="Times New Roman"/>
          <w:sz w:val="32"/>
          <w:szCs w:val="32"/>
        </w:rPr>
        <w:t>万亩；退化林修复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万亩；中幼林抚育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万亩。建义务植树基地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31</w:t>
      </w:r>
      <w:r>
        <w:rPr>
          <w:rFonts w:ascii="Times New Roman" w:hAnsi="Times New Roman" w:eastAsia="方正仿宋_GBK" w:cs="Times New Roman"/>
          <w:sz w:val="32"/>
          <w:szCs w:val="32"/>
        </w:rPr>
        <w:t>个，完成义务植树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130</w:t>
      </w:r>
      <w:r>
        <w:rPr>
          <w:rFonts w:ascii="Times New Roman" w:hAnsi="Times New Roman" w:eastAsia="方正仿宋_GBK" w:cs="Times New Roman"/>
          <w:sz w:val="32"/>
          <w:szCs w:val="32"/>
        </w:rPr>
        <w:t>万株，义务植树尽责率达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95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年，全区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个监测断面中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段溪河、阿蓬江河流水质保持在III类及以上，满足水域功能要求。</w:t>
      </w:r>
      <w:r>
        <w:rPr>
          <w:rFonts w:ascii="Times New Roman" w:hAnsi="Times New Roman" w:eastAsia="方正仿宋_GBK" w:cs="Times New Roman"/>
          <w:sz w:val="32"/>
          <w:szCs w:val="32"/>
        </w:rPr>
        <w:t>全区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个城区集中式生活饮用水源地水质达标率为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100</w:t>
      </w:r>
      <w:r>
        <w:rPr>
          <w:rFonts w:ascii="Times New Roman" w:hAnsi="Times New Roman" w:eastAsia="方正仿宋_GBK" w:cs="Times New Roman"/>
          <w:sz w:val="32"/>
          <w:szCs w:val="32"/>
        </w:rPr>
        <w:t>%，全区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个乡镇集中式生活饮用水源地水质达标率为100%。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全年城区空气质量优良天数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357</w:t>
      </w:r>
      <w:r>
        <w:rPr>
          <w:rFonts w:ascii="Times New Roman" w:hAnsi="Times New Roman" w:eastAsia="方正仿宋_GBK" w:cs="Times New Roman"/>
          <w:sz w:val="32"/>
          <w:szCs w:val="32"/>
        </w:rPr>
        <w:t>天。区域环境噪声平均等效声级为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49.1</w:t>
      </w:r>
      <w:r>
        <w:rPr>
          <w:rFonts w:ascii="Times New Roman" w:hAnsi="Times New Roman" w:eastAsia="方正仿宋_GBK" w:cs="Times New Roman"/>
          <w:sz w:val="32"/>
          <w:szCs w:val="32"/>
        </w:rPr>
        <w:t>分贝，与上年持平。城区环境空气中可吸入颗粒物（PM10）年均浓度为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39</w:t>
      </w:r>
      <w:r>
        <w:rPr>
          <w:rFonts w:ascii="Times New Roman" w:hAnsi="Times New Roman" w:eastAsia="方正仿宋_GBK" w:cs="Times New Roman"/>
          <w:sz w:val="32"/>
          <w:szCs w:val="32"/>
        </w:rPr>
        <w:t>微克/立方米、细颗粒物（PM2.5）年均浓度为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28</w:t>
      </w:r>
      <w:r>
        <w:rPr>
          <w:rFonts w:ascii="Times New Roman" w:hAnsi="Times New Roman" w:eastAsia="方正仿宋_GBK" w:cs="Times New Roman"/>
          <w:sz w:val="32"/>
          <w:szCs w:val="32"/>
        </w:rPr>
        <w:t>微克/立方米、二氧化硫（SO2）年均浓度为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微克/立方米。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1.本公报中201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年数据均为初步统计数，部分数据因四舍五入的原因，存在着与分项合计不等的情况。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2.地区生产总值绝对数按现价计算，增长速度按可比价计算。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3.固定资产投资不含跨区项目。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4.常住人口是指在本乡镇（街道）居住半年以上的人口，或虽居住不满半年，但离开户口登记地半年以上人口以及户口待定人口。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5.民间固定资产投资是指具有集体、私营、个人性质的内资企事业单位以及由其控股（包括绝对控股和相对控股）的企业单位建造或购置固定资产的投资。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6.行业统计标准：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规模以上工业：年主营业务收入2000万元及以上的工业法人单位。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有资质的建筑业：有总承包、专业承包和劳务分包资质的建筑业法人单位。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限额以上批发和零售业：年主营业务收入2000万元及以上的批发业、年主营业务收入500万元及以上的零售业法人单位。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限额以上住宿和餐饮业：年主营业务收入200万元及以上的住宿和餐饮业法人单位。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房地产开发经营业：全部房地产开发经营业法人单位。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规模以上服务业：一是年营业收入1000万元及以上，或从业人员50人及以上服务业法人单位，包括：交通运输、仓储和邮政业，信息传输、软件和信息技术服务业，租赁和商务服务业，科学研究和技术服务业，水利、环境和公共设施管理业，教育，卫生和社会工作，以及物业管理、房地产中介服务、自有房地产经营活动和其他房地产业等行业。二是年营业收入500万元及以上，或年末从业人员50人及以上服务业法人单位，包括：居民服务、修理和其他服务业，文化、体育和娱乐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7.公报中所涉及的部门统计数据来自相关行业主管部门。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280" w:firstLineChars="100"/>
        <w:jc w:val="left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304" w:footer="850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-44.25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C1C"/>
    <w:rsid w:val="00001FC1"/>
    <w:rsid w:val="00011361"/>
    <w:rsid w:val="00017A77"/>
    <w:rsid w:val="00037218"/>
    <w:rsid w:val="000433B6"/>
    <w:rsid w:val="0005364D"/>
    <w:rsid w:val="00071D96"/>
    <w:rsid w:val="00075AC1"/>
    <w:rsid w:val="000858FE"/>
    <w:rsid w:val="000A126B"/>
    <w:rsid w:val="000A4868"/>
    <w:rsid w:val="000B46C1"/>
    <w:rsid w:val="000C4C68"/>
    <w:rsid w:val="000E3FD0"/>
    <w:rsid w:val="00143CBB"/>
    <w:rsid w:val="00175654"/>
    <w:rsid w:val="00180493"/>
    <w:rsid w:val="00184786"/>
    <w:rsid w:val="0019625B"/>
    <w:rsid w:val="00197352"/>
    <w:rsid w:val="001C7FEB"/>
    <w:rsid w:val="001D703F"/>
    <w:rsid w:val="00200CFF"/>
    <w:rsid w:val="0022787C"/>
    <w:rsid w:val="00231913"/>
    <w:rsid w:val="002748A4"/>
    <w:rsid w:val="0027673A"/>
    <w:rsid w:val="00280E8E"/>
    <w:rsid w:val="00287104"/>
    <w:rsid w:val="00291FAE"/>
    <w:rsid w:val="00297AE7"/>
    <w:rsid w:val="002A50DB"/>
    <w:rsid w:val="002A5447"/>
    <w:rsid w:val="002B2BE0"/>
    <w:rsid w:val="002B5920"/>
    <w:rsid w:val="002C0E68"/>
    <w:rsid w:val="002C1E97"/>
    <w:rsid w:val="002C2E48"/>
    <w:rsid w:val="002C72CE"/>
    <w:rsid w:val="002D63C5"/>
    <w:rsid w:val="002F0C1C"/>
    <w:rsid w:val="00324042"/>
    <w:rsid w:val="00335AEE"/>
    <w:rsid w:val="0034525B"/>
    <w:rsid w:val="003464E0"/>
    <w:rsid w:val="00355C63"/>
    <w:rsid w:val="00357D2F"/>
    <w:rsid w:val="003657AA"/>
    <w:rsid w:val="00393BAC"/>
    <w:rsid w:val="003B76C2"/>
    <w:rsid w:val="003C0213"/>
    <w:rsid w:val="003E401A"/>
    <w:rsid w:val="003F5583"/>
    <w:rsid w:val="003F6123"/>
    <w:rsid w:val="00410FEA"/>
    <w:rsid w:val="00430681"/>
    <w:rsid w:val="004316BD"/>
    <w:rsid w:val="004328DC"/>
    <w:rsid w:val="00433BA4"/>
    <w:rsid w:val="004476A4"/>
    <w:rsid w:val="00455CDE"/>
    <w:rsid w:val="00465160"/>
    <w:rsid w:val="00477C74"/>
    <w:rsid w:val="00483A9F"/>
    <w:rsid w:val="004A05F2"/>
    <w:rsid w:val="004C3FA6"/>
    <w:rsid w:val="004C4589"/>
    <w:rsid w:val="004D3612"/>
    <w:rsid w:val="004F09AE"/>
    <w:rsid w:val="004F353D"/>
    <w:rsid w:val="004F4976"/>
    <w:rsid w:val="00523EBC"/>
    <w:rsid w:val="0057771F"/>
    <w:rsid w:val="00582701"/>
    <w:rsid w:val="00587ED1"/>
    <w:rsid w:val="005906BE"/>
    <w:rsid w:val="005B1408"/>
    <w:rsid w:val="005D1635"/>
    <w:rsid w:val="00637831"/>
    <w:rsid w:val="00641F98"/>
    <w:rsid w:val="006420F9"/>
    <w:rsid w:val="00650634"/>
    <w:rsid w:val="00655452"/>
    <w:rsid w:val="00660350"/>
    <w:rsid w:val="006620DC"/>
    <w:rsid w:val="00673DC3"/>
    <w:rsid w:val="00687447"/>
    <w:rsid w:val="006A580E"/>
    <w:rsid w:val="006B3DD0"/>
    <w:rsid w:val="006C13A6"/>
    <w:rsid w:val="006C469E"/>
    <w:rsid w:val="006D16E6"/>
    <w:rsid w:val="006E17D3"/>
    <w:rsid w:val="00721263"/>
    <w:rsid w:val="00727CB1"/>
    <w:rsid w:val="007646AF"/>
    <w:rsid w:val="00782EAB"/>
    <w:rsid w:val="007B1913"/>
    <w:rsid w:val="007B2D34"/>
    <w:rsid w:val="007E1D9B"/>
    <w:rsid w:val="007F1E96"/>
    <w:rsid w:val="00826115"/>
    <w:rsid w:val="00836B1B"/>
    <w:rsid w:val="00843436"/>
    <w:rsid w:val="00846D72"/>
    <w:rsid w:val="008517EB"/>
    <w:rsid w:val="008530B6"/>
    <w:rsid w:val="008674B3"/>
    <w:rsid w:val="0088128D"/>
    <w:rsid w:val="008838E2"/>
    <w:rsid w:val="00884183"/>
    <w:rsid w:val="008A3909"/>
    <w:rsid w:val="008D1ACF"/>
    <w:rsid w:val="008E1BF4"/>
    <w:rsid w:val="008E632E"/>
    <w:rsid w:val="00906BC3"/>
    <w:rsid w:val="00912E78"/>
    <w:rsid w:val="00931570"/>
    <w:rsid w:val="00936B25"/>
    <w:rsid w:val="0096018C"/>
    <w:rsid w:val="00990461"/>
    <w:rsid w:val="00990EA3"/>
    <w:rsid w:val="009A1FF0"/>
    <w:rsid w:val="009B1468"/>
    <w:rsid w:val="009C36D3"/>
    <w:rsid w:val="009D32A8"/>
    <w:rsid w:val="009F01FD"/>
    <w:rsid w:val="009F2C6B"/>
    <w:rsid w:val="00A1088A"/>
    <w:rsid w:val="00A12195"/>
    <w:rsid w:val="00A37B31"/>
    <w:rsid w:val="00A848A9"/>
    <w:rsid w:val="00AA0F41"/>
    <w:rsid w:val="00AC099C"/>
    <w:rsid w:val="00AE41FB"/>
    <w:rsid w:val="00AF3E44"/>
    <w:rsid w:val="00AF5D97"/>
    <w:rsid w:val="00B01C0A"/>
    <w:rsid w:val="00B53634"/>
    <w:rsid w:val="00B709AB"/>
    <w:rsid w:val="00B76BE4"/>
    <w:rsid w:val="00B81188"/>
    <w:rsid w:val="00B84881"/>
    <w:rsid w:val="00B8585E"/>
    <w:rsid w:val="00B87CA1"/>
    <w:rsid w:val="00BC7412"/>
    <w:rsid w:val="00BD3DC9"/>
    <w:rsid w:val="00BF20FA"/>
    <w:rsid w:val="00C01378"/>
    <w:rsid w:val="00C069A5"/>
    <w:rsid w:val="00C34F85"/>
    <w:rsid w:val="00C35112"/>
    <w:rsid w:val="00C65E2B"/>
    <w:rsid w:val="00C660B0"/>
    <w:rsid w:val="00C77C2C"/>
    <w:rsid w:val="00C836B2"/>
    <w:rsid w:val="00C944CD"/>
    <w:rsid w:val="00C9640B"/>
    <w:rsid w:val="00CA6E83"/>
    <w:rsid w:val="00CB4B0E"/>
    <w:rsid w:val="00CC3E86"/>
    <w:rsid w:val="00CF614A"/>
    <w:rsid w:val="00D12B57"/>
    <w:rsid w:val="00D24CCE"/>
    <w:rsid w:val="00D415E9"/>
    <w:rsid w:val="00D54D13"/>
    <w:rsid w:val="00D62062"/>
    <w:rsid w:val="00DA2CC3"/>
    <w:rsid w:val="00DE360E"/>
    <w:rsid w:val="00DF3A1C"/>
    <w:rsid w:val="00E037E4"/>
    <w:rsid w:val="00E1745C"/>
    <w:rsid w:val="00E33B98"/>
    <w:rsid w:val="00E3683B"/>
    <w:rsid w:val="00E40553"/>
    <w:rsid w:val="00E40CEE"/>
    <w:rsid w:val="00E64405"/>
    <w:rsid w:val="00E8639A"/>
    <w:rsid w:val="00EB62B8"/>
    <w:rsid w:val="00F02296"/>
    <w:rsid w:val="00F03ACB"/>
    <w:rsid w:val="00F25381"/>
    <w:rsid w:val="00F317F0"/>
    <w:rsid w:val="00F54258"/>
    <w:rsid w:val="00F55F1A"/>
    <w:rsid w:val="00F565A8"/>
    <w:rsid w:val="00F77EB1"/>
    <w:rsid w:val="00F84D7F"/>
    <w:rsid w:val="00FA0426"/>
    <w:rsid w:val="00FA6866"/>
    <w:rsid w:val="00FC2A60"/>
    <w:rsid w:val="00FC5356"/>
    <w:rsid w:val="03A25DD5"/>
    <w:rsid w:val="08456499"/>
    <w:rsid w:val="09A435F6"/>
    <w:rsid w:val="0A3476E7"/>
    <w:rsid w:val="0B51149C"/>
    <w:rsid w:val="0B5760FB"/>
    <w:rsid w:val="0C0C02F1"/>
    <w:rsid w:val="0E312F47"/>
    <w:rsid w:val="10000E3A"/>
    <w:rsid w:val="1185470B"/>
    <w:rsid w:val="14180235"/>
    <w:rsid w:val="14650A2F"/>
    <w:rsid w:val="19BC4716"/>
    <w:rsid w:val="1A12607B"/>
    <w:rsid w:val="1A4735C7"/>
    <w:rsid w:val="1B241D43"/>
    <w:rsid w:val="1B3967DB"/>
    <w:rsid w:val="1CA87CFC"/>
    <w:rsid w:val="1FFF206D"/>
    <w:rsid w:val="20195B5D"/>
    <w:rsid w:val="21EB4A00"/>
    <w:rsid w:val="22217E71"/>
    <w:rsid w:val="24652B3A"/>
    <w:rsid w:val="2818228E"/>
    <w:rsid w:val="2A724969"/>
    <w:rsid w:val="331247DE"/>
    <w:rsid w:val="340155DD"/>
    <w:rsid w:val="375F73E6"/>
    <w:rsid w:val="3ACD0C92"/>
    <w:rsid w:val="3D000D9F"/>
    <w:rsid w:val="3EB26AD5"/>
    <w:rsid w:val="3EFF0123"/>
    <w:rsid w:val="3FB17F65"/>
    <w:rsid w:val="3FBB4CE9"/>
    <w:rsid w:val="40465252"/>
    <w:rsid w:val="41ED0643"/>
    <w:rsid w:val="42A37408"/>
    <w:rsid w:val="43577EC1"/>
    <w:rsid w:val="445F373A"/>
    <w:rsid w:val="44D024A4"/>
    <w:rsid w:val="45CD48C1"/>
    <w:rsid w:val="46A16D3B"/>
    <w:rsid w:val="49A14FC8"/>
    <w:rsid w:val="49F35511"/>
    <w:rsid w:val="4C8628C2"/>
    <w:rsid w:val="50D01CA9"/>
    <w:rsid w:val="50DE1912"/>
    <w:rsid w:val="512664E9"/>
    <w:rsid w:val="54234724"/>
    <w:rsid w:val="54EF4400"/>
    <w:rsid w:val="556423E7"/>
    <w:rsid w:val="59F26EC6"/>
    <w:rsid w:val="5AE96488"/>
    <w:rsid w:val="60201F09"/>
    <w:rsid w:val="603B22D0"/>
    <w:rsid w:val="606018A2"/>
    <w:rsid w:val="60632C6C"/>
    <w:rsid w:val="60A60CDE"/>
    <w:rsid w:val="61037F2F"/>
    <w:rsid w:val="626E1BE1"/>
    <w:rsid w:val="62D74854"/>
    <w:rsid w:val="64682EB9"/>
    <w:rsid w:val="64D32BCF"/>
    <w:rsid w:val="64DB28F5"/>
    <w:rsid w:val="650F3B6A"/>
    <w:rsid w:val="65B258C6"/>
    <w:rsid w:val="65BF6D82"/>
    <w:rsid w:val="66004CE9"/>
    <w:rsid w:val="679E7D23"/>
    <w:rsid w:val="67C23A24"/>
    <w:rsid w:val="6F2879C2"/>
    <w:rsid w:val="6F4B4E5F"/>
    <w:rsid w:val="70691640"/>
    <w:rsid w:val="71044EAA"/>
    <w:rsid w:val="72611FF5"/>
    <w:rsid w:val="72AD77D8"/>
    <w:rsid w:val="75E8749A"/>
    <w:rsid w:val="77211024"/>
    <w:rsid w:val="78BD5377"/>
    <w:rsid w:val="78BE7235"/>
    <w:rsid w:val="78EC10A4"/>
    <w:rsid w:val="79D13596"/>
    <w:rsid w:val="7C566840"/>
    <w:rsid w:val="7CE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998;&#26512;&#29992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6446;&#31119;&#20016;\&#25968;&#25454;\2018&#24180;&#26376;&#25253;\12&#26376;\2018&#24180;&#40660;&#27743;12&#26376;&#21488;&#24080;&#36890;&#2999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6446;&#31119;&#20016;\&#25968;&#25454;\2018&#24180;&#20844;&#25253;\&#25910;&#20837;&#32454;&#39033;\&#20840;&#2030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effectLst>
              <a:innerShdw blurRad="63500" dist="88900" dir="8100000">
                <a:prstClr val="black">
                  <a:alpha val="50000"/>
                </a:prstClr>
              </a:innerShdw>
            </a:effectLst>
          </c:spPr>
          <c:explosion val="0"/>
          <c:dPt>
            <c:idx val="0"/>
            <c:bubble3D val="0"/>
            <c:explosion val="5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innerShdw blurRad="63500" dist="88900" dir="81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explosion val="6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>
                <a:innerShdw blurRad="63500" dist="88900" dir="81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bubble3D val="0"/>
            <c:explosion val="6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>
                <a:innerShdw blurRad="63500" dist="88900" dir="81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layout>
                <c:manualLayout>
                  <c:x val="0.125914890203458"/>
                  <c:y val="0.081414927753858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第一产业增加值</a:t>
                    </a:r>
                    <a:r>
                      <a:rPr lang="en-US" altLang="zh-CN"/>
                      <a:t>23.38</a:t>
                    </a:r>
                    <a:r>
                      <a:t>亿元，</a:t>
                    </a:r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占比9</a:t>
                    </a:r>
                    <a:r>
                      <a:rPr lang="en-US" altLang="zh-CN"/>
                      <a:t>.5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第二产业增加值</a:t>
                    </a:r>
                    <a:r>
                      <a:rPr lang="en-US" altLang="zh-CN"/>
                      <a:t>108.87</a:t>
                    </a:r>
                    <a:r>
                      <a:t>亿元，</a:t>
                    </a:r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占比44%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4523347330668"/>
                  <c:y val="0.036545155700546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第三产业增加值</a:t>
                    </a:r>
                    <a:r>
                      <a:rPr lang="en-US" altLang="zh-CN"/>
                      <a:t>115.04</a:t>
                    </a:r>
                    <a:r>
                      <a:rPr altLang="en-US"/>
                      <a:t>亿元，</a:t>
                    </a:r>
                    <a:endParaRPr altLang="en-US"/>
                  </a:p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altLang="en-US"/>
                      <a:t>占比</a:t>
                    </a:r>
                    <a:r>
                      <a:t>4</a:t>
                    </a:r>
                    <a:r>
                      <a:rPr lang="en-US" altLang="zh-CN"/>
                      <a:t>6.5</a:t>
                    </a:r>
                    <a: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[分析用图表.xlsx]Sheet1!$A$1:$A$3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[分析用图表.xlsx]Sheet1!$B$1:$B$3</c:f>
              <c:numCache>
                <c:formatCode>0.00%</c:formatCode>
                <c:ptCount val="3"/>
                <c:pt idx="0">
                  <c:v>0.095</c:v>
                </c:pt>
                <c:pt idx="1" c:formatCode="0%">
                  <c:v>0.44</c:v>
                </c:pt>
                <c:pt idx="2">
                  <c:v>0.465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effectLst>
              <a:innerShdw blurRad="63500" dist="50800" dir="8100000">
                <a:prstClr val="black">
                  <a:alpha val="50000"/>
                </a:prstClr>
              </a:innerShdw>
            </a:effectLst>
          </c:spPr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layout>
                <c:manualLayout>
                  <c:x val="-0.114307557171479"/>
                  <c:y val="-0.066914981514657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基础设施投资</a:t>
                    </a:r>
                    <a:r>
                      <a:rPr lang="en-US" altLang="zh-CN"/>
                      <a:t>58.67</a:t>
                    </a:r>
                    <a:r>
                      <a:rPr altLang="en-US"/>
                      <a:t>亿元占比</a:t>
                    </a:r>
                    <a:r>
                      <a:t>47%</a:t>
                    </a:r>
                  </a:p>
                </c:rich>
              </c:tx>
              <c:numFmt formatCode="General" sourceLinked="1"/>
              <c:spPr>
                <a:solidFill>
                  <a:schemeClr val="accent1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896054323258504"/>
                  <c:y val="-0.20161250656615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房地产开发投资</a:t>
                    </a:r>
                    <a:r>
                      <a:rPr lang="en-US" altLang="zh-CN"/>
                      <a:t>18.88</a:t>
                    </a:r>
                    <a:r>
                      <a:rPr altLang="en-US"/>
                      <a:t>亿元占比</a:t>
                    </a:r>
                    <a:r>
                      <a:t>15%</a:t>
                    </a:r>
                  </a:p>
                </c:rich>
              </c:tx>
              <c:numFmt formatCode="General" sourceLinked="1"/>
              <c:spPr>
                <a:solidFill>
                  <a:schemeClr val="accent2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856220853123731"/>
                  <c:y val="-0.095882095808681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制造业投资</a:t>
                    </a:r>
                    <a:r>
                      <a:rPr lang="en-US" altLang="zh-CN"/>
                      <a:t>25.96</a:t>
                    </a:r>
                    <a:r>
                      <a:rPr altLang="en-US"/>
                      <a:t>亿元占比</a:t>
                    </a:r>
                    <a:r>
                      <a:t>21%</a:t>
                    </a:r>
                  </a:p>
                </c:rich>
              </c:tx>
              <c:numFmt formatCode="General" sourceLinked="1"/>
              <c:spPr>
                <a:solidFill>
                  <a:schemeClr val="accent3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8850441457222"/>
                  <c:y val="0.10174841334363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其他投资</a:t>
                    </a:r>
                    <a:r>
                      <a:rPr lang="en-US" altLang="zh-CN"/>
                      <a:t>21.29</a:t>
                    </a:r>
                    <a:r>
                      <a:rPr altLang="en-US"/>
                      <a:t>亿元占比</a:t>
                    </a:r>
                    <a:r>
                      <a:t>17%</a:t>
                    </a:r>
                  </a:p>
                </c:rich>
              </c:tx>
              <c:numFmt formatCode="General" sourceLinked="1"/>
              <c:spPr>
                <a:solidFill>
                  <a:schemeClr val="accent4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[2018年黔江12月台帐通用.xlsx]Sheet1!$A$2:$A$5</c:f>
              <c:strCache>
                <c:ptCount val="4"/>
                <c:pt idx="0">
                  <c:v>基础设施</c:v>
                </c:pt>
                <c:pt idx="1">
                  <c:v>房地产开发</c:v>
                </c:pt>
                <c:pt idx="2">
                  <c:v>制造业</c:v>
                </c:pt>
                <c:pt idx="3">
                  <c:v>其他投资</c:v>
                </c:pt>
              </c:strCache>
            </c:strRef>
          </c:cat>
          <c:val>
            <c:numRef>
              <c:f>[2018年黔江12月台帐通用.xlsx]Sheet1!$B$2:$B$5</c:f>
              <c:numCache>
                <c:formatCode>General</c:formatCode>
                <c:ptCount val="4"/>
                <c:pt idx="0">
                  <c:v>58.67</c:v>
                </c:pt>
                <c:pt idx="1">
                  <c:v>18.88</c:v>
                </c:pt>
                <c:pt idx="2">
                  <c:v>25.96</c:v>
                </c:pt>
                <c:pt idx="3">
                  <c:v>21.29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0712657113411611"/>
                  <c:y val="0.070860893381232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食品烟酒支出</a:t>
                    </a:r>
                    <a:r>
                      <a:rPr lang="en-US" altLang="zh-CN"/>
                      <a:t>5616.55</a:t>
                    </a:r>
                    <a:r>
                      <a:rPr altLang="en-US"/>
                      <a:t>元占比</a:t>
                    </a:r>
                    <a:r>
                      <a:t>36%</a:t>
                    </a:r>
                  </a:p>
                </c:rich>
              </c:tx>
              <c:numFmt formatCode="General" sourceLinked="1"/>
              <c:spPr>
                <a:pattFill prst="pct75">
                  <a:fgClr>
                    <a:srgbClr val="4F80BD"/>
                  </a:fgClr>
                  <a:bgClr>
                    <a:srgbClr val="4F80BD"/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222222222222"/>
                      <c:h val="0.1801385681293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0520045418627363"/>
                  <c:y val="-0.069400255251004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衣着支出</a:t>
                    </a:r>
                    <a:r>
                      <a:rPr lang="en-US" altLang="zh-CN"/>
                      <a:t>1285.2</a:t>
                    </a:r>
                    <a:r>
                      <a:rPr altLang="en-US"/>
                      <a:t>元占比</a:t>
                    </a:r>
                    <a:r>
                      <a:t>8%</a:t>
                    </a:r>
                  </a:p>
                </c:rich>
              </c:tx>
              <c:numFmt formatCode="General" sourceLinked="1"/>
              <c:spPr>
                <a:pattFill prst="pct75">
                  <a:fgClr>
                    <a:srgbClr val="C0504D"/>
                  </a:fgClr>
                  <a:bgClr>
                    <a:srgbClr val="C0504D"/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760473015474"/>
                      <c:h val="0.1438596491228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0033869854908"/>
                  <c:y val="-0.10700907348765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800"/>
                      <a:t>居住支出</a:t>
                    </a:r>
                    <a:r>
                      <a:rPr lang="en-US" altLang="zh-CN" sz="800"/>
                      <a:t>2292.6</a:t>
                    </a:r>
                    <a:r>
                      <a:rPr altLang="en-US" sz="800"/>
                      <a:t>元占比</a:t>
                    </a:r>
                    <a:r>
                      <a:rPr sz="800"/>
                      <a:t>19%</a:t>
                    </a:r>
                    <a:endParaRPr sz="800"/>
                  </a:p>
                </c:rich>
              </c:tx>
              <c:numFmt formatCode="General" sourceLinked="1"/>
              <c:spPr>
                <a:pattFill prst="pct75">
                  <a:fgClr>
                    <a:srgbClr val="9BBB59"/>
                  </a:fgClr>
                  <a:bgClr>
                    <a:srgbClr val="9BBB59"/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611111111111"/>
                      <c:h val="0.14688221709006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0831239452887088"/>
                  <c:y val="-0.10015346098173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800"/>
                      <a:t>生活用品及服务支出</a:t>
                    </a:r>
                    <a:r>
                      <a:rPr lang="en-US" altLang="zh-CN" sz="800"/>
                      <a:t>1023.5</a:t>
                    </a:r>
                    <a:r>
                      <a:rPr altLang="en-US" sz="800"/>
                      <a:t>元占比</a:t>
                    </a:r>
                    <a:r>
                      <a:rPr sz="800"/>
                      <a:t>7%</a:t>
                    </a:r>
                    <a:endParaRPr sz="800"/>
                  </a:p>
                </c:rich>
              </c:tx>
              <c:numFmt formatCode="General" sourceLinked="1"/>
              <c:spPr>
                <a:pattFill prst="pct75">
                  <a:fgClr>
                    <a:srgbClr val="7F64A2"/>
                  </a:fgClr>
                  <a:bgClr>
                    <a:srgbClr val="7F64A2"/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6111111111111"/>
                      <c:h val="0.13394919168591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0920241019144088"/>
                  <c:y val="0.0090439980599477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交通通信支出</a:t>
                    </a:r>
                    <a:r>
                      <a:rPr lang="en-US" altLang="zh-CN"/>
                      <a:t>1786.8</a:t>
                    </a:r>
                    <a:r>
                      <a:rPr altLang="en-US"/>
                      <a:t>元占比</a:t>
                    </a:r>
                    <a:r>
                      <a:t>12%</a:t>
                    </a:r>
                  </a:p>
                </c:rich>
              </c:tx>
              <c:numFmt formatCode="General" sourceLinked="1"/>
              <c:spPr>
                <a:pattFill prst="pct75">
                  <a:fgClr>
                    <a:srgbClr val="4BACC6"/>
                  </a:fgClr>
                  <a:bgClr>
                    <a:srgbClr val="4BACC6"/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4941502075733"/>
                      <c:h val="0.15582990397805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0260069947119662"/>
                  <c:y val="0.11904555277013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800"/>
                      <a:t>教育文化娱乐支出</a:t>
                    </a:r>
                    <a:r>
                      <a:rPr lang="en-US" altLang="zh-CN" sz="800"/>
                      <a:t>1543.2</a:t>
                    </a:r>
                    <a:r>
                      <a:rPr altLang="en-US" sz="800"/>
                      <a:t>元</a:t>
                    </a:r>
                    <a:endParaRPr altLang="en-US" sz="800"/>
                  </a:p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altLang="en-US" sz="800"/>
                      <a:t>占比</a:t>
                    </a:r>
                    <a:r>
                      <a:rPr sz="800"/>
                      <a:t>10%</a:t>
                    </a:r>
                    <a:endParaRPr sz="800"/>
                  </a:p>
                </c:rich>
              </c:tx>
              <c:numFmt formatCode="General" sourceLinked="1"/>
              <c:spPr>
                <a:pattFill prst="pct75">
                  <a:fgClr>
                    <a:srgbClr val="F79646"/>
                  </a:fgClr>
                  <a:bgClr>
                    <a:srgbClr val="F79646"/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3333333333333"/>
                      <c:h val="0.15827160493827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0739392392467"/>
                  <c:y val="0.037713811772823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医疗保健支出</a:t>
                    </a:r>
                    <a:r>
                      <a:rPr lang="en-US" altLang="zh-CN"/>
                      <a:t>963.7</a:t>
                    </a:r>
                    <a:r>
                      <a:rPr altLang="en-US"/>
                      <a:t>元占比</a:t>
                    </a:r>
                    <a:r>
                      <a:t>6%</a:t>
                    </a:r>
                  </a:p>
                </c:rich>
              </c:tx>
              <c:numFmt formatCode="General" sourceLinked="1"/>
              <c:spPr>
                <a:pattFill prst="pct75">
                  <a:fgClr>
                    <a:srgbClr val="2C4D75"/>
                  </a:fgClr>
                  <a:bgClr>
                    <a:srgbClr val="2C4D75"/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5"/>
                      <c:h val="0.085219399538106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244171486321398"/>
                  <c:y val="0.046175016449937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800"/>
                      <a:t>其他用品和服务支出</a:t>
                    </a:r>
                    <a:r>
                      <a:rPr lang="en-US" altLang="zh-CN" sz="800"/>
                      <a:t>321.2</a:t>
                    </a:r>
                    <a:r>
                      <a:rPr altLang="en-US" sz="800"/>
                      <a:t>元占比</a:t>
                    </a:r>
                    <a:r>
                      <a:rPr sz="800"/>
                      <a:t>2%</a:t>
                    </a:r>
                    <a:endParaRPr sz="800"/>
                  </a:p>
                </c:rich>
              </c:tx>
              <c:numFmt formatCode="General" sourceLinked="1"/>
              <c:spPr>
                <a:solidFill>
                  <a:srgbClr val="772C2A"/>
                </a:solid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6805555555556"/>
                      <c:h val="0.0659722222222222"/>
                    </c:manualLayout>
                  </c15:layout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[全体.xlsx]sheet1!$A$11:$A$18</c:f>
              <c:strCache>
                <c:ptCount val="8"/>
                <c:pt idx="0">
                  <c:v>  （一）食品烟酒</c:v>
                </c:pt>
                <c:pt idx="1">
                  <c:v>  （二）衣着</c:v>
                </c:pt>
                <c:pt idx="2">
                  <c:v>  （三）居住</c:v>
                </c:pt>
                <c:pt idx="3">
                  <c:v>  （四）生活用品及服务</c:v>
                </c:pt>
                <c:pt idx="4">
                  <c:v>  （五）交通通信</c:v>
                </c:pt>
                <c:pt idx="5">
                  <c:v>  （六）教育文化娱乐</c:v>
                </c:pt>
                <c:pt idx="6">
                  <c:v>  （七）医疗保健</c:v>
                </c:pt>
                <c:pt idx="7">
                  <c:v>  （八）其他用品和服务</c:v>
                </c:pt>
              </c:strCache>
            </c:strRef>
          </c:cat>
          <c:val>
            <c:numRef>
              <c:f>[全体.xlsx]sheet1!$D$11:$D$18</c:f>
              <c:numCache>
                <c:formatCode>0.0_ </c:formatCode>
                <c:ptCount val="8"/>
                <c:pt idx="0">
                  <c:v>5616.55397467613</c:v>
                </c:pt>
                <c:pt idx="1">
                  <c:v>1285.16009066881</c:v>
                </c:pt>
                <c:pt idx="2">
                  <c:v>2992.60583661743</c:v>
                </c:pt>
                <c:pt idx="3">
                  <c:v>1023.4866582113</c:v>
                </c:pt>
                <c:pt idx="4">
                  <c:v>1786.7638204869</c:v>
                </c:pt>
                <c:pt idx="5">
                  <c:v>1543.21913423353</c:v>
                </c:pt>
                <c:pt idx="6">
                  <c:v>963.735637262223</c:v>
                </c:pt>
                <c:pt idx="7">
                  <c:v>321.244510177961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D95391-2892-4D82-9CBF-AA0E52388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1294</Words>
  <Characters>7382</Characters>
  <Lines>61</Lines>
  <Paragraphs>17</Paragraphs>
  <TotalTime>29</TotalTime>
  <ScaleCrop>false</ScaleCrop>
  <LinksUpToDate>false</LinksUpToDate>
  <CharactersWithSpaces>8659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2019-03-19T02:39:00Z</dcterms:created>
  <dc:creator>顾铭</dc:creator>
  <cp:lastModifiedBy>巴罢</cp:lastModifiedBy>
  <cp:lastPrinted>2019-04-16T02:08:20Z</cp:lastPrinted>
  <dcterms:modified xsi:type="dcterms:W3CDTF">2019-04-16T02:15:48Z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