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重庆市黔江区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妇幼保健院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基本公共卫生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服务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新划入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项目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绩效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根据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重庆市卫生健康委员会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《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关于开展重庆市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2020年度基本公共卫生服务项目绩效评价工作的通知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》文件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精神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，我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对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儿童营养改善项目、新生儿疾病筛查项目、妇女“两癌”检查项目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和增补叶酸预防神经管缺陷项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工作的项目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预算执行情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况、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年度总体绩效目标完成情况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等方面进行了自评，现将自评结果报告如下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小标宋_GBK" w:hAnsi="宋体" w:eastAsia="方正小标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小标宋_GBK" w:hAnsi="宋体" w:eastAsia="方正小标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_GBK" w:eastAsia="方正小标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（一）项目概况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增补叶酸预防神经管缺陷项目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为加强出生缺陷干预工作，降低我区神经管缺陷发生率，提高出生人口素质，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根据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重庆市卫生和计划生育委员会办公室《关于印发2016年妇女健康相关重大公共卫生服务项目实施方案的通知》（渝卫办妇幼发【2016】285号）文件要求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增补叶酸预防神经管缺陷项目工作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在我区得到顺利开展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儿童营养改善项目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按照重庆市卫生健康委员会办公室《关于做好 2019 年新划入基本公共卫生服务的妇幼卫生项目工作的通知》（渝卫办发﹝2019﹞95 号）以及《重庆市黔江区卫生健康委员会、重庆市黔江区妇女联合会关于印发2019年儿童营养改善项目实施方案的通知》（黔江卫健委发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zh-CN"/>
        </w:rPr>
        <w:t>〔201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9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zh-CN"/>
        </w:rPr>
        <w:t>〕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95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zh-CN"/>
        </w:rPr>
        <w:t>号）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要求，我区20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年继续实施儿童营养改善项目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新生儿疾病筛查项目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为贯彻落实《中国儿童发展纲要（2011-2020年）》和《中国农村扶贫开发纲要（2011-2020年）》，尽早发现我区新生儿遗传代谢疾病和新生儿听力障碍疾患儿童，降低我区儿童智障和听力残疾发生率，提高人口素质。按照重庆市卫生和计划生育委员会办公室《关于下达2018年贫困地区新生儿疾病筛查项目任务数的通知》文件要求、区级配套经费的大力支持下，新生儿疾病免费筛查项目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在我区得到顺利开展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4.妇女“两癌”免费检查项目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年根据《重庆市卫生健康委员会重庆市妇女联合会关于印发 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年重庆市妇女“两癌”检查及救助项目实施方案的通知》渝卫发〔20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号文件和《重庆市黔江区卫生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重庆市黔江区妇女联合会关于印发20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年黔江区妇女“两癌”检查及救助和免费生殖健康检查方案的通知》黔卫发〔20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号文件精神，在区卫生计生委的领导和各乡镇的共同努力下，圆满完成了 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年任务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5.孕前优生检查项目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2020年根据《重庆市卫生健康委员会文件渝卫办发〔2020〕67号》和重庆市黔江区卫生健康委员会关于印发2020年“两癌”“孕前优生”健康检查项目，孕前优生检查项目在我区得到顺利开展。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eastAsia="zh-CN"/>
        </w:rPr>
        <w:t>（二）项目绩效目标情况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2020年我院共收到基本公共卫生补助资金（增加部分）158万元，其中儿童营养项目20万元、两癌65万元，新筛40万元、叶酸5万元、孕前优生28万元。2020年我区共使用项目资金2177045元（不含孕优），资金不足部分用2019年结余资金支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2020年我区计划怀孕夫妇优生科学知识知晓率达80%，免费孕优项目目标人群覆盖率达96%；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叶酸服用率达95.57%</w:t>
      </w:r>
      <w:r>
        <w:rPr>
          <w:rFonts w:hint="eastAsia" w:ascii="方正仿宋_GBK" w:hAnsi="方正仿宋_GBK" w:eastAsia="方正仿宋_GBK" w:cs="方正仿宋_GBK"/>
          <w:color w:val="C00000"/>
          <w:kern w:val="0"/>
          <w:sz w:val="32"/>
          <w:szCs w:val="32"/>
          <w:lang w:val="en-US" w:eastAsia="zh-CN"/>
        </w:rPr>
        <w:t>;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营养项目县、乡、村人员培训覆盖率达100%，营养包发放率95.92%，营养包有效服用率86.42%，儿童看护人婴幼儿科学喂养知识水平接受咨询指导率92.07%，项目地区婴幼儿贫血患病率在基线调查基础上下降87.39%，生长迟缓率在基线调查基础上下降66.67%；新生儿遗传代谢病筛查率率96.62%，新生儿听力筛查率95.04%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eastAsia="zh-CN"/>
        </w:rPr>
        <w:t>项目实施及管理情况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 xml:space="preserve">（一）儿童营养改善项目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Times New Roman" w:eastAsia="方正仿宋_GBK"/>
          <w:color w:val="auto"/>
          <w:kern w:val="2"/>
          <w:sz w:val="32"/>
          <w:lang w:val="en-US" w:eastAsia="zh-CN"/>
        </w:rPr>
        <w:t>2020年开展2次项目培训会；结合基本公共卫生服务督导开展2次项目督导，全年全覆盖；为做好项目效果的监测与评估工作，2020年7月对5个监测乡的304名6～24月龄儿童进行了监测评估调查，并全部录入监测系统并提交，完成监测评估报告；规范营养包发放储存制作了《儿童营养包接受和下发管理制度》、《儿童营养包储存管理制度》、《营养包发放流程》；每季度对乡镇信息填报情况进行质量控制，并将质控结果通报全区；分别在正阳社区卫生服务中心和红军广场，开展营养项目宣传活动，提高项目知晓率；充分利用短信平台。采购短信10万条，每月定期给儿童家长发送营养包领取短信；</w:t>
      </w:r>
      <w:r>
        <w:rPr>
          <w:rFonts w:hint="eastAsia" w:ascii="方正仿宋_GBK" w:hAnsi="Times New Roman" w:eastAsia="方正仿宋_GBK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制作宣传专栏250张、口水兜10000个、罩衣3200件、核心知识资料10000余份等宣传品加大宣传力度，提高营养包知晓度。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增补叶酸预防神经管缺陷项目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color w:val="auto"/>
          <w:kern w:val="2"/>
          <w:sz w:val="32"/>
          <w:lang w:val="en-US" w:eastAsia="zh-CN"/>
        </w:rPr>
      </w:pPr>
      <w:r>
        <w:rPr>
          <w:rFonts w:hint="eastAsia" w:ascii="方正仿宋_GBK" w:hAnsi="Times New Roman" w:eastAsia="方正仿宋_GBK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我区2020年新增服用人数4469人，服用率95.57%，依从率85.48%，知晓率97.54%；结合项目要求完成质量评估标准，评估内容包括：药品的存储、出入库，个案资料的完整性，指标完成情况，上报数据吻合性、及时性；印制5000余份叶酸宣传折页、知情同意书、调查问卷进行发放，招标采购预防出生缺陷；乡镇卫生院利用健康教育宣传栏全面宣传服用叶酸，预防神经管缺陷的重要性；年初根据市级下发的经费，完成了经费使用预算。用于督导、培训、宣传动员、质控和叶酸发放工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（三）新生儿疾病筛查项目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于6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采取网络会议的方式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召开了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黔江区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年新生儿疾病筛查项目工作暨培训会，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参会人员覆盖乡镇卫生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院、区级助产机构的分管领导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项目管理人员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在市级免费筛查新生儿遗传代谢性疾病两项（PKU、CH）和听力筛查基础上继续免费筛查G6PD、CAH。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9月底完成对36家助产机构的督导工作,督导范围达100%。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印制健康教育宣传处方签和听力筛查宣传折页各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10000份；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日常工作中采用发放健康教育处方签，签署知情同意书等方式进行面对面宣传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日开展“新生儿疾病筛查”社会宣传活动。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规范工作流程，提高工作效率，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一是按照市级信息管理方案收集相关信息；二是每月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/每季度对上报数据信息进行审核，并对信息上报错误情况每季度进行通报。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完成经费使用预算，按项目完成情况对各筛查机构进行经费拨付。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妇女“两癌”免费检查项目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完善项目方案、加强项目管理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为继续推进项目工作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区级培训会，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二是结合本区实情，由区卫健委和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妇联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联合下发项目实施方案，成立了项目领导小组和专家小组，建立了转诊机制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和流程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；三是制定项目经费方案和经费测算，做到有据可依、专款专用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加强质量评估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及督导，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提升检查质量。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完成评估方案，制定评估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、督导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标准。工作着重于现场技术指导，发现问题及时纠正，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并将重庆迪安医学检验中心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所抽取的宫颈细胞学涂片和组织病理切片、保健院抽取的阴道镜检查报告送区级技术指导机构进行复核，促进各项目单位检查质量和各阶段检查工作人员技术能力提升。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重视信息管理，掌握项目进展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每季度对乡镇信息填报情况进行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收集、整理并进行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质量控制，并将质控结果通报全区。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（五）孕前优生检查工作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1.12月27日用问卷星的方式对辖区卫计办工作人员及本院职工开展了一期《国家免费孕前优生健康检查技术服务规范》培训。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2.用雷奥系统对30个乡镇进行数据监测，并把数据不定期报送卫健委。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FF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三、项目绩效自评开展情况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（一）儿童营养改善项目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/>
          <w:color w:val="auto"/>
          <w:kern w:val="2"/>
          <w:sz w:val="32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kern w:val="2"/>
          <w:sz w:val="32"/>
          <w:lang w:val="en-US" w:eastAsia="zh-CN"/>
        </w:rPr>
        <w:t>2020年1～12月共发放营养包76675盒，发放人次76675人次(月平均6389.58盒)，营养包发放率95.92%,其中新增受益儿童5650人;区、乡相关人员培训覆盖率达100%，儿童看护人对营养包与科学喂养核心知识知晓率92.07%,营养包有效服用率86.42%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kern w:val="2"/>
          <w:sz w:val="32"/>
          <w:lang w:val="en-US" w:eastAsia="zh-CN"/>
        </w:rPr>
        <w:t>2020年项目监测结果显示：营养包有效服用率90.79%，6～24月龄婴幼儿贫血患病率5.9%（基线调查数据为46.8%），在基线调查基础上下降87.39%；生长迟缓率4.3%（基线调查数据为12.9%），在基线调查基础上下降66.67%；全部达到项目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（二）增补叶酸预防神经管缺陷项目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Times New Roman" w:eastAsia="方正仿宋_GBK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方正仿宋_GBK" w:hAnsi="Times New Roman" w:eastAsia="方正仿宋_GBK" w:cstheme="minorBidi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我区2020年新增服用人数4469人，服用率95.57%，依从率85.48%，知晓率97.54%；结合项目要求完成质量评估标准，评估内容包括：药品的存储、出入库，个案资料的完整性，指标完成情况，上报数据吻合性、及时性；印制5000余份叶酸宣传折页、知情同意书、调查问卷进行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（三）新生儿疾病筛查项目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辖区助产机构内分娩活产5439例，免费筛查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（PKU、CH、G6PD、CAH）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5255例，筛查率96.62%；确诊先天性甲状腺功能低下（CH）3人、蚕豆病（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G6PD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5人、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苯丙酮尿症（PKU）2人；采集血片合格率99.43%，不合格血片重采率100%，可疑阳性病例召回复筛率90.63%；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听力初筛5169人，筛查率95.04%，达市级项目要求（≧90%）；确诊听力障碍4例（中度损伤2例，轻度损伤2例），听力障碍检出率0.74‰；听力初筛可疑阳性患儿复筛率80.66%；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于2020年12月对192名新生儿父母的新生儿疾病筛查知晓情况进行了调查，新生儿疾病筛查知晓175人，知晓率91.15%；遗传代谢性疾病知晓176人，知晓率91.67%；听力筛查知晓188人，知晓率97.90%。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妇女“两癌”免费检查项目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年宫颈癌任务数为12000人，截止12月底，完成数为12043人，其中TCT异常人数313人，阴道镜异常人数191人，低级别42人，高级别57人，鳞癌3人。乳腺癌任务数2000人，截止12月底，完成数为2044人，完成率为102.2%；其中，乳腺彩超异常人数42人，乳腺钼靶异常人数4人，活检人数4人，良性疾病人数2人，乳腺癌1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（六）孕前优生检查工作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2020年开展孕前优生健康检查708对，完成率77.80%。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四、绩效目标实施情况分析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（一）儿童营养改善项目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市级目标任务数6300盒，完成6389.58盒。营养包发放率95.92%，营养包有效服用率86.42%。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增补叶酸预防神经管缺陷项目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市级目标值服用率90%，依从率80%，知晓率95%；服用率95.57%，依从率85.48%，知晓率97.54%。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（三）新生儿疾病筛查项目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辖区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助产机构内分娩活产5439例，免费筛查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（PKU、CH、G6PD、CAH）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5255例，筛查率96.62%，达市级项目要求（≧95%）；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听力初筛5169人，筛查率95.04%，达市级项目要求（≧90%）；听力初筛可疑阳性患儿复筛率80.66%，达市级项目要求（≧80%）。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妇女“两癌”免费检查项目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市级下发宫颈癌检查任务数12000人，完成12043人，任务完成率100.37%，乳腺癌检查任务数2000人，完成2044人，任务完成率102.2%。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（五）孕前优生检查工作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2020年市级孕优目标任务数是910对，完成708对，完成率77.80%。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五、自评结论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2020年我区项目工作已全面完成，各项目完成情况具体如下：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（一）儿童营养改善项目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营养项目县、乡、村人员培训覆盖率达100%，营养包发放率95.92%，营养包有效服用率86.42%，儿童看护人婴幼儿科学喂养知识水平接受咨询指导率92.07%，项目地区婴幼儿贫血患病率在基线调查基础上下降87.39%，生长迟缓率在基线调查基础上下降66.67%，完成项目绩效目标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增补叶酸预防神经管缺陷项目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区增补叶酸预防神经管缺陷项目已全面完成目标值，服用率95.57%，依从率85.48%，知晓率97.54%；适龄妇女外出务工人数较多，部分妇女在临近预产期才回到户口所在地，导致叶酸服用依从性较差；项目管理人员更换频繁，对项目知识了解不够；应继续加大叶酸的宣传及叶酸知识的宣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（三）新生儿疾病筛查项目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新生儿遗传代谢病筛查率率96.62%；新生儿听力筛查率95.04%，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听力初筛可疑阳性患儿复筛率80.66%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（四）妇女“两癌”免费检查项目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妇女“两癌”检查项目人员培训覆盖率达100%，宫颈癌检查项目任务完成率100.37%，乳腺癌检查项目任务完成率102.2%。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（五）孕前优生检查工作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1.2020年市级孕优目标任务数是910对，1月1日至12月31日参检的目标人群是708对，完成了市级总目标任务的77.80%。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存在问题：人口流动频繁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部分乡镇领导不够重视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宣传力度不够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绩效自评表：</w:t>
      </w:r>
    </w:p>
    <w:tbl>
      <w:tblPr>
        <w:tblStyle w:val="6"/>
        <w:tblW w:w="0" w:type="auto"/>
        <w:tblInd w:w="-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644"/>
        <w:gridCol w:w="601"/>
        <w:gridCol w:w="1619"/>
        <w:gridCol w:w="1545"/>
        <w:gridCol w:w="1230"/>
        <w:gridCol w:w="1350"/>
        <w:gridCol w:w="1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85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国家基本公共卫生服务项目绩效目标自评表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985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lang w:bidi="ar"/>
              </w:rPr>
              <w:t>（20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专项（项目）名称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基本公共卫生服务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中央主管部门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地方主管部门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黔江区卫生健康委员会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黔江区妇幼保健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计划生育服务中心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项目资金（万元）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全年预算数（A）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全年执行数（B）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执行率（B/A)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9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年度资金总额：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158万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158万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9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中央补助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9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地方资金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19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其他资金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 w:bidi="ar"/>
              </w:rPr>
              <w:t>（包括结转结余）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年度总体目标</w:t>
            </w:r>
          </w:p>
        </w:tc>
        <w:tc>
          <w:tcPr>
            <w:tcW w:w="563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年初设定目标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全年目标实际完成情况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563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孕优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年初目标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 w:bidi="ar"/>
              </w:rPr>
              <w:t>值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910对，新生儿疾病筛查任务数6285人，年初目标6300盒/月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孕优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实际完成情况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708对，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新生儿遗传代谢疾病筛查完成5255人，听力筛查5169人，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实际完成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6389.58盒/月。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绩效指标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一级指标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二级指标</w:t>
            </w: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三级指标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年度指标值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全年完成值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未完成原因和改进措施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产出指标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数量指标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孕前优生任务数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910对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708对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  <w:t>人口流动频繁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  <w:t>并动员流动人口在返乡探亲时进行免费孕优检查。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宫颈癌任务完成数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12000人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12043人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乳腺癌任务完成数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2000人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2044人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新生儿遗传代谢疾病筛查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6285人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5255人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活产下降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新生儿听力筛查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6285人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5169人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活产下降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质量指标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优生科学知识知晓率达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80%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80%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目标人群覆盖率达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96%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  <w:lang w:val="en-US" w:eastAsia="zh-CN"/>
              </w:rPr>
              <w:t>96%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宫颈癌任务完成率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100.36%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乳腺癌任务完成率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102.2%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发放率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95.92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％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AAC2D"/>
    <w:multiLevelType w:val="singleLevel"/>
    <w:tmpl w:val="898AAC2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094B7E9"/>
    <w:multiLevelType w:val="singleLevel"/>
    <w:tmpl w:val="9094B7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F265609"/>
    <w:multiLevelType w:val="singleLevel"/>
    <w:tmpl w:val="9F2656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4431A6"/>
    <w:multiLevelType w:val="singleLevel"/>
    <w:tmpl w:val="0F4431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BEC7E68"/>
    <w:multiLevelType w:val="singleLevel"/>
    <w:tmpl w:val="5BEC7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78"/>
    <w:rsid w:val="00000067"/>
    <w:rsid w:val="00000404"/>
    <w:rsid w:val="00001878"/>
    <w:rsid w:val="00001B2B"/>
    <w:rsid w:val="000032F2"/>
    <w:rsid w:val="000040E6"/>
    <w:rsid w:val="000056AA"/>
    <w:rsid w:val="000077B9"/>
    <w:rsid w:val="00010ACB"/>
    <w:rsid w:val="0001136B"/>
    <w:rsid w:val="00011708"/>
    <w:rsid w:val="00011AB9"/>
    <w:rsid w:val="00012234"/>
    <w:rsid w:val="000164A1"/>
    <w:rsid w:val="0001660E"/>
    <w:rsid w:val="00020805"/>
    <w:rsid w:val="00022120"/>
    <w:rsid w:val="00024EB5"/>
    <w:rsid w:val="000258E2"/>
    <w:rsid w:val="00030550"/>
    <w:rsid w:val="00030B48"/>
    <w:rsid w:val="00032359"/>
    <w:rsid w:val="00032693"/>
    <w:rsid w:val="00033138"/>
    <w:rsid w:val="00034367"/>
    <w:rsid w:val="00034921"/>
    <w:rsid w:val="00035333"/>
    <w:rsid w:val="00035DCC"/>
    <w:rsid w:val="00036229"/>
    <w:rsid w:val="000366B9"/>
    <w:rsid w:val="00041E54"/>
    <w:rsid w:val="00042F95"/>
    <w:rsid w:val="00044EEF"/>
    <w:rsid w:val="00045953"/>
    <w:rsid w:val="00046284"/>
    <w:rsid w:val="000475DA"/>
    <w:rsid w:val="00047C61"/>
    <w:rsid w:val="000509F8"/>
    <w:rsid w:val="0005152D"/>
    <w:rsid w:val="000521C0"/>
    <w:rsid w:val="00052CF9"/>
    <w:rsid w:val="00052D8C"/>
    <w:rsid w:val="000535E4"/>
    <w:rsid w:val="00055643"/>
    <w:rsid w:val="00056BDF"/>
    <w:rsid w:val="00057C1C"/>
    <w:rsid w:val="0006099C"/>
    <w:rsid w:val="000629BF"/>
    <w:rsid w:val="00063917"/>
    <w:rsid w:val="000643BD"/>
    <w:rsid w:val="00064977"/>
    <w:rsid w:val="00065237"/>
    <w:rsid w:val="00066588"/>
    <w:rsid w:val="000666A1"/>
    <w:rsid w:val="00067DCC"/>
    <w:rsid w:val="00072E5D"/>
    <w:rsid w:val="000742D0"/>
    <w:rsid w:val="00074BB9"/>
    <w:rsid w:val="000770C2"/>
    <w:rsid w:val="000808DD"/>
    <w:rsid w:val="00081203"/>
    <w:rsid w:val="00082D2F"/>
    <w:rsid w:val="000838E0"/>
    <w:rsid w:val="00084242"/>
    <w:rsid w:val="00085221"/>
    <w:rsid w:val="000852A8"/>
    <w:rsid w:val="00085D63"/>
    <w:rsid w:val="00087E62"/>
    <w:rsid w:val="0009038F"/>
    <w:rsid w:val="0009519C"/>
    <w:rsid w:val="00095617"/>
    <w:rsid w:val="00097D31"/>
    <w:rsid w:val="000A181A"/>
    <w:rsid w:val="000A1AF8"/>
    <w:rsid w:val="000A1D06"/>
    <w:rsid w:val="000A2798"/>
    <w:rsid w:val="000A5348"/>
    <w:rsid w:val="000A6475"/>
    <w:rsid w:val="000B26B9"/>
    <w:rsid w:val="000B4D00"/>
    <w:rsid w:val="000B5C15"/>
    <w:rsid w:val="000B782E"/>
    <w:rsid w:val="000B7FE6"/>
    <w:rsid w:val="000C05A6"/>
    <w:rsid w:val="000C0975"/>
    <w:rsid w:val="000C1006"/>
    <w:rsid w:val="000C10DC"/>
    <w:rsid w:val="000C1D06"/>
    <w:rsid w:val="000C20E6"/>
    <w:rsid w:val="000C42DB"/>
    <w:rsid w:val="000C5B01"/>
    <w:rsid w:val="000D0C9F"/>
    <w:rsid w:val="000D1500"/>
    <w:rsid w:val="000D3433"/>
    <w:rsid w:val="000D3DE1"/>
    <w:rsid w:val="000D3EFB"/>
    <w:rsid w:val="000D6803"/>
    <w:rsid w:val="000D6B5B"/>
    <w:rsid w:val="000D6FBF"/>
    <w:rsid w:val="000D7678"/>
    <w:rsid w:val="000E100F"/>
    <w:rsid w:val="000E7C6D"/>
    <w:rsid w:val="000E7D90"/>
    <w:rsid w:val="000E7F03"/>
    <w:rsid w:val="000F0C8E"/>
    <w:rsid w:val="000F245A"/>
    <w:rsid w:val="000F2626"/>
    <w:rsid w:val="000F36C0"/>
    <w:rsid w:val="000F3FB6"/>
    <w:rsid w:val="000F5B08"/>
    <w:rsid w:val="000F6020"/>
    <w:rsid w:val="00101B2E"/>
    <w:rsid w:val="00103991"/>
    <w:rsid w:val="00104301"/>
    <w:rsid w:val="00105441"/>
    <w:rsid w:val="00111FCF"/>
    <w:rsid w:val="001132BC"/>
    <w:rsid w:val="001154AF"/>
    <w:rsid w:val="00121901"/>
    <w:rsid w:val="00122B19"/>
    <w:rsid w:val="00123192"/>
    <w:rsid w:val="001244FB"/>
    <w:rsid w:val="00126237"/>
    <w:rsid w:val="00127737"/>
    <w:rsid w:val="00130D7A"/>
    <w:rsid w:val="00131B4D"/>
    <w:rsid w:val="00134DC0"/>
    <w:rsid w:val="00135AA9"/>
    <w:rsid w:val="0013689E"/>
    <w:rsid w:val="00136F5B"/>
    <w:rsid w:val="00137D9B"/>
    <w:rsid w:val="001400FD"/>
    <w:rsid w:val="0014052B"/>
    <w:rsid w:val="0014154A"/>
    <w:rsid w:val="00143095"/>
    <w:rsid w:val="001438AB"/>
    <w:rsid w:val="0014517B"/>
    <w:rsid w:val="0014524B"/>
    <w:rsid w:val="00147012"/>
    <w:rsid w:val="001508D5"/>
    <w:rsid w:val="001514E5"/>
    <w:rsid w:val="00151971"/>
    <w:rsid w:val="0015302D"/>
    <w:rsid w:val="0015431C"/>
    <w:rsid w:val="0015464F"/>
    <w:rsid w:val="00160B60"/>
    <w:rsid w:val="00160B62"/>
    <w:rsid w:val="001622B2"/>
    <w:rsid w:val="001644ED"/>
    <w:rsid w:val="001657A8"/>
    <w:rsid w:val="0017102E"/>
    <w:rsid w:val="001720D9"/>
    <w:rsid w:val="00172A7D"/>
    <w:rsid w:val="00175E0F"/>
    <w:rsid w:val="001820BA"/>
    <w:rsid w:val="0018373D"/>
    <w:rsid w:val="00184421"/>
    <w:rsid w:val="001845D6"/>
    <w:rsid w:val="00184CC5"/>
    <w:rsid w:val="001856D5"/>
    <w:rsid w:val="0018597D"/>
    <w:rsid w:val="00185B3F"/>
    <w:rsid w:val="0018640B"/>
    <w:rsid w:val="00187FF1"/>
    <w:rsid w:val="001916B0"/>
    <w:rsid w:val="00191C0D"/>
    <w:rsid w:val="00192494"/>
    <w:rsid w:val="00193574"/>
    <w:rsid w:val="001935C5"/>
    <w:rsid w:val="00196A7F"/>
    <w:rsid w:val="00196F94"/>
    <w:rsid w:val="001A316F"/>
    <w:rsid w:val="001A328A"/>
    <w:rsid w:val="001A3484"/>
    <w:rsid w:val="001A3577"/>
    <w:rsid w:val="001A38E4"/>
    <w:rsid w:val="001A443C"/>
    <w:rsid w:val="001A4A62"/>
    <w:rsid w:val="001A603E"/>
    <w:rsid w:val="001B0A37"/>
    <w:rsid w:val="001B3D2C"/>
    <w:rsid w:val="001B3F48"/>
    <w:rsid w:val="001B4E24"/>
    <w:rsid w:val="001B4F3A"/>
    <w:rsid w:val="001B6454"/>
    <w:rsid w:val="001B6A14"/>
    <w:rsid w:val="001C04C6"/>
    <w:rsid w:val="001C070B"/>
    <w:rsid w:val="001C0A97"/>
    <w:rsid w:val="001C0E2C"/>
    <w:rsid w:val="001C1620"/>
    <w:rsid w:val="001C1634"/>
    <w:rsid w:val="001C6653"/>
    <w:rsid w:val="001C6DCB"/>
    <w:rsid w:val="001C7D3A"/>
    <w:rsid w:val="001D0F1C"/>
    <w:rsid w:val="001D3E31"/>
    <w:rsid w:val="001D5419"/>
    <w:rsid w:val="001D5588"/>
    <w:rsid w:val="001D5DB2"/>
    <w:rsid w:val="001D6B85"/>
    <w:rsid w:val="001E00D5"/>
    <w:rsid w:val="001E08A2"/>
    <w:rsid w:val="001E13F6"/>
    <w:rsid w:val="001E2656"/>
    <w:rsid w:val="001E2FC6"/>
    <w:rsid w:val="001E3B93"/>
    <w:rsid w:val="001E6675"/>
    <w:rsid w:val="001E7033"/>
    <w:rsid w:val="001E7C9E"/>
    <w:rsid w:val="001F05BB"/>
    <w:rsid w:val="001F0F2D"/>
    <w:rsid w:val="001F262E"/>
    <w:rsid w:val="001F2759"/>
    <w:rsid w:val="001F4624"/>
    <w:rsid w:val="001F5302"/>
    <w:rsid w:val="001F6714"/>
    <w:rsid w:val="001F7106"/>
    <w:rsid w:val="00200019"/>
    <w:rsid w:val="002004F7"/>
    <w:rsid w:val="00200A3F"/>
    <w:rsid w:val="002014E8"/>
    <w:rsid w:val="002017BA"/>
    <w:rsid w:val="0020226B"/>
    <w:rsid w:val="00202319"/>
    <w:rsid w:val="00203E7F"/>
    <w:rsid w:val="00203F72"/>
    <w:rsid w:val="002048F7"/>
    <w:rsid w:val="00205101"/>
    <w:rsid w:val="00205446"/>
    <w:rsid w:val="00207473"/>
    <w:rsid w:val="00210EBE"/>
    <w:rsid w:val="00211B08"/>
    <w:rsid w:val="0021584A"/>
    <w:rsid w:val="002163B2"/>
    <w:rsid w:val="002170CF"/>
    <w:rsid w:val="00224A60"/>
    <w:rsid w:val="002327D8"/>
    <w:rsid w:val="00233953"/>
    <w:rsid w:val="002347AB"/>
    <w:rsid w:val="00234A3C"/>
    <w:rsid w:val="00234C44"/>
    <w:rsid w:val="002351D9"/>
    <w:rsid w:val="00237077"/>
    <w:rsid w:val="00237FFE"/>
    <w:rsid w:val="0024254A"/>
    <w:rsid w:val="002436F8"/>
    <w:rsid w:val="00243D70"/>
    <w:rsid w:val="00246118"/>
    <w:rsid w:val="00252643"/>
    <w:rsid w:val="00254345"/>
    <w:rsid w:val="00256A02"/>
    <w:rsid w:val="00261BA0"/>
    <w:rsid w:val="00262CE8"/>
    <w:rsid w:val="00264CBA"/>
    <w:rsid w:val="0027526C"/>
    <w:rsid w:val="00276A44"/>
    <w:rsid w:val="00276F88"/>
    <w:rsid w:val="00280863"/>
    <w:rsid w:val="00280936"/>
    <w:rsid w:val="00285E4E"/>
    <w:rsid w:val="00286867"/>
    <w:rsid w:val="00287A10"/>
    <w:rsid w:val="00287D24"/>
    <w:rsid w:val="00290318"/>
    <w:rsid w:val="002905F6"/>
    <w:rsid w:val="0029119B"/>
    <w:rsid w:val="002933D0"/>
    <w:rsid w:val="002939F8"/>
    <w:rsid w:val="002942FA"/>
    <w:rsid w:val="00294CFF"/>
    <w:rsid w:val="00295D59"/>
    <w:rsid w:val="0029674D"/>
    <w:rsid w:val="002A05E7"/>
    <w:rsid w:val="002A503B"/>
    <w:rsid w:val="002A5058"/>
    <w:rsid w:val="002A58BE"/>
    <w:rsid w:val="002A6366"/>
    <w:rsid w:val="002A6D09"/>
    <w:rsid w:val="002B0493"/>
    <w:rsid w:val="002B0658"/>
    <w:rsid w:val="002B0788"/>
    <w:rsid w:val="002B187A"/>
    <w:rsid w:val="002B3E07"/>
    <w:rsid w:val="002B4E60"/>
    <w:rsid w:val="002B7167"/>
    <w:rsid w:val="002B7E93"/>
    <w:rsid w:val="002C0386"/>
    <w:rsid w:val="002C1CDE"/>
    <w:rsid w:val="002C1D47"/>
    <w:rsid w:val="002C4FF8"/>
    <w:rsid w:val="002C587F"/>
    <w:rsid w:val="002D0AC6"/>
    <w:rsid w:val="002D3080"/>
    <w:rsid w:val="002E031A"/>
    <w:rsid w:val="002E1DD5"/>
    <w:rsid w:val="002E20BA"/>
    <w:rsid w:val="002E2927"/>
    <w:rsid w:val="002E2F41"/>
    <w:rsid w:val="002E3F19"/>
    <w:rsid w:val="002E4296"/>
    <w:rsid w:val="002E544E"/>
    <w:rsid w:val="002F0F3B"/>
    <w:rsid w:val="002F1644"/>
    <w:rsid w:val="002F21CF"/>
    <w:rsid w:val="002F48CD"/>
    <w:rsid w:val="002F51DF"/>
    <w:rsid w:val="00306818"/>
    <w:rsid w:val="003068E8"/>
    <w:rsid w:val="00306981"/>
    <w:rsid w:val="003069FA"/>
    <w:rsid w:val="00307E34"/>
    <w:rsid w:val="00310610"/>
    <w:rsid w:val="00312407"/>
    <w:rsid w:val="00312FEC"/>
    <w:rsid w:val="00313789"/>
    <w:rsid w:val="003146DB"/>
    <w:rsid w:val="0031540E"/>
    <w:rsid w:val="00320B49"/>
    <w:rsid w:val="003223FD"/>
    <w:rsid w:val="00322BA9"/>
    <w:rsid w:val="003238E0"/>
    <w:rsid w:val="0032463D"/>
    <w:rsid w:val="00326C85"/>
    <w:rsid w:val="003303F5"/>
    <w:rsid w:val="0033102D"/>
    <w:rsid w:val="0033429B"/>
    <w:rsid w:val="0033593F"/>
    <w:rsid w:val="003363A4"/>
    <w:rsid w:val="003363FC"/>
    <w:rsid w:val="0034097D"/>
    <w:rsid w:val="00340EEF"/>
    <w:rsid w:val="003413FE"/>
    <w:rsid w:val="00342203"/>
    <w:rsid w:val="00345128"/>
    <w:rsid w:val="00346BA8"/>
    <w:rsid w:val="003512CE"/>
    <w:rsid w:val="00351AA6"/>
    <w:rsid w:val="00352147"/>
    <w:rsid w:val="00352475"/>
    <w:rsid w:val="003525A4"/>
    <w:rsid w:val="00354132"/>
    <w:rsid w:val="00354AC2"/>
    <w:rsid w:val="00354E0B"/>
    <w:rsid w:val="00356620"/>
    <w:rsid w:val="00356C92"/>
    <w:rsid w:val="00361691"/>
    <w:rsid w:val="003638F5"/>
    <w:rsid w:val="00366E1E"/>
    <w:rsid w:val="00367CB3"/>
    <w:rsid w:val="00370382"/>
    <w:rsid w:val="003709BE"/>
    <w:rsid w:val="00373589"/>
    <w:rsid w:val="00375BE7"/>
    <w:rsid w:val="003777D0"/>
    <w:rsid w:val="003779F1"/>
    <w:rsid w:val="0038053F"/>
    <w:rsid w:val="00380D22"/>
    <w:rsid w:val="00381070"/>
    <w:rsid w:val="00381208"/>
    <w:rsid w:val="0038130F"/>
    <w:rsid w:val="00384B51"/>
    <w:rsid w:val="00385FE1"/>
    <w:rsid w:val="003868D3"/>
    <w:rsid w:val="00387A28"/>
    <w:rsid w:val="00387EAC"/>
    <w:rsid w:val="00390006"/>
    <w:rsid w:val="00390A79"/>
    <w:rsid w:val="00392679"/>
    <w:rsid w:val="00392928"/>
    <w:rsid w:val="00393012"/>
    <w:rsid w:val="003939BF"/>
    <w:rsid w:val="00394E72"/>
    <w:rsid w:val="00396CFD"/>
    <w:rsid w:val="00397091"/>
    <w:rsid w:val="00397CAC"/>
    <w:rsid w:val="00397DD4"/>
    <w:rsid w:val="003A13E2"/>
    <w:rsid w:val="003A1D75"/>
    <w:rsid w:val="003A271D"/>
    <w:rsid w:val="003A3558"/>
    <w:rsid w:val="003A3653"/>
    <w:rsid w:val="003A4185"/>
    <w:rsid w:val="003A51BE"/>
    <w:rsid w:val="003B1AD7"/>
    <w:rsid w:val="003B23BE"/>
    <w:rsid w:val="003B2ACE"/>
    <w:rsid w:val="003B4A19"/>
    <w:rsid w:val="003B598E"/>
    <w:rsid w:val="003B5EA6"/>
    <w:rsid w:val="003B67AF"/>
    <w:rsid w:val="003B6EA9"/>
    <w:rsid w:val="003B730C"/>
    <w:rsid w:val="003B7880"/>
    <w:rsid w:val="003C0DE7"/>
    <w:rsid w:val="003C2FCA"/>
    <w:rsid w:val="003C3B7D"/>
    <w:rsid w:val="003C59F7"/>
    <w:rsid w:val="003D155A"/>
    <w:rsid w:val="003D27BD"/>
    <w:rsid w:val="003D2CE5"/>
    <w:rsid w:val="003D2FD8"/>
    <w:rsid w:val="003D3A32"/>
    <w:rsid w:val="003D4779"/>
    <w:rsid w:val="003D4854"/>
    <w:rsid w:val="003D499E"/>
    <w:rsid w:val="003D4F4B"/>
    <w:rsid w:val="003D639B"/>
    <w:rsid w:val="003E08C8"/>
    <w:rsid w:val="003E0A89"/>
    <w:rsid w:val="003E2412"/>
    <w:rsid w:val="003E2F15"/>
    <w:rsid w:val="003E30B7"/>
    <w:rsid w:val="003E6FFE"/>
    <w:rsid w:val="003E76D9"/>
    <w:rsid w:val="003F06EA"/>
    <w:rsid w:val="003F180B"/>
    <w:rsid w:val="003F1C0A"/>
    <w:rsid w:val="003F1E91"/>
    <w:rsid w:val="003F3043"/>
    <w:rsid w:val="003F603A"/>
    <w:rsid w:val="003F627B"/>
    <w:rsid w:val="003F6E35"/>
    <w:rsid w:val="003F774F"/>
    <w:rsid w:val="00401133"/>
    <w:rsid w:val="004039F2"/>
    <w:rsid w:val="00404AC6"/>
    <w:rsid w:val="004055CD"/>
    <w:rsid w:val="00405772"/>
    <w:rsid w:val="004062CA"/>
    <w:rsid w:val="00406BD3"/>
    <w:rsid w:val="00410897"/>
    <w:rsid w:val="00412A5D"/>
    <w:rsid w:val="00412FC1"/>
    <w:rsid w:val="004133A9"/>
    <w:rsid w:val="004142F1"/>
    <w:rsid w:val="00414B7B"/>
    <w:rsid w:val="00414FEE"/>
    <w:rsid w:val="00415A68"/>
    <w:rsid w:val="004167E9"/>
    <w:rsid w:val="0041712A"/>
    <w:rsid w:val="00417638"/>
    <w:rsid w:val="00424A96"/>
    <w:rsid w:val="00424D43"/>
    <w:rsid w:val="00424E1C"/>
    <w:rsid w:val="004257AC"/>
    <w:rsid w:val="00425AF2"/>
    <w:rsid w:val="00427D69"/>
    <w:rsid w:val="004317E4"/>
    <w:rsid w:val="00432E83"/>
    <w:rsid w:val="00434920"/>
    <w:rsid w:val="00440B76"/>
    <w:rsid w:val="004427C2"/>
    <w:rsid w:val="004455D1"/>
    <w:rsid w:val="00446710"/>
    <w:rsid w:val="00453492"/>
    <w:rsid w:val="00454E7B"/>
    <w:rsid w:val="00455601"/>
    <w:rsid w:val="00455A25"/>
    <w:rsid w:val="00456733"/>
    <w:rsid w:val="00456ECF"/>
    <w:rsid w:val="00457180"/>
    <w:rsid w:val="004617F1"/>
    <w:rsid w:val="00462D2E"/>
    <w:rsid w:val="00463123"/>
    <w:rsid w:val="004650ED"/>
    <w:rsid w:val="00465A4E"/>
    <w:rsid w:val="00465C4D"/>
    <w:rsid w:val="00465F0B"/>
    <w:rsid w:val="00466C7B"/>
    <w:rsid w:val="004729F4"/>
    <w:rsid w:val="0047316D"/>
    <w:rsid w:val="004737AD"/>
    <w:rsid w:val="00473A4F"/>
    <w:rsid w:val="00474436"/>
    <w:rsid w:val="004763E0"/>
    <w:rsid w:val="00480066"/>
    <w:rsid w:val="00480F27"/>
    <w:rsid w:val="00481073"/>
    <w:rsid w:val="00482F06"/>
    <w:rsid w:val="00484F06"/>
    <w:rsid w:val="004871E0"/>
    <w:rsid w:val="004877DE"/>
    <w:rsid w:val="004924AF"/>
    <w:rsid w:val="00493288"/>
    <w:rsid w:val="00493D46"/>
    <w:rsid w:val="0049445F"/>
    <w:rsid w:val="00495259"/>
    <w:rsid w:val="004958B8"/>
    <w:rsid w:val="00496406"/>
    <w:rsid w:val="00496B56"/>
    <w:rsid w:val="00497D42"/>
    <w:rsid w:val="00497E4C"/>
    <w:rsid w:val="004A1359"/>
    <w:rsid w:val="004A15BA"/>
    <w:rsid w:val="004A16B2"/>
    <w:rsid w:val="004A1B59"/>
    <w:rsid w:val="004A214E"/>
    <w:rsid w:val="004A3827"/>
    <w:rsid w:val="004A3EDC"/>
    <w:rsid w:val="004A528D"/>
    <w:rsid w:val="004A5697"/>
    <w:rsid w:val="004A6B78"/>
    <w:rsid w:val="004A6D33"/>
    <w:rsid w:val="004A7437"/>
    <w:rsid w:val="004B0305"/>
    <w:rsid w:val="004B1790"/>
    <w:rsid w:val="004B1CA2"/>
    <w:rsid w:val="004B2DB6"/>
    <w:rsid w:val="004B300D"/>
    <w:rsid w:val="004B3F35"/>
    <w:rsid w:val="004B41A3"/>
    <w:rsid w:val="004B7ABB"/>
    <w:rsid w:val="004C027E"/>
    <w:rsid w:val="004C0572"/>
    <w:rsid w:val="004C229D"/>
    <w:rsid w:val="004C2E40"/>
    <w:rsid w:val="004C4730"/>
    <w:rsid w:val="004C49C7"/>
    <w:rsid w:val="004C71A5"/>
    <w:rsid w:val="004D3A0B"/>
    <w:rsid w:val="004D3CB9"/>
    <w:rsid w:val="004D3E0F"/>
    <w:rsid w:val="004D5A2B"/>
    <w:rsid w:val="004D6663"/>
    <w:rsid w:val="004D733C"/>
    <w:rsid w:val="004E0B92"/>
    <w:rsid w:val="004E1770"/>
    <w:rsid w:val="004E1F3C"/>
    <w:rsid w:val="004E3252"/>
    <w:rsid w:val="004E4B3E"/>
    <w:rsid w:val="004E59D2"/>
    <w:rsid w:val="004E6BEF"/>
    <w:rsid w:val="004E6FC6"/>
    <w:rsid w:val="004F24C1"/>
    <w:rsid w:val="004F356E"/>
    <w:rsid w:val="004F3CD5"/>
    <w:rsid w:val="004F3D4C"/>
    <w:rsid w:val="004F520D"/>
    <w:rsid w:val="00502ED5"/>
    <w:rsid w:val="00504FA4"/>
    <w:rsid w:val="005051B1"/>
    <w:rsid w:val="00505BDB"/>
    <w:rsid w:val="00505DC5"/>
    <w:rsid w:val="005069DC"/>
    <w:rsid w:val="00506D80"/>
    <w:rsid w:val="005071BB"/>
    <w:rsid w:val="00507D6D"/>
    <w:rsid w:val="00511036"/>
    <w:rsid w:val="005111C6"/>
    <w:rsid w:val="0051147C"/>
    <w:rsid w:val="005115F8"/>
    <w:rsid w:val="00512209"/>
    <w:rsid w:val="0051291A"/>
    <w:rsid w:val="00512DA4"/>
    <w:rsid w:val="00512E56"/>
    <w:rsid w:val="0051406A"/>
    <w:rsid w:val="005145DC"/>
    <w:rsid w:val="005158CF"/>
    <w:rsid w:val="005161DB"/>
    <w:rsid w:val="00516605"/>
    <w:rsid w:val="00523245"/>
    <w:rsid w:val="00523E46"/>
    <w:rsid w:val="00524374"/>
    <w:rsid w:val="00524737"/>
    <w:rsid w:val="0052497F"/>
    <w:rsid w:val="00524D5E"/>
    <w:rsid w:val="005254FA"/>
    <w:rsid w:val="00530622"/>
    <w:rsid w:val="00531D22"/>
    <w:rsid w:val="00533439"/>
    <w:rsid w:val="00533D37"/>
    <w:rsid w:val="00534859"/>
    <w:rsid w:val="0053495C"/>
    <w:rsid w:val="00534BED"/>
    <w:rsid w:val="00535E4E"/>
    <w:rsid w:val="005361E7"/>
    <w:rsid w:val="00537746"/>
    <w:rsid w:val="00537AC5"/>
    <w:rsid w:val="00540314"/>
    <w:rsid w:val="00541DA6"/>
    <w:rsid w:val="0054330E"/>
    <w:rsid w:val="00543320"/>
    <w:rsid w:val="0054564A"/>
    <w:rsid w:val="00545873"/>
    <w:rsid w:val="00546D73"/>
    <w:rsid w:val="00546E12"/>
    <w:rsid w:val="005477AF"/>
    <w:rsid w:val="00547D00"/>
    <w:rsid w:val="00550F6A"/>
    <w:rsid w:val="00552A46"/>
    <w:rsid w:val="005543C2"/>
    <w:rsid w:val="00554411"/>
    <w:rsid w:val="00555033"/>
    <w:rsid w:val="00555EBF"/>
    <w:rsid w:val="0055691F"/>
    <w:rsid w:val="00557210"/>
    <w:rsid w:val="00557FA8"/>
    <w:rsid w:val="005603C2"/>
    <w:rsid w:val="00566127"/>
    <w:rsid w:val="00566621"/>
    <w:rsid w:val="00570284"/>
    <w:rsid w:val="00571EEC"/>
    <w:rsid w:val="00576862"/>
    <w:rsid w:val="00577032"/>
    <w:rsid w:val="005774D4"/>
    <w:rsid w:val="005828F3"/>
    <w:rsid w:val="00582C5D"/>
    <w:rsid w:val="00583B7A"/>
    <w:rsid w:val="0058423B"/>
    <w:rsid w:val="005851B9"/>
    <w:rsid w:val="0058696D"/>
    <w:rsid w:val="00591652"/>
    <w:rsid w:val="00591FE1"/>
    <w:rsid w:val="0059393D"/>
    <w:rsid w:val="00593B53"/>
    <w:rsid w:val="00597DDB"/>
    <w:rsid w:val="005A0537"/>
    <w:rsid w:val="005A2B79"/>
    <w:rsid w:val="005A2C90"/>
    <w:rsid w:val="005A4336"/>
    <w:rsid w:val="005A667A"/>
    <w:rsid w:val="005A7B6E"/>
    <w:rsid w:val="005B0984"/>
    <w:rsid w:val="005B158B"/>
    <w:rsid w:val="005B1803"/>
    <w:rsid w:val="005B2C94"/>
    <w:rsid w:val="005B5156"/>
    <w:rsid w:val="005B5F59"/>
    <w:rsid w:val="005B6AFE"/>
    <w:rsid w:val="005B6D2B"/>
    <w:rsid w:val="005B7A25"/>
    <w:rsid w:val="005C0BD5"/>
    <w:rsid w:val="005C1DFB"/>
    <w:rsid w:val="005C3047"/>
    <w:rsid w:val="005C3712"/>
    <w:rsid w:val="005C42CE"/>
    <w:rsid w:val="005C4814"/>
    <w:rsid w:val="005C6D8A"/>
    <w:rsid w:val="005D078C"/>
    <w:rsid w:val="005D173F"/>
    <w:rsid w:val="005D319F"/>
    <w:rsid w:val="005D4C46"/>
    <w:rsid w:val="005D5B0E"/>
    <w:rsid w:val="005E0A7F"/>
    <w:rsid w:val="005E3128"/>
    <w:rsid w:val="005E3A51"/>
    <w:rsid w:val="005E3FE1"/>
    <w:rsid w:val="005E5AB7"/>
    <w:rsid w:val="005E6B94"/>
    <w:rsid w:val="005E7A6E"/>
    <w:rsid w:val="005F3284"/>
    <w:rsid w:val="005F330A"/>
    <w:rsid w:val="005F33BA"/>
    <w:rsid w:val="005F3F6A"/>
    <w:rsid w:val="0060057F"/>
    <w:rsid w:val="00600A3C"/>
    <w:rsid w:val="00601F4C"/>
    <w:rsid w:val="00602897"/>
    <w:rsid w:val="006066D5"/>
    <w:rsid w:val="006113BD"/>
    <w:rsid w:val="00612ED0"/>
    <w:rsid w:val="006133F2"/>
    <w:rsid w:val="006147B0"/>
    <w:rsid w:val="0061503D"/>
    <w:rsid w:val="00615A56"/>
    <w:rsid w:val="006179A3"/>
    <w:rsid w:val="0062197C"/>
    <w:rsid w:val="006226A0"/>
    <w:rsid w:val="00622AC2"/>
    <w:rsid w:val="00622B43"/>
    <w:rsid w:val="0062618D"/>
    <w:rsid w:val="0062701B"/>
    <w:rsid w:val="00627575"/>
    <w:rsid w:val="00627E7F"/>
    <w:rsid w:val="00632270"/>
    <w:rsid w:val="00632DAF"/>
    <w:rsid w:val="00632EA5"/>
    <w:rsid w:val="00632EB4"/>
    <w:rsid w:val="00634585"/>
    <w:rsid w:val="00635A52"/>
    <w:rsid w:val="0063661F"/>
    <w:rsid w:val="0063754C"/>
    <w:rsid w:val="00640D4A"/>
    <w:rsid w:val="00640DC8"/>
    <w:rsid w:val="00640E9B"/>
    <w:rsid w:val="0064106C"/>
    <w:rsid w:val="00641303"/>
    <w:rsid w:val="0064374F"/>
    <w:rsid w:val="00643BA4"/>
    <w:rsid w:val="00650806"/>
    <w:rsid w:val="00651F1B"/>
    <w:rsid w:val="00652A66"/>
    <w:rsid w:val="0065723D"/>
    <w:rsid w:val="0065754F"/>
    <w:rsid w:val="00657889"/>
    <w:rsid w:val="0065793C"/>
    <w:rsid w:val="00660813"/>
    <w:rsid w:val="006613EF"/>
    <w:rsid w:val="00661FB1"/>
    <w:rsid w:val="00662019"/>
    <w:rsid w:val="0066217C"/>
    <w:rsid w:val="00665C1E"/>
    <w:rsid w:val="0066644F"/>
    <w:rsid w:val="00667C61"/>
    <w:rsid w:val="00671DA2"/>
    <w:rsid w:val="0067374B"/>
    <w:rsid w:val="0067381B"/>
    <w:rsid w:val="00675EDE"/>
    <w:rsid w:val="00681FD3"/>
    <w:rsid w:val="006824E4"/>
    <w:rsid w:val="00682C65"/>
    <w:rsid w:val="00683F0F"/>
    <w:rsid w:val="00686879"/>
    <w:rsid w:val="006901F7"/>
    <w:rsid w:val="0069020F"/>
    <w:rsid w:val="00691A97"/>
    <w:rsid w:val="00691CFB"/>
    <w:rsid w:val="006924EC"/>
    <w:rsid w:val="006931FF"/>
    <w:rsid w:val="0069614C"/>
    <w:rsid w:val="0069662F"/>
    <w:rsid w:val="00696BC3"/>
    <w:rsid w:val="00697FCC"/>
    <w:rsid w:val="006A02C0"/>
    <w:rsid w:val="006A0A64"/>
    <w:rsid w:val="006A0EE1"/>
    <w:rsid w:val="006A2C53"/>
    <w:rsid w:val="006A3020"/>
    <w:rsid w:val="006A61F5"/>
    <w:rsid w:val="006A74F4"/>
    <w:rsid w:val="006A7942"/>
    <w:rsid w:val="006A7C18"/>
    <w:rsid w:val="006B5D2E"/>
    <w:rsid w:val="006B6DEB"/>
    <w:rsid w:val="006C0804"/>
    <w:rsid w:val="006C0CF1"/>
    <w:rsid w:val="006C2505"/>
    <w:rsid w:val="006C40CB"/>
    <w:rsid w:val="006C4106"/>
    <w:rsid w:val="006C70E3"/>
    <w:rsid w:val="006C7B00"/>
    <w:rsid w:val="006D0D35"/>
    <w:rsid w:val="006D15B4"/>
    <w:rsid w:val="006D37B7"/>
    <w:rsid w:val="006D448D"/>
    <w:rsid w:val="006D6FD4"/>
    <w:rsid w:val="006E279E"/>
    <w:rsid w:val="006E584C"/>
    <w:rsid w:val="006E5B21"/>
    <w:rsid w:val="006E7269"/>
    <w:rsid w:val="006E73E2"/>
    <w:rsid w:val="006E7E5A"/>
    <w:rsid w:val="006F128E"/>
    <w:rsid w:val="006F2465"/>
    <w:rsid w:val="006F2E93"/>
    <w:rsid w:val="006F44A3"/>
    <w:rsid w:val="006F5428"/>
    <w:rsid w:val="006F54AD"/>
    <w:rsid w:val="006F5766"/>
    <w:rsid w:val="006F5A42"/>
    <w:rsid w:val="006F5D76"/>
    <w:rsid w:val="007004C6"/>
    <w:rsid w:val="00701946"/>
    <w:rsid w:val="00705E96"/>
    <w:rsid w:val="007061B6"/>
    <w:rsid w:val="007068A4"/>
    <w:rsid w:val="007079AD"/>
    <w:rsid w:val="00707BF1"/>
    <w:rsid w:val="007118E5"/>
    <w:rsid w:val="007128BC"/>
    <w:rsid w:val="00712933"/>
    <w:rsid w:val="00712EA6"/>
    <w:rsid w:val="007140C5"/>
    <w:rsid w:val="0071484D"/>
    <w:rsid w:val="00714F7B"/>
    <w:rsid w:val="00715DE4"/>
    <w:rsid w:val="007164F2"/>
    <w:rsid w:val="007212D4"/>
    <w:rsid w:val="007222CD"/>
    <w:rsid w:val="00722C81"/>
    <w:rsid w:val="00723817"/>
    <w:rsid w:val="00723A2C"/>
    <w:rsid w:val="007241C4"/>
    <w:rsid w:val="007244F8"/>
    <w:rsid w:val="0072497D"/>
    <w:rsid w:val="00725F1A"/>
    <w:rsid w:val="0073096F"/>
    <w:rsid w:val="007322F9"/>
    <w:rsid w:val="00734370"/>
    <w:rsid w:val="007344DC"/>
    <w:rsid w:val="007350DA"/>
    <w:rsid w:val="007351CE"/>
    <w:rsid w:val="00736A82"/>
    <w:rsid w:val="007374F9"/>
    <w:rsid w:val="00737DB1"/>
    <w:rsid w:val="00740D98"/>
    <w:rsid w:val="00742934"/>
    <w:rsid w:val="007442D0"/>
    <w:rsid w:val="00744BD6"/>
    <w:rsid w:val="00744F29"/>
    <w:rsid w:val="00745280"/>
    <w:rsid w:val="00745D17"/>
    <w:rsid w:val="00746F20"/>
    <w:rsid w:val="00747415"/>
    <w:rsid w:val="00751049"/>
    <w:rsid w:val="007518C2"/>
    <w:rsid w:val="00751C98"/>
    <w:rsid w:val="00752FEA"/>
    <w:rsid w:val="00755D90"/>
    <w:rsid w:val="00756504"/>
    <w:rsid w:val="00756A16"/>
    <w:rsid w:val="00757D6D"/>
    <w:rsid w:val="00762CE4"/>
    <w:rsid w:val="0076312D"/>
    <w:rsid w:val="00763318"/>
    <w:rsid w:val="00764612"/>
    <w:rsid w:val="00765A45"/>
    <w:rsid w:val="00767FDA"/>
    <w:rsid w:val="00767FF4"/>
    <w:rsid w:val="007717B9"/>
    <w:rsid w:val="00771B37"/>
    <w:rsid w:val="00771F7F"/>
    <w:rsid w:val="0077318B"/>
    <w:rsid w:val="00773709"/>
    <w:rsid w:val="007744F8"/>
    <w:rsid w:val="00774C4C"/>
    <w:rsid w:val="00777B85"/>
    <w:rsid w:val="0078008E"/>
    <w:rsid w:val="0078042F"/>
    <w:rsid w:val="00781F4B"/>
    <w:rsid w:val="007824A3"/>
    <w:rsid w:val="00784964"/>
    <w:rsid w:val="00784C6B"/>
    <w:rsid w:val="00785201"/>
    <w:rsid w:val="00785982"/>
    <w:rsid w:val="00786FE0"/>
    <w:rsid w:val="007923B3"/>
    <w:rsid w:val="007934C7"/>
    <w:rsid w:val="00793ED9"/>
    <w:rsid w:val="00794773"/>
    <w:rsid w:val="00794C20"/>
    <w:rsid w:val="00797F03"/>
    <w:rsid w:val="007A047A"/>
    <w:rsid w:val="007A0A96"/>
    <w:rsid w:val="007A0CE0"/>
    <w:rsid w:val="007A0F47"/>
    <w:rsid w:val="007A1103"/>
    <w:rsid w:val="007A514E"/>
    <w:rsid w:val="007A530B"/>
    <w:rsid w:val="007A56B5"/>
    <w:rsid w:val="007B19CA"/>
    <w:rsid w:val="007B1FDE"/>
    <w:rsid w:val="007B4E55"/>
    <w:rsid w:val="007B5E58"/>
    <w:rsid w:val="007B5EE9"/>
    <w:rsid w:val="007B5FCD"/>
    <w:rsid w:val="007B6AD1"/>
    <w:rsid w:val="007B7206"/>
    <w:rsid w:val="007B7AD6"/>
    <w:rsid w:val="007C13F0"/>
    <w:rsid w:val="007C291B"/>
    <w:rsid w:val="007C4403"/>
    <w:rsid w:val="007C5334"/>
    <w:rsid w:val="007C55FF"/>
    <w:rsid w:val="007C593C"/>
    <w:rsid w:val="007C5E61"/>
    <w:rsid w:val="007C6C09"/>
    <w:rsid w:val="007C6E4A"/>
    <w:rsid w:val="007C7080"/>
    <w:rsid w:val="007D0095"/>
    <w:rsid w:val="007D115E"/>
    <w:rsid w:val="007D2ED9"/>
    <w:rsid w:val="007D314E"/>
    <w:rsid w:val="007D6DD5"/>
    <w:rsid w:val="007D7E82"/>
    <w:rsid w:val="007E0101"/>
    <w:rsid w:val="007E2E58"/>
    <w:rsid w:val="007E3BE5"/>
    <w:rsid w:val="007E4646"/>
    <w:rsid w:val="007E5BD3"/>
    <w:rsid w:val="007E6B2B"/>
    <w:rsid w:val="007E725F"/>
    <w:rsid w:val="007E7885"/>
    <w:rsid w:val="007F0F26"/>
    <w:rsid w:val="007F1292"/>
    <w:rsid w:val="007F2264"/>
    <w:rsid w:val="007F7A09"/>
    <w:rsid w:val="007F7DD0"/>
    <w:rsid w:val="00800845"/>
    <w:rsid w:val="0080134E"/>
    <w:rsid w:val="008018AB"/>
    <w:rsid w:val="00803FC2"/>
    <w:rsid w:val="008058B1"/>
    <w:rsid w:val="00805A66"/>
    <w:rsid w:val="00805FC1"/>
    <w:rsid w:val="00806E06"/>
    <w:rsid w:val="00807888"/>
    <w:rsid w:val="00810C1D"/>
    <w:rsid w:val="00812FDC"/>
    <w:rsid w:val="00813496"/>
    <w:rsid w:val="008150D5"/>
    <w:rsid w:val="008160E9"/>
    <w:rsid w:val="00816ED4"/>
    <w:rsid w:val="0081702A"/>
    <w:rsid w:val="00817A6A"/>
    <w:rsid w:val="008219BF"/>
    <w:rsid w:val="00821BD9"/>
    <w:rsid w:val="00821CA2"/>
    <w:rsid w:val="00823D5E"/>
    <w:rsid w:val="00824A59"/>
    <w:rsid w:val="00826F2A"/>
    <w:rsid w:val="00826FC7"/>
    <w:rsid w:val="00827366"/>
    <w:rsid w:val="008273D3"/>
    <w:rsid w:val="008314E0"/>
    <w:rsid w:val="00832200"/>
    <w:rsid w:val="0083319B"/>
    <w:rsid w:val="00834EAB"/>
    <w:rsid w:val="00835A3B"/>
    <w:rsid w:val="00837896"/>
    <w:rsid w:val="008406C9"/>
    <w:rsid w:val="00842702"/>
    <w:rsid w:val="00842C09"/>
    <w:rsid w:val="00843285"/>
    <w:rsid w:val="0084507C"/>
    <w:rsid w:val="00847108"/>
    <w:rsid w:val="008475DC"/>
    <w:rsid w:val="00852DCF"/>
    <w:rsid w:val="00853A36"/>
    <w:rsid w:val="00854266"/>
    <w:rsid w:val="008547F8"/>
    <w:rsid w:val="00854F44"/>
    <w:rsid w:val="00856223"/>
    <w:rsid w:val="008569B2"/>
    <w:rsid w:val="00856D02"/>
    <w:rsid w:val="0086081B"/>
    <w:rsid w:val="0086122C"/>
    <w:rsid w:val="00863469"/>
    <w:rsid w:val="008637B6"/>
    <w:rsid w:val="0086541A"/>
    <w:rsid w:val="00865825"/>
    <w:rsid w:val="008664B5"/>
    <w:rsid w:val="00867FC7"/>
    <w:rsid w:val="0087114B"/>
    <w:rsid w:val="00871482"/>
    <w:rsid w:val="00872A14"/>
    <w:rsid w:val="008730D2"/>
    <w:rsid w:val="00873177"/>
    <w:rsid w:val="00873C3E"/>
    <w:rsid w:val="00874890"/>
    <w:rsid w:val="00874A07"/>
    <w:rsid w:val="00874FB8"/>
    <w:rsid w:val="00875D69"/>
    <w:rsid w:val="0087665E"/>
    <w:rsid w:val="008777FC"/>
    <w:rsid w:val="00882531"/>
    <w:rsid w:val="0088327D"/>
    <w:rsid w:val="00883E04"/>
    <w:rsid w:val="008846F9"/>
    <w:rsid w:val="00887CDD"/>
    <w:rsid w:val="0089084F"/>
    <w:rsid w:val="00891AA6"/>
    <w:rsid w:val="00891B89"/>
    <w:rsid w:val="00891C20"/>
    <w:rsid w:val="00893F14"/>
    <w:rsid w:val="008955CA"/>
    <w:rsid w:val="008A0DE8"/>
    <w:rsid w:val="008A2564"/>
    <w:rsid w:val="008A2E85"/>
    <w:rsid w:val="008A3F10"/>
    <w:rsid w:val="008A54C1"/>
    <w:rsid w:val="008A6EBB"/>
    <w:rsid w:val="008B3923"/>
    <w:rsid w:val="008B5152"/>
    <w:rsid w:val="008B6A9F"/>
    <w:rsid w:val="008C2FE8"/>
    <w:rsid w:val="008C48FB"/>
    <w:rsid w:val="008C575D"/>
    <w:rsid w:val="008C65BE"/>
    <w:rsid w:val="008D27C9"/>
    <w:rsid w:val="008D2BA2"/>
    <w:rsid w:val="008D4F31"/>
    <w:rsid w:val="008D6B89"/>
    <w:rsid w:val="008D76E0"/>
    <w:rsid w:val="008D7EC1"/>
    <w:rsid w:val="008E0CF2"/>
    <w:rsid w:val="008E11B3"/>
    <w:rsid w:val="008E3466"/>
    <w:rsid w:val="008E3CA1"/>
    <w:rsid w:val="008E4DC7"/>
    <w:rsid w:val="008E7861"/>
    <w:rsid w:val="008F0FA2"/>
    <w:rsid w:val="008F1143"/>
    <w:rsid w:val="008F41B1"/>
    <w:rsid w:val="008F5CCB"/>
    <w:rsid w:val="008F685F"/>
    <w:rsid w:val="008F72DB"/>
    <w:rsid w:val="0090042D"/>
    <w:rsid w:val="00903B99"/>
    <w:rsid w:val="00904417"/>
    <w:rsid w:val="00904792"/>
    <w:rsid w:val="00904A10"/>
    <w:rsid w:val="00904B46"/>
    <w:rsid w:val="00905A63"/>
    <w:rsid w:val="00907015"/>
    <w:rsid w:val="00907274"/>
    <w:rsid w:val="00910608"/>
    <w:rsid w:val="00910DE1"/>
    <w:rsid w:val="009115CC"/>
    <w:rsid w:val="00912C85"/>
    <w:rsid w:val="00913C1A"/>
    <w:rsid w:val="00915ABC"/>
    <w:rsid w:val="00915F75"/>
    <w:rsid w:val="0091643F"/>
    <w:rsid w:val="00916CEF"/>
    <w:rsid w:val="00916D39"/>
    <w:rsid w:val="00917FA1"/>
    <w:rsid w:val="009206ED"/>
    <w:rsid w:val="00920C60"/>
    <w:rsid w:val="00921121"/>
    <w:rsid w:val="009218E4"/>
    <w:rsid w:val="00923AF7"/>
    <w:rsid w:val="0092425C"/>
    <w:rsid w:val="00924717"/>
    <w:rsid w:val="00925C48"/>
    <w:rsid w:val="00932201"/>
    <w:rsid w:val="009348CF"/>
    <w:rsid w:val="0093519B"/>
    <w:rsid w:val="00935EEB"/>
    <w:rsid w:val="009367B4"/>
    <w:rsid w:val="0093681C"/>
    <w:rsid w:val="00936ECF"/>
    <w:rsid w:val="009376C9"/>
    <w:rsid w:val="009403B4"/>
    <w:rsid w:val="00945FA5"/>
    <w:rsid w:val="00946F56"/>
    <w:rsid w:val="00947962"/>
    <w:rsid w:val="0095069B"/>
    <w:rsid w:val="00950B53"/>
    <w:rsid w:val="00951081"/>
    <w:rsid w:val="009511ED"/>
    <w:rsid w:val="00951529"/>
    <w:rsid w:val="009518F0"/>
    <w:rsid w:val="00951DB6"/>
    <w:rsid w:val="00954930"/>
    <w:rsid w:val="00955D64"/>
    <w:rsid w:val="009566D8"/>
    <w:rsid w:val="00956B7F"/>
    <w:rsid w:val="00957048"/>
    <w:rsid w:val="009612BC"/>
    <w:rsid w:val="00961C45"/>
    <w:rsid w:val="00961EC1"/>
    <w:rsid w:val="009641C2"/>
    <w:rsid w:val="00965F5F"/>
    <w:rsid w:val="00967B6D"/>
    <w:rsid w:val="00970815"/>
    <w:rsid w:val="00974434"/>
    <w:rsid w:val="00974F4B"/>
    <w:rsid w:val="00980C3F"/>
    <w:rsid w:val="00981030"/>
    <w:rsid w:val="00997C80"/>
    <w:rsid w:val="00997D98"/>
    <w:rsid w:val="00997FAC"/>
    <w:rsid w:val="009A1188"/>
    <w:rsid w:val="009A372D"/>
    <w:rsid w:val="009A3A41"/>
    <w:rsid w:val="009A3AF9"/>
    <w:rsid w:val="009A445A"/>
    <w:rsid w:val="009A4DF6"/>
    <w:rsid w:val="009A507D"/>
    <w:rsid w:val="009A5449"/>
    <w:rsid w:val="009A5DAB"/>
    <w:rsid w:val="009B1DDE"/>
    <w:rsid w:val="009B3619"/>
    <w:rsid w:val="009B3C78"/>
    <w:rsid w:val="009B3F6A"/>
    <w:rsid w:val="009B4A1D"/>
    <w:rsid w:val="009B6992"/>
    <w:rsid w:val="009B6BE2"/>
    <w:rsid w:val="009B6E76"/>
    <w:rsid w:val="009C3E4E"/>
    <w:rsid w:val="009C4BA1"/>
    <w:rsid w:val="009C5121"/>
    <w:rsid w:val="009C65DE"/>
    <w:rsid w:val="009C6791"/>
    <w:rsid w:val="009C7BFD"/>
    <w:rsid w:val="009C7F82"/>
    <w:rsid w:val="009D03DF"/>
    <w:rsid w:val="009D388D"/>
    <w:rsid w:val="009D483F"/>
    <w:rsid w:val="009D74E4"/>
    <w:rsid w:val="009E103D"/>
    <w:rsid w:val="009E16DD"/>
    <w:rsid w:val="009E2B0E"/>
    <w:rsid w:val="009E32CB"/>
    <w:rsid w:val="009E3B54"/>
    <w:rsid w:val="009E594F"/>
    <w:rsid w:val="009E7253"/>
    <w:rsid w:val="009E73EA"/>
    <w:rsid w:val="009F1F61"/>
    <w:rsid w:val="009F5CD2"/>
    <w:rsid w:val="009F5DBF"/>
    <w:rsid w:val="009F6E63"/>
    <w:rsid w:val="009F6E7A"/>
    <w:rsid w:val="00A00363"/>
    <w:rsid w:val="00A0206B"/>
    <w:rsid w:val="00A060DA"/>
    <w:rsid w:val="00A07A5A"/>
    <w:rsid w:val="00A1258F"/>
    <w:rsid w:val="00A13ED2"/>
    <w:rsid w:val="00A15F33"/>
    <w:rsid w:val="00A16C30"/>
    <w:rsid w:val="00A17077"/>
    <w:rsid w:val="00A1750A"/>
    <w:rsid w:val="00A2285A"/>
    <w:rsid w:val="00A23ABF"/>
    <w:rsid w:val="00A24761"/>
    <w:rsid w:val="00A26CC6"/>
    <w:rsid w:val="00A310BF"/>
    <w:rsid w:val="00A32BC1"/>
    <w:rsid w:val="00A348BF"/>
    <w:rsid w:val="00A35025"/>
    <w:rsid w:val="00A36606"/>
    <w:rsid w:val="00A36903"/>
    <w:rsid w:val="00A37D40"/>
    <w:rsid w:val="00A41BFB"/>
    <w:rsid w:val="00A42D43"/>
    <w:rsid w:val="00A43189"/>
    <w:rsid w:val="00A43630"/>
    <w:rsid w:val="00A438A9"/>
    <w:rsid w:val="00A459D6"/>
    <w:rsid w:val="00A46E97"/>
    <w:rsid w:val="00A47753"/>
    <w:rsid w:val="00A50437"/>
    <w:rsid w:val="00A51C1E"/>
    <w:rsid w:val="00A5244E"/>
    <w:rsid w:val="00A53A62"/>
    <w:rsid w:val="00A54A64"/>
    <w:rsid w:val="00A557D1"/>
    <w:rsid w:val="00A57B9F"/>
    <w:rsid w:val="00A632BE"/>
    <w:rsid w:val="00A632C7"/>
    <w:rsid w:val="00A645DF"/>
    <w:rsid w:val="00A648BD"/>
    <w:rsid w:val="00A64EAB"/>
    <w:rsid w:val="00A650BE"/>
    <w:rsid w:val="00A65E81"/>
    <w:rsid w:val="00A668ED"/>
    <w:rsid w:val="00A66ED4"/>
    <w:rsid w:val="00A7184E"/>
    <w:rsid w:val="00A72127"/>
    <w:rsid w:val="00A766AA"/>
    <w:rsid w:val="00A80482"/>
    <w:rsid w:val="00A84577"/>
    <w:rsid w:val="00A84EBA"/>
    <w:rsid w:val="00A86EE7"/>
    <w:rsid w:val="00A9049C"/>
    <w:rsid w:val="00A93CCA"/>
    <w:rsid w:val="00A96210"/>
    <w:rsid w:val="00A9754A"/>
    <w:rsid w:val="00AA13A2"/>
    <w:rsid w:val="00AA27BF"/>
    <w:rsid w:val="00AA3122"/>
    <w:rsid w:val="00AA41E2"/>
    <w:rsid w:val="00AA42FC"/>
    <w:rsid w:val="00AA471E"/>
    <w:rsid w:val="00AA4844"/>
    <w:rsid w:val="00AA5832"/>
    <w:rsid w:val="00AA6094"/>
    <w:rsid w:val="00AA749A"/>
    <w:rsid w:val="00AA74B0"/>
    <w:rsid w:val="00AA77B9"/>
    <w:rsid w:val="00AA7AA1"/>
    <w:rsid w:val="00AB0509"/>
    <w:rsid w:val="00AB066F"/>
    <w:rsid w:val="00AB1ECC"/>
    <w:rsid w:val="00AB1EE8"/>
    <w:rsid w:val="00AB2269"/>
    <w:rsid w:val="00AB2412"/>
    <w:rsid w:val="00AB4593"/>
    <w:rsid w:val="00AB5AB0"/>
    <w:rsid w:val="00AB6DBD"/>
    <w:rsid w:val="00AC053B"/>
    <w:rsid w:val="00AC1DDD"/>
    <w:rsid w:val="00AC46E1"/>
    <w:rsid w:val="00AC7439"/>
    <w:rsid w:val="00AC7954"/>
    <w:rsid w:val="00AC7DDA"/>
    <w:rsid w:val="00AD01C9"/>
    <w:rsid w:val="00AD0C26"/>
    <w:rsid w:val="00AD25E2"/>
    <w:rsid w:val="00AD28D1"/>
    <w:rsid w:val="00AD4136"/>
    <w:rsid w:val="00AD66A1"/>
    <w:rsid w:val="00AD7108"/>
    <w:rsid w:val="00AD760C"/>
    <w:rsid w:val="00AE26F9"/>
    <w:rsid w:val="00AE3C56"/>
    <w:rsid w:val="00AE7462"/>
    <w:rsid w:val="00AF0D15"/>
    <w:rsid w:val="00AF0F7F"/>
    <w:rsid w:val="00AF1654"/>
    <w:rsid w:val="00AF33EA"/>
    <w:rsid w:val="00AF3EEB"/>
    <w:rsid w:val="00AF577F"/>
    <w:rsid w:val="00B023B3"/>
    <w:rsid w:val="00B04DEC"/>
    <w:rsid w:val="00B05193"/>
    <w:rsid w:val="00B05FAD"/>
    <w:rsid w:val="00B10D55"/>
    <w:rsid w:val="00B130C8"/>
    <w:rsid w:val="00B1345D"/>
    <w:rsid w:val="00B14A91"/>
    <w:rsid w:val="00B15E49"/>
    <w:rsid w:val="00B16A19"/>
    <w:rsid w:val="00B16BF5"/>
    <w:rsid w:val="00B23B98"/>
    <w:rsid w:val="00B24068"/>
    <w:rsid w:val="00B2518F"/>
    <w:rsid w:val="00B255F9"/>
    <w:rsid w:val="00B27EDD"/>
    <w:rsid w:val="00B31DFC"/>
    <w:rsid w:val="00B31E19"/>
    <w:rsid w:val="00B345C4"/>
    <w:rsid w:val="00B34FE5"/>
    <w:rsid w:val="00B35303"/>
    <w:rsid w:val="00B35E0D"/>
    <w:rsid w:val="00B3733D"/>
    <w:rsid w:val="00B37FD5"/>
    <w:rsid w:val="00B40242"/>
    <w:rsid w:val="00B40BB8"/>
    <w:rsid w:val="00B415C7"/>
    <w:rsid w:val="00B42446"/>
    <w:rsid w:val="00B42879"/>
    <w:rsid w:val="00B43664"/>
    <w:rsid w:val="00B44035"/>
    <w:rsid w:val="00B445D9"/>
    <w:rsid w:val="00B44F1F"/>
    <w:rsid w:val="00B45648"/>
    <w:rsid w:val="00B45B71"/>
    <w:rsid w:val="00B502B1"/>
    <w:rsid w:val="00B52317"/>
    <w:rsid w:val="00B523BE"/>
    <w:rsid w:val="00B540AF"/>
    <w:rsid w:val="00B5428C"/>
    <w:rsid w:val="00B55411"/>
    <w:rsid w:val="00B55C3B"/>
    <w:rsid w:val="00B56AC4"/>
    <w:rsid w:val="00B57A86"/>
    <w:rsid w:val="00B612D6"/>
    <w:rsid w:val="00B6194C"/>
    <w:rsid w:val="00B62152"/>
    <w:rsid w:val="00B6242C"/>
    <w:rsid w:val="00B629DE"/>
    <w:rsid w:val="00B6311B"/>
    <w:rsid w:val="00B63736"/>
    <w:rsid w:val="00B645FA"/>
    <w:rsid w:val="00B6557B"/>
    <w:rsid w:val="00B71405"/>
    <w:rsid w:val="00B72306"/>
    <w:rsid w:val="00B72557"/>
    <w:rsid w:val="00B72E0E"/>
    <w:rsid w:val="00B73709"/>
    <w:rsid w:val="00B76E06"/>
    <w:rsid w:val="00B821D5"/>
    <w:rsid w:val="00B82789"/>
    <w:rsid w:val="00B83729"/>
    <w:rsid w:val="00B83B60"/>
    <w:rsid w:val="00B861EA"/>
    <w:rsid w:val="00B8689B"/>
    <w:rsid w:val="00B87609"/>
    <w:rsid w:val="00B9015A"/>
    <w:rsid w:val="00B911F9"/>
    <w:rsid w:val="00B92302"/>
    <w:rsid w:val="00B92FB5"/>
    <w:rsid w:val="00B94DEA"/>
    <w:rsid w:val="00B967F2"/>
    <w:rsid w:val="00B97F15"/>
    <w:rsid w:val="00B97FC4"/>
    <w:rsid w:val="00BA073A"/>
    <w:rsid w:val="00BA0830"/>
    <w:rsid w:val="00BA1572"/>
    <w:rsid w:val="00BA1A97"/>
    <w:rsid w:val="00BA3294"/>
    <w:rsid w:val="00BA32D3"/>
    <w:rsid w:val="00BA47E5"/>
    <w:rsid w:val="00BA4ABB"/>
    <w:rsid w:val="00BA4FCE"/>
    <w:rsid w:val="00BB061A"/>
    <w:rsid w:val="00BB0965"/>
    <w:rsid w:val="00BB0DA7"/>
    <w:rsid w:val="00BB21FA"/>
    <w:rsid w:val="00BB42CD"/>
    <w:rsid w:val="00BB5634"/>
    <w:rsid w:val="00BC2244"/>
    <w:rsid w:val="00BC253A"/>
    <w:rsid w:val="00BC3206"/>
    <w:rsid w:val="00BC3DE3"/>
    <w:rsid w:val="00BC7066"/>
    <w:rsid w:val="00BD035B"/>
    <w:rsid w:val="00BD1027"/>
    <w:rsid w:val="00BD19BA"/>
    <w:rsid w:val="00BD1D97"/>
    <w:rsid w:val="00BD2DF3"/>
    <w:rsid w:val="00BD4E39"/>
    <w:rsid w:val="00BD6A86"/>
    <w:rsid w:val="00BD6BA5"/>
    <w:rsid w:val="00BD7179"/>
    <w:rsid w:val="00BE16C4"/>
    <w:rsid w:val="00BE28A7"/>
    <w:rsid w:val="00BE2B47"/>
    <w:rsid w:val="00BE2E2C"/>
    <w:rsid w:val="00BE2FC3"/>
    <w:rsid w:val="00BE59C1"/>
    <w:rsid w:val="00BE6411"/>
    <w:rsid w:val="00BF1A47"/>
    <w:rsid w:val="00BF1F19"/>
    <w:rsid w:val="00BF23EA"/>
    <w:rsid w:val="00BF2F45"/>
    <w:rsid w:val="00BF351B"/>
    <w:rsid w:val="00BF3CAA"/>
    <w:rsid w:val="00BF5408"/>
    <w:rsid w:val="00BF55F3"/>
    <w:rsid w:val="00BF6554"/>
    <w:rsid w:val="00BF67C3"/>
    <w:rsid w:val="00BF702C"/>
    <w:rsid w:val="00C0061A"/>
    <w:rsid w:val="00C012B1"/>
    <w:rsid w:val="00C02890"/>
    <w:rsid w:val="00C03DA4"/>
    <w:rsid w:val="00C07715"/>
    <w:rsid w:val="00C0796B"/>
    <w:rsid w:val="00C13634"/>
    <w:rsid w:val="00C14057"/>
    <w:rsid w:val="00C15E2B"/>
    <w:rsid w:val="00C165D4"/>
    <w:rsid w:val="00C17129"/>
    <w:rsid w:val="00C2090C"/>
    <w:rsid w:val="00C226BF"/>
    <w:rsid w:val="00C2402A"/>
    <w:rsid w:val="00C25EAD"/>
    <w:rsid w:val="00C270EB"/>
    <w:rsid w:val="00C27123"/>
    <w:rsid w:val="00C27E94"/>
    <w:rsid w:val="00C302DB"/>
    <w:rsid w:val="00C31D9A"/>
    <w:rsid w:val="00C323F3"/>
    <w:rsid w:val="00C32652"/>
    <w:rsid w:val="00C32CB2"/>
    <w:rsid w:val="00C32D57"/>
    <w:rsid w:val="00C3365D"/>
    <w:rsid w:val="00C33F81"/>
    <w:rsid w:val="00C3561E"/>
    <w:rsid w:val="00C35D61"/>
    <w:rsid w:val="00C35EF8"/>
    <w:rsid w:val="00C3609D"/>
    <w:rsid w:val="00C36D05"/>
    <w:rsid w:val="00C37AF7"/>
    <w:rsid w:val="00C41348"/>
    <w:rsid w:val="00C41836"/>
    <w:rsid w:val="00C41BFD"/>
    <w:rsid w:val="00C42168"/>
    <w:rsid w:val="00C4223E"/>
    <w:rsid w:val="00C42E85"/>
    <w:rsid w:val="00C43238"/>
    <w:rsid w:val="00C475F5"/>
    <w:rsid w:val="00C47DF4"/>
    <w:rsid w:val="00C50ED1"/>
    <w:rsid w:val="00C5231A"/>
    <w:rsid w:val="00C532DD"/>
    <w:rsid w:val="00C54A0D"/>
    <w:rsid w:val="00C55941"/>
    <w:rsid w:val="00C57E2A"/>
    <w:rsid w:val="00C603A9"/>
    <w:rsid w:val="00C6099A"/>
    <w:rsid w:val="00C60D76"/>
    <w:rsid w:val="00C60EF9"/>
    <w:rsid w:val="00C61BD7"/>
    <w:rsid w:val="00C61E94"/>
    <w:rsid w:val="00C623DF"/>
    <w:rsid w:val="00C627DA"/>
    <w:rsid w:val="00C62FB6"/>
    <w:rsid w:val="00C72443"/>
    <w:rsid w:val="00C744AD"/>
    <w:rsid w:val="00C74CC5"/>
    <w:rsid w:val="00C76242"/>
    <w:rsid w:val="00C76DFC"/>
    <w:rsid w:val="00C77A3E"/>
    <w:rsid w:val="00C77C70"/>
    <w:rsid w:val="00C826B1"/>
    <w:rsid w:val="00C84E04"/>
    <w:rsid w:val="00C8504B"/>
    <w:rsid w:val="00C86676"/>
    <w:rsid w:val="00C86AF8"/>
    <w:rsid w:val="00C90757"/>
    <w:rsid w:val="00C94A03"/>
    <w:rsid w:val="00C950F9"/>
    <w:rsid w:val="00C95B72"/>
    <w:rsid w:val="00C961C8"/>
    <w:rsid w:val="00CA0702"/>
    <w:rsid w:val="00CA1976"/>
    <w:rsid w:val="00CA2691"/>
    <w:rsid w:val="00CA33C8"/>
    <w:rsid w:val="00CA3CCA"/>
    <w:rsid w:val="00CA483A"/>
    <w:rsid w:val="00CA5C80"/>
    <w:rsid w:val="00CA5E40"/>
    <w:rsid w:val="00CA6160"/>
    <w:rsid w:val="00CB0FEE"/>
    <w:rsid w:val="00CB317C"/>
    <w:rsid w:val="00CB39C0"/>
    <w:rsid w:val="00CB4753"/>
    <w:rsid w:val="00CB4EA2"/>
    <w:rsid w:val="00CB658A"/>
    <w:rsid w:val="00CC18F3"/>
    <w:rsid w:val="00CC3A4C"/>
    <w:rsid w:val="00CC3BC1"/>
    <w:rsid w:val="00CC5E2C"/>
    <w:rsid w:val="00CC60D1"/>
    <w:rsid w:val="00CC7076"/>
    <w:rsid w:val="00CC743A"/>
    <w:rsid w:val="00CC79D9"/>
    <w:rsid w:val="00CD097B"/>
    <w:rsid w:val="00CD0AA5"/>
    <w:rsid w:val="00CD0C00"/>
    <w:rsid w:val="00CD0FBE"/>
    <w:rsid w:val="00CD3856"/>
    <w:rsid w:val="00CD3A5C"/>
    <w:rsid w:val="00CD558C"/>
    <w:rsid w:val="00CD74EC"/>
    <w:rsid w:val="00CD7844"/>
    <w:rsid w:val="00CE09CA"/>
    <w:rsid w:val="00CE2E07"/>
    <w:rsid w:val="00CE5B7C"/>
    <w:rsid w:val="00CE79D3"/>
    <w:rsid w:val="00CE7B36"/>
    <w:rsid w:val="00CE7EFA"/>
    <w:rsid w:val="00CF02A6"/>
    <w:rsid w:val="00CF1007"/>
    <w:rsid w:val="00CF1065"/>
    <w:rsid w:val="00CF4CF3"/>
    <w:rsid w:val="00CF6808"/>
    <w:rsid w:val="00CF6BAD"/>
    <w:rsid w:val="00CF6DAB"/>
    <w:rsid w:val="00CF713B"/>
    <w:rsid w:val="00D03645"/>
    <w:rsid w:val="00D043B9"/>
    <w:rsid w:val="00D04510"/>
    <w:rsid w:val="00D05249"/>
    <w:rsid w:val="00D07386"/>
    <w:rsid w:val="00D105F7"/>
    <w:rsid w:val="00D1063C"/>
    <w:rsid w:val="00D10752"/>
    <w:rsid w:val="00D117B2"/>
    <w:rsid w:val="00D11D15"/>
    <w:rsid w:val="00D14638"/>
    <w:rsid w:val="00D152D5"/>
    <w:rsid w:val="00D16854"/>
    <w:rsid w:val="00D16AFA"/>
    <w:rsid w:val="00D16E1A"/>
    <w:rsid w:val="00D21F4A"/>
    <w:rsid w:val="00D2209C"/>
    <w:rsid w:val="00D22A53"/>
    <w:rsid w:val="00D2366B"/>
    <w:rsid w:val="00D25FC2"/>
    <w:rsid w:val="00D2610F"/>
    <w:rsid w:val="00D26972"/>
    <w:rsid w:val="00D31F27"/>
    <w:rsid w:val="00D3250A"/>
    <w:rsid w:val="00D32853"/>
    <w:rsid w:val="00D32B57"/>
    <w:rsid w:val="00D350D4"/>
    <w:rsid w:val="00D35962"/>
    <w:rsid w:val="00D359BC"/>
    <w:rsid w:val="00D36CA4"/>
    <w:rsid w:val="00D37ED1"/>
    <w:rsid w:val="00D40048"/>
    <w:rsid w:val="00D409A8"/>
    <w:rsid w:val="00D4228E"/>
    <w:rsid w:val="00D42CD5"/>
    <w:rsid w:val="00D43BD4"/>
    <w:rsid w:val="00D43D7B"/>
    <w:rsid w:val="00D4457F"/>
    <w:rsid w:val="00D46D83"/>
    <w:rsid w:val="00D47571"/>
    <w:rsid w:val="00D501F2"/>
    <w:rsid w:val="00D51B87"/>
    <w:rsid w:val="00D51CCD"/>
    <w:rsid w:val="00D5374C"/>
    <w:rsid w:val="00D542AC"/>
    <w:rsid w:val="00D544BC"/>
    <w:rsid w:val="00D55A1A"/>
    <w:rsid w:val="00D55C16"/>
    <w:rsid w:val="00D5673C"/>
    <w:rsid w:val="00D573D7"/>
    <w:rsid w:val="00D60742"/>
    <w:rsid w:val="00D61BE5"/>
    <w:rsid w:val="00D63572"/>
    <w:rsid w:val="00D64310"/>
    <w:rsid w:val="00D66E80"/>
    <w:rsid w:val="00D70BDD"/>
    <w:rsid w:val="00D710A9"/>
    <w:rsid w:val="00D7136F"/>
    <w:rsid w:val="00D71F19"/>
    <w:rsid w:val="00D720F7"/>
    <w:rsid w:val="00D72BFB"/>
    <w:rsid w:val="00D732B1"/>
    <w:rsid w:val="00D741EE"/>
    <w:rsid w:val="00D75186"/>
    <w:rsid w:val="00D75BD2"/>
    <w:rsid w:val="00D77FF1"/>
    <w:rsid w:val="00D80284"/>
    <w:rsid w:val="00D831FC"/>
    <w:rsid w:val="00D841D4"/>
    <w:rsid w:val="00D87A5F"/>
    <w:rsid w:val="00D87CBF"/>
    <w:rsid w:val="00D9035D"/>
    <w:rsid w:val="00D9098B"/>
    <w:rsid w:val="00D90F04"/>
    <w:rsid w:val="00D91247"/>
    <w:rsid w:val="00D9265B"/>
    <w:rsid w:val="00D92810"/>
    <w:rsid w:val="00D92AF5"/>
    <w:rsid w:val="00D959BD"/>
    <w:rsid w:val="00D9677F"/>
    <w:rsid w:val="00D9731D"/>
    <w:rsid w:val="00DA0DE5"/>
    <w:rsid w:val="00DA1581"/>
    <w:rsid w:val="00DA300E"/>
    <w:rsid w:val="00DA48D9"/>
    <w:rsid w:val="00DA7534"/>
    <w:rsid w:val="00DA7566"/>
    <w:rsid w:val="00DB01F7"/>
    <w:rsid w:val="00DB1120"/>
    <w:rsid w:val="00DB1177"/>
    <w:rsid w:val="00DB295A"/>
    <w:rsid w:val="00DB4034"/>
    <w:rsid w:val="00DC024A"/>
    <w:rsid w:val="00DC08EB"/>
    <w:rsid w:val="00DC56DA"/>
    <w:rsid w:val="00DC600C"/>
    <w:rsid w:val="00DC6AF4"/>
    <w:rsid w:val="00DC6E35"/>
    <w:rsid w:val="00DD14FE"/>
    <w:rsid w:val="00DD1E5F"/>
    <w:rsid w:val="00DD1FE8"/>
    <w:rsid w:val="00DD4C17"/>
    <w:rsid w:val="00DD53DA"/>
    <w:rsid w:val="00DD57C4"/>
    <w:rsid w:val="00DE0411"/>
    <w:rsid w:val="00DE0E73"/>
    <w:rsid w:val="00DE203A"/>
    <w:rsid w:val="00DE357D"/>
    <w:rsid w:val="00DF0199"/>
    <w:rsid w:val="00DF05FF"/>
    <w:rsid w:val="00DF0859"/>
    <w:rsid w:val="00DF0FF3"/>
    <w:rsid w:val="00DF1E8C"/>
    <w:rsid w:val="00DF1F89"/>
    <w:rsid w:val="00DF215B"/>
    <w:rsid w:val="00DF540C"/>
    <w:rsid w:val="00DF5F3A"/>
    <w:rsid w:val="00DF6DBD"/>
    <w:rsid w:val="00E00720"/>
    <w:rsid w:val="00E00AD5"/>
    <w:rsid w:val="00E015A6"/>
    <w:rsid w:val="00E04653"/>
    <w:rsid w:val="00E05888"/>
    <w:rsid w:val="00E0763A"/>
    <w:rsid w:val="00E078C1"/>
    <w:rsid w:val="00E11157"/>
    <w:rsid w:val="00E11735"/>
    <w:rsid w:val="00E12534"/>
    <w:rsid w:val="00E12A2E"/>
    <w:rsid w:val="00E1309D"/>
    <w:rsid w:val="00E13785"/>
    <w:rsid w:val="00E14908"/>
    <w:rsid w:val="00E154CF"/>
    <w:rsid w:val="00E162F7"/>
    <w:rsid w:val="00E17875"/>
    <w:rsid w:val="00E202AA"/>
    <w:rsid w:val="00E20714"/>
    <w:rsid w:val="00E2250E"/>
    <w:rsid w:val="00E225FE"/>
    <w:rsid w:val="00E2288D"/>
    <w:rsid w:val="00E22AC1"/>
    <w:rsid w:val="00E2662A"/>
    <w:rsid w:val="00E26667"/>
    <w:rsid w:val="00E26A8B"/>
    <w:rsid w:val="00E26BD6"/>
    <w:rsid w:val="00E26E2B"/>
    <w:rsid w:val="00E3021C"/>
    <w:rsid w:val="00E3037A"/>
    <w:rsid w:val="00E3056A"/>
    <w:rsid w:val="00E33DFD"/>
    <w:rsid w:val="00E35638"/>
    <w:rsid w:val="00E35E37"/>
    <w:rsid w:val="00E3675A"/>
    <w:rsid w:val="00E40DCC"/>
    <w:rsid w:val="00E465BE"/>
    <w:rsid w:val="00E50663"/>
    <w:rsid w:val="00E52199"/>
    <w:rsid w:val="00E5267B"/>
    <w:rsid w:val="00E52965"/>
    <w:rsid w:val="00E5301B"/>
    <w:rsid w:val="00E5340D"/>
    <w:rsid w:val="00E53707"/>
    <w:rsid w:val="00E53C9B"/>
    <w:rsid w:val="00E5415A"/>
    <w:rsid w:val="00E55417"/>
    <w:rsid w:val="00E567AD"/>
    <w:rsid w:val="00E6285D"/>
    <w:rsid w:val="00E62DD7"/>
    <w:rsid w:val="00E6401B"/>
    <w:rsid w:val="00E64B04"/>
    <w:rsid w:val="00E650F6"/>
    <w:rsid w:val="00E65FC5"/>
    <w:rsid w:val="00E7053B"/>
    <w:rsid w:val="00E70CA2"/>
    <w:rsid w:val="00E71EE9"/>
    <w:rsid w:val="00E769A7"/>
    <w:rsid w:val="00E77183"/>
    <w:rsid w:val="00E80F8F"/>
    <w:rsid w:val="00E8185E"/>
    <w:rsid w:val="00E8245D"/>
    <w:rsid w:val="00E83418"/>
    <w:rsid w:val="00E83EB9"/>
    <w:rsid w:val="00E83F04"/>
    <w:rsid w:val="00E84C0E"/>
    <w:rsid w:val="00E86C96"/>
    <w:rsid w:val="00E87EDD"/>
    <w:rsid w:val="00E90811"/>
    <w:rsid w:val="00E90E62"/>
    <w:rsid w:val="00E917AF"/>
    <w:rsid w:val="00E919CC"/>
    <w:rsid w:val="00E9278E"/>
    <w:rsid w:val="00E93457"/>
    <w:rsid w:val="00E94D12"/>
    <w:rsid w:val="00E950CC"/>
    <w:rsid w:val="00E968D7"/>
    <w:rsid w:val="00E96B84"/>
    <w:rsid w:val="00EA00D5"/>
    <w:rsid w:val="00EA0EBD"/>
    <w:rsid w:val="00EA0FE0"/>
    <w:rsid w:val="00EA15F9"/>
    <w:rsid w:val="00EA2612"/>
    <w:rsid w:val="00EA5DF4"/>
    <w:rsid w:val="00EA7528"/>
    <w:rsid w:val="00EB0A13"/>
    <w:rsid w:val="00EB2A7B"/>
    <w:rsid w:val="00EB304A"/>
    <w:rsid w:val="00EB359C"/>
    <w:rsid w:val="00EB62D6"/>
    <w:rsid w:val="00EB700E"/>
    <w:rsid w:val="00EB7DB6"/>
    <w:rsid w:val="00EC0072"/>
    <w:rsid w:val="00EC0FFF"/>
    <w:rsid w:val="00EC17B9"/>
    <w:rsid w:val="00EC1E48"/>
    <w:rsid w:val="00EC23EA"/>
    <w:rsid w:val="00EC3335"/>
    <w:rsid w:val="00EC376B"/>
    <w:rsid w:val="00EC4164"/>
    <w:rsid w:val="00EC56EB"/>
    <w:rsid w:val="00EC573F"/>
    <w:rsid w:val="00EC6ECE"/>
    <w:rsid w:val="00EC6F00"/>
    <w:rsid w:val="00EC73AB"/>
    <w:rsid w:val="00ED15A2"/>
    <w:rsid w:val="00ED1714"/>
    <w:rsid w:val="00ED2C7B"/>
    <w:rsid w:val="00ED6E32"/>
    <w:rsid w:val="00ED7371"/>
    <w:rsid w:val="00ED75F3"/>
    <w:rsid w:val="00EE11CF"/>
    <w:rsid w:val="00EE1810"/>
    <w:rsid w:val="00EE1B9A"/>
    <w:rsid w:val="00EE1EE8"/>
    <w:rsid w:val="00EE412F"/>
    <w:rsid w:val="00EE47F9"/>
    <w:rsid w:val="00EE4E75"/>
    <w:rsid w:val="00EE4EF6"/>
    <w:rsid w:val="00EE5D2A"/>
    <w:rsid w:val="00EE67CC"/>
    <w:rsid w:val="00EF1430"/>
    <w:rsid w:val="00EF45DA"/>
    <w:rsid w:val="00EF46A6"/>
    <w:rsid w:val="00EF578B"/>
    <w:rsid w:val="00EF6479"/>
    <w:rsid w:val="00EF75C0"/>
    <w:rsid w:val="00F00204"/>
    <w:rsid w:val="00F042C2"/>
    <w:rsid w:val="00F052FA"/>
    <w:rsid w:val="00F060AC"/>
    <w:rsid w:val="00F1043A"/>
    <w:rsid w:val="00F11B22"/>
    <w:rsid w:val="00F13302"/>
    <w:rsid w:val="00F1351D"/>
    <w:rsid w:val="00F13EC8"/>
    <w:rsid w:val="00F17033"/>
    <w:rsid w:val="00F223F1"/>
    <w:rsid w:val="00F24A28"/>
    <w:rsid w:val="00F24A85"/>
    <w:rsid w:val="00F253BB"/>
    <w:rsid w:val="00F25864"/>
    <w:rsid w:val="00F305A4"/>
    <w:rsid w:val="00F316CF"/>
    <w:rsid w:val="00F31BAD"/>
    <w:rsid w:val="00F34C83"/>
    <w:rsid w:val="00F35FA4"/>
    <w:rsid w:val="00F400FB"/>
    <w:rsid w:val="00F43C52"/>
    <w:rsid w:val="00F456F0"/>
    <w:rsid w:val="00F468BB"/>
    <w:rsid w:val="00F46D1A"/>
    <w:rsid w:val="00F47176"/>
    <w:rsid w:val="00F512BC"/>
    <w:rsid w:val="00F51A15"/>
    <w:rsid w:val="00F54EFD"/>
    <w:rsid w:val="00F563E7"/>
    <w:rsid w:val="00F601BF"/>
    <w:rsid w:val="00F60258"/>
    <w:rsid w:val="00F6135B"/>
    <w:rsid w:val="00F61BBB"/>
    <w:rsid w:val="00F63148"/>
    <w:rsid w:val="00F63295"/>
    <w:rsid w:val="00F65CD5"/>
    <w:rsid w:val="00F65E87"/>
    <w:rsid w:val="00F66C22"/>
    <w:rsid w:val="00F721B7"/>
    <w:rsid w:val="00F7276C"/>
    <w:rsid w:val="00F739BE"/>
    <w:rsid w:val="00F73F84"/>
    <w:rsid w:val="00F7426B"/>
    <w:rsid w:val="00F74612"/>
    <w:rsid w:val="00F7507E"/>
    <w:rsid w:val="00F75C59"/>
    <w:rsid w:val="00F7637F"/>
    <w:rsid w:val="00F77427"/>
    <w:rsid w:val="00F80FF1"/>
    <w:rsid w:val="00F82A6A"/>
    <w:rsid w:val="00F82B40"/>
    <w:rsid w:val="00F8503D"/>
    <w:rsid w:val="00F85FA4"/>
    <w:rsid w:val="00F864E4"/>
    <w:rsid w:val="00F86AA9"/>
    <w:rsid w:val="00F90A0C"/>
    <w:rsid w:val="00F90BCD"/>
    <w:rsid w:val="00F93825"/>
    <w:rsid w:val="00F94F3D"/>
    <w:rsid w:val="00FA17DA"/>
    <w:rsid w:val="00FA18BB"/>
    <w:rsid w:val="00FA2427"/>
    <w:rsid w:val="00FA2911"/>
    <w:rsid w:val="00FA5B14"/>
    <w:rsid w:val="00FA5EB5"/>
    <w:rsid w:val="00FB0C9E"/>
    <w:rsid w:val="00FB1DFF"/>
    <w:rsid w:val="00FB1E3F"/>
    <w:rsid w:val="00FB6E59"/>
    <w:rsid w:val="00FB7604"/>
    <w:rsid w:val="00FC22B5"/>
    <w:rsid w:val="00FC277C"/>
    <w:rsid w:val="00FC3163"/>
    <w:rsid w:val="00FD18DC"/>
    <w:rsid w:val="00FD2381"/>
    <w:rsid w:val="00FD387E"/>
    <w:rsid w:val="00FD4B58"/>
    <w:rsid w:val="00FD5AEF"/>
    <w:rsid w:val="00FD6507"/>
    <w:rsid w:val="00FD6DD9"/>
    <w:rsid w:val="00FD7552"/>
    <w:rsid w:val="00FD7D30"/>
    <w:rsid w:val="00FE1357"/>
    <w:rsid w:val="00FE3C1F"/>
    <w:rsid w:val="00FF093B"/>
    <w:rsid w:val="00FF210A"/>
    <w:rsid w:val="00FF2114"/>
    <w:rsid w:val="00FF2578"/>
    <w:rsid w:val="014C3E65"/>
    <w:rsid w:val="01770D33"/>
    <w:rsid w:val="024B1E3D"/>
    <w:rsid w:val="03E72DC2"/>
    <w:rsid w:val="04B71202"/>
    <w:rsid w:val="074748E2"/>
    <w:rsid w:val="0755125D"/>
    <w:rsid w:val="076E3CC8"/>
    <w:rsid w:val="07F23B65"/>
    <w:rsid w:val="081E3E0C"/>
    <w:rsid w:val="08476B83"/>
    <w:rsid w:val="08BF630A"/>
    <w:rsid w:val="094E5581"/>
    <w:rsid w:val="09B374BF"/>
    <w:rsid w:val="0AED489B"/>
    <w:rsid w:val="0B047BF2"/>
    <w:rsid w:val="0B6867F1"/>
    <w:rsid w:val="0D0B5099"/>
    <w:rsid w:val="0DF8189E"/>
    <w:rsid w:val="0F4911BB"/>
    <w:rsid w:val="10316B06"/>
    <w:rsid w:val="11E86A3A"/>
    <w:rsid w:val="12630A2B"/>
    <w:rsid w:val="12FC7412"/>
    <w:rsid w:val="13191130"/>
    <w:rsid w:val="148948B6"/>
    <w:rsid w:val="15242326"/>
    <w:rsid w:val="156914BF"/>
    <w:rsid w:val="15DB5A5F"/>
    <w:rsid w:val="17687DE0"/>
    <w:rsid w:val="19264205"/>
    <w:rsid w:val="19762C3A"/>
    <w:rsid w:val="1989643A"/>
    <w:rsid w:val="1B7E21EB"/>
    <w:rsid w:val="1B8C6F47"/>
    <w:rsid w:val="1C1D1D97"/>
    <w:rsid w:val="1E5E2A40"/>
    <w:rsid w:val="1FD26789"/>
    <w:rsid w:val="223C7E4A"/>
    <w:rsid w:val="24443E03"/>
    <w:rsid w:val="24D12F01"/>
    <w:rsid w:val="25BE239A"/>
    <w:rsid w:val="2664559F"/>
    <w:rsid w:val="26A25BF8"/>
    <w:rsid w:val="27916D8A"/>
    <w:rsid w:val="27AA71A9"/>
    <w:rsid w:val="27FA363A"/>
    <w:rsid w:val="281379AC"/>
    <w:rsid w:val="286A2A17"/>
    <w:rsid w:val="28D46B44"/>
    <w:rsid w:val="2A9911B7"/>
    <w:rsid w:val="2A9F57FE"/>
    <w:rsid w:val="2AAC254F"/>
    <w:rsid w:val="2B82337B"/>
    <w:rsid w:val="2E5A21BE"/>
    <w:rsid w:val="2EBE1020"/>
    <w:rsid w:val="30286FCF"/>
    <w:rsid w:val="302C6EEE"/>
    <w:rsid w:val="322518AC"/>
    <w:rsid w:val="34174980"/>
    <w:rsid w:val="35AD4929"/>
    <w:rsid w:val="36050BA4"/>
    <w:rsid w:val="382139C3"/>
    <w:rsid w:val="3B19643C"/>
    <w:rsid w:val="3B606BFF"/>
    <w:rsid w:val="3C1936AE"/>
    <w:rsid w:val="3C824CD1"/>
    <w:rsid w:val="3CAF41E9"/>
    <w:rsid w:val="3DDF6727"/>
    <w:rsid w:val="3E093DE7"/>
    <w:rsid w:val="3EA75868"/>
    <w:rsid w:val="42B67318"/>
    <w:rsid w:val="43171E14"/>
    <w:rsid w:val="44694DFA"/>
    <w:rsid w:val="44C51D8C"/>
    <w:rsid w:val="45473BDE"/>
    <w:rsid w:val="46265906"/>
    <w:rsid w:val="48CA35D5"/>
    <w:rsid w:val="48F24222"/>
    <w:rsid w:val="497428EC"/>
    <w:rsid w:val="4B2558A4"/>
    <w:rsid w:val="4B273867"/>
    <w:rsid w:val="4D40320D"/>
    <w:rsid w:val="4E725610"/>
    <w:rsid w:val="50A508C8"/>
    <w:rsid w:val="511E01BA"/>
    <w:rsid w:val="519B7B7D"/>
    <w:rsid w:val="5216150F"/>
    <w:rsid w:val="538D375C"/>
    <w:rsid w:val="547146BE"/>
    <w:rsid w:val="54877DE8"/>
    <w:rsid w:val="56760CB4"/>
    <w:rsid w:val="56985461"/>
    <w:rsid w:val="57845508"/>
    <w:rsid w:val="591E4008"/>
    <w:rsid w:val="59DE48E9"/>
    <w:rsid w:val="5A492A13"/>
    <w:rsid w:val="5B241E41"/>
    <w:rsid w:val="5BB00D21"/>
    <w:rsid w:val="5D8A219F"/>
    <w:rsid w:val="5DDD6699"/>
    <w:rsid w:val="5E235630"/>
    <w:rsid w:val="5E9C0983"/>
    <w:rsid w:val="5ECA5B4D"/>
    <w:rsid w:val="5F1F7041"/>
    <w:rsid w:val="60693B45"/>
    <w:rsid w:val="609C1173"/>
    <w:rsid w:val="61B66E73"/>
    <w:rsid w:val="62FD7D76"/>
    <w:rsid w:val="64824839"/>
    <w:rsid w:val="67953E16"/>
    <w:rsid w:val="68135ACD"/>
    <w:rsid w:val="6879083B"/>
    <w:rsid w:val="68AD1B31"/>
    <w:rsid w:val="68E41571"/>
    <w:rsid w:val="6AD52718"/>
    <w:rsid w:val="6EE92695"/>
    <w:rsid w:val="6FD67BE5"/>
    <w:rsid w:val="6FEC29BB"/>
    <w:rsid w:val="705C3733"/>
    <w:rsid w:val="711F0E96"/>
    <w:rsid w:val="714E68B4"/>
    <w:rsid w:val="71C00B85"/>
    <w:rsid w:val="7277435F"/>
    <w:rsid w:val="72CB5F01"/>
    <w:rsid w:val="73C66513"/>
    <w:rsid w:val="754A3125"/>
    <w:rsid w:val="75791CE7"/>
    <w:rsid w:val="76645390"/>
    <w:rsid w:val="76837CD0"/>
    <w:rsid w:val="77B67FD3"/>
    <w:rsid w:val="7ED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1"/>
    <w:basedOn w:val="1"/>
    <w:qFormat/>
    <w:uiPriority w:val="0"/>
    <w:pPr>
      <w:widowControl/>
    </w:pPr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1869</Characters>
  <Lines>15</Lines>
  <Paragraphs>4</Paragraphs>
  <TotalTime>1</TotalTime>
  <ScaleCrop>false</ScaleCrop>
  <LinksUpToDate>false</LinksUpToDate>
  <CharactersWithSpaces>2192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2018-03-16T08:43:00Z</dcterms:created>
  <dc:creator>Administrator</dc:creator>
  <cp:lastModifiedBy>宝贝猫</cp:lastModifiedBy>
  <cp:lastPrinted>2020-04-02T07:35:00Z</cp:lastPrinted>
  <dcterms:modified xsi:type="dcterms:W3CDTF">2021-09-09T01:18:36Z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615030126_btnclosed</vt:lpwstr>
  </property>
  <property fmtid="{D5CDD505-2E9C-101B-9397-08002B2CF9AE}" pid="4" name="ICV">
    <vt:lpwstr>80C22E22BD0A4FC1BF31B69F0223D61C</vt:lpwstr>
  </property>
</Properties>
</file>