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2E4F1">
      <w:pPr>
        <w:pStyle w:val="5"/>
        <w:spacing w:before="0" w:beforeAutospacing="0" w:after="0" w:afterAutospacing="0"/>
        <w:jc w:val="center"/>
        <w:rPr>
          <w:rFonts w:hint="default"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重庆市黔江区卫生健康发展中心</w:t>
      </w:r>
    </w:p>
    <w:p w14:paraId="67EE5685">
      <w:pPr>
        <w:pStyle w:val="5"/>
        <w:spacing w:before="0" w:beforeAutospacing="0" w:after="0" w:after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shd w:val="clear" w:color="auto" w:fill="FFFFFF"/>
        </w:rPr>
        <w:t>2024年度决算公开说明</w:t>
      </w:r>
    </w:p>
    <w:p w14:paraId="0029E499">
      <w:pPr>
        <w:pStyle w:val="5"/>
        <w:shd w:val="clear" w:color="auto" w:fill="FFFFFF"/>
        <w:spacing w:before="0" w:beforeAutospacing="0" w:after="0" w:afterAutospacing="0"/>
        <w:rPr>
          <w:rFonts w:hint="default" w:ascii="黑体" w:hAnsi="黑体" w:eastAsia="黑体" w:cs="黑体"/>
          <w:sz w:val="32"/>
          <w:szCs w:val="32"/>
        </w:rPr>
      </w:pPr>
      <w:r>
        <w:rPr>
          <w:rStyle w:val="9"/>
          <w:rFonts w:ascii="黑体" w:hAnsi="黑体" w:eastAsia="黑体" w:cs="黑体"/>
          <w:sz w:val="32"/>
          <w:szCs w:val="32"/>
          <w:shd w:val="clear" w:color="auto" w:fill="FFFFFF"/>
        </w:rPr>
        <w:t>一、部门基本情况</w:t>
      </w:r>
    </w:p>
    <w:p w14:paraId="623363AC">
      <w:pPr>
        <w:pStyle w:val="5"/>
        <w:shd w:val="clear" w:color="auto" w:fill="FFFFFF"/>
        <w:spacing w:before="0" w:beforeAutospacing="0" w:after="0" w:afterAutospacing="0"/>
        <w:ind w:firstLine="420"/>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（一）职能职责</w:t>
      </w:r>
    </w:p>
    <w:p w14:paraId="6883B020">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eastAsia="方正仿宋_GBK"/>
          <w:sz w:val="32"/>
          <w:szCs w:val="32"/>
        </w:rPr>
        <w:t>主要职能职责是：</w:t>
      </w:r>
      <w:r>
        <w:rPr>
          <w:rFonts w:ascii="方正仿宋_GBK" w:hAnsi="微软雅黑" w:eastAsia="方正仿宋_GBK"/>
          <w:color w:val="333333"/>
          <w:sz w:val="32"/>
          <w:szCs w:val="32"/>
          <w:shd w:val="clear" w:color="auto" w:fill="FFFFFF"/>
        </w:rPr>
        <w:t>协助主管部门开展医疗卫生机构贯彻落实重庆市城市紧密型医共体、区县域医共体“三通”建设，基层医疗卫生机构基本医疗和公共卫生，以及全区卫生健康信息化建设和服务等事务性工作。承担全区干部保健业务工作。在保持基层医疗卫生机构（含乡镇卫生院和卫生服务中心，下同）资产所有权和使用权不变的前提下，负责对全区基层卫生机构的资金进行集中管理、分户核算，分别建立会计档案；集中办理基层医疗卫生机构的会计事务、财务核算，实行收支预算管理；负责基层卫生机构票据、会计档案的管理工作。承担全区计划生育药具的计划管理、采购管理、经费管理、供应发放、随访服务等事务性工作。协助主管部门开展医院发展规划制定和实施，医疗卫生机构绩效考核等事务性工作。协助主管部门开展全区卫生健康宣传教育等事务性工作。完成区卫生健康委交办的其他事项。</w:t>
      </w:r>
    </w:p>
    <w:p w14:paraId="1F08A068">
      <w:pPr>
        <w:pStyle w:val="5"/>
        <w:shd w:val="clear" w:color="auto" w:fill="FFFFFF"/>
        <w:spacing w:before="0" w:beforeAutospacing="0" w:after="0" w:afterAutospacing="0"/>
        <w:ind w:firstLine="420"/>
        <w:rPr>
          <w:rFonts w:hint="default" w:ascii="楷体" w:hAnsi="楷体" w:eastAsia="楷体" w:cs="楷体"/>
          <w:sz w:val="32"/>
          <w:szCs w:val="32"/>
        </w:rPr>
      </w:pPr>
      <w:r>
        <w:rPr>
          <w:rStyle w:val="9"/>
          <w:rFonts w:ascii="楷体" w:hAnsi="楷体" w:eastAsia="楷体" w:cs="楷体"/>
          <w:sz w:val="32"/>
          <w:szCs w:val="32"/>
          <w:shd w:val="clear" w:color="auto" w:fill="FFFFFF"/>
        </w:rPr>
        <w:t>（二）机构设置</w:t>
      </w:r>
    </w:p>
    <w:p w14:paraId="538BF8BD">
      <w:pPr>
        <w:spacing w:line="560" w:lineRule="exact"/>
        <w:ind w:firstLine="640" w:firstLineChars="200"/>
        <w:jc w:val="both"/>
        <w:rPr>
          <w:rFonts w:hint="default" w:ascii="方正仿宋_GBK" w:eastAsia="方正仿宋_GBK"/>
          <w:sz w:val="32"/>
          <w:szCs w:val="32"/>
        </w:rPr>
      </w:pPr>
      <w:r>
        <w:rPr>
          <w:rFonts w:ascii="方正仿宋_GBK" w:eastAsia="方正仿宋_GBK"/>
          <w:sz w:val="32"/>
          <w:szCs w:val="32"/>
        </w:rPr>
        <w:t>中心下设行政后勤、财务核算、综合督导三个业务科室；年末在编职工12名。</w:t>
      </w:r>
    </w:p>
    <w:p w14:paraId="44DC2658">
      <w:pPr>
        <w:pStyle w:val="5"/>
        <w:shd w:val="clear" w:color="auto" w:fill="FFFFFF"/>
        <w:spacing w:before="0" w:beforeAutospacing="0" w:after="0" w:afterAutospacing="0"/>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二、部门决算情况说明</w:t>
      </w:r>
    </w:p>
    <w:p w14:paraId="449409B9">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（一）收入支出决算总体情况说明。</w:t>
      </w:r>
    </w:p>
    <w:p w14:paraId="7E45E082">
      <w:pPr>
        <w:pStyle w:val="5"/>
        <w:shd w:val="clear" w:color="auto" w:fill="FFFFFF"/>
        <w:spacing w:before="0" w:beforeAutospacing="0" w:after="0" w:afterAutospacing="0"/>
        <w:ind w:firstLine="643" w:firstLineChars="200"/>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2024年度收入总计421.14万元，支出总计</w:t>
      </w:r>
      <w:r>
        <w:rPr>
          <w:rFonts w:ascii="方正仿宋_GBK" w:hAnsi="方正仿宋_GBK" w:eastAsia="方正仿宋_GBK" w:cs="方正仿宋_GBK"/>
          <w:sz w:val="32"/>
          <w:szCs w:val="32"/>
        </w:rPr>
        <w:t>421.14</w:t>
      </w:r>
      <w:r>
        <w:rPr>
          <w:rFonts w:ascii="方正仿宋_GBK" w:hAnsi="方正仿宋_GBK" w:eastAsia="方正仿宋_GBK" w:cs="方正仿宋_GBK"/>
          <w:sz w:val="32"/>
          <w:szCs w:val="32"/>
          <w:shd w:val="clear" w:color="auto" w:fill="FFFFFF"/>
        </w:rPr>
        <w:t>万元。收、支与2023年度相比，增加421.14万元，增长100.0%，主要原因是</w:t>
      </w:r>
      <w:r>
        <w:rPr>
          <w:rFonts w:hint="eastAsia" w:ascii="方正仿宋_GBK" w:hAnsi="方正仿宋_GBK" w:eastAsia="方正仿宋_GBK" w:cs="方正仿宋_GBK"/>
          <w:sz w:val="32"/>
          <w:szCs w:val="32"/>
          <w:shd w:val="clear" w:color="auto" w:fill="FFFFFF"/>
          <w:lang w:val="en-US" w:eastAsia="zh-CN"/>
        </w:rPr>
        <w:t>因机构改革，原黔江区药械管理中心和黔江区基层医疗机构财务服务中心合并为黔江区卫生健康发展中心</w:t>
      </w:r>
      <w:r>
        <w:rPr>
          <w:rFonts w:ascii="方正仿宋_GBK" w:hAnsi="方正仿宋_GBK" w:eastAsia="方正仿宋_GBK" w:cs="方正仿宋_GBK"/>
          <w:sz w:val="32"/>
          <w:szCs w:val="32"/>
          <w:shd w:val="clear" w:color="auto" w:fill="FFFFFF"/>
        </w:rPr>
        <w:t>，单位收、支</w:t>
      </w:r>
      <w:r>
        <w:rPr>
          <w:rFonts w:hint="eastAsia" w:ascii="方正仿宋_GBK" w:hAnsi="方正仿宋_GBK" w:eastAsia="方正仿宋_GBK" w:cs="方正仿宋_GBK"/>
          <w:sz w:val="32"/>
          <w:szCs w:val="32"/>
          <w:shd w:val="clear" w:color="auto" w:fill="FFFFFF"/>
          <w:lang w:val="en-US" w:eastAsia="zh-CN"/>
        </w:rPr>
        <w:t>同时</w:t>
      </w:r>
      <w:r>
        <w:rPr>
          <w:rFonts w:ascii="方正仿宋_GBK" w:hAnsi="方正仿宋_GBK" w:eastAsia="方正仿宋_GBK" w:cs="方正仿宋_GBK"/>
          <w:sz w:val="32"/>
          <w:szCs w:val="32"/>
          <w:shd w:val="clear" w:color="auto" w:fill="FFFFFF"/>
        </w:rPr>
        <w:t>增长100%。</w:t>
      </w:r>
    </w:p>
    <w:p w14:paraId="59C2E76B">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2024年度收入合计421.14万元，与2023年度相比，增加421.14万元，增长100.0%，主要原因是本单位为2024年新设立单位。其中：财政拨款收入</w:t>
      </w:r>
      <w:r>
        <w:rPr>
          <w:rFonts w:ascii="方正仿宋_GBK" w:hAnsi="方正仿宋_GBK" w:eastAsia="方正仿宋_GBK" w:cs="方正仿宋_GBK"/>
          <w:sz w:val="32"/>
          <w:szCs w:val="32"/>
        </w:rPr>
        <w:t>421.14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w:t>
      </w:r>
    </w:p>
    <w:p w14:paraId="2534C804">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421.14</w:t>
      </w:r>
      <w:r>
        <w:rPr>
          <w:rFonts w:ascii="方正仿宋_GBK" w:hAnsi="方正仿宋_GBK" w:eastAsia="方正仿宋_GBK" w:cs="方正仿宋_GBK"/>
          <w:sz w:val="32"/>
          <w:szCs w:val="32"/>
          <w:shd w:val="clear" w:color="auto" w:fill="FFFFFF"/>
        </w:rPr>
        <w:t>万元，与2023年度相比，增加421.14万元，增长100.0%，主要原因是本单位为2024年新设立单位。其中：基本支出</w:t>
      </w:r>
      <w:r>
        <w:rPr>
          <w:rFonts w:ascii="方正仿宋_GBK" w:hAnsi="方正仿宋_GBK" w:eastAsia="方正仿宋_GBK" w:cs="方正仿宋_GBK"/>
          <w:sz w:val="32"/>
          <w:szCs w:val="32"/>
        </w:rPr>
        <w:t>292.57</w:t>
      </w:r>
      <w:r>
        <w:rPr>
          <w:rFonts w:ascii="方正仿宋_GBK" w:hAnsi="方正仿宋_GBK" w:eastAsia="方正仿宋_GBK" w:cs="方正仿宋_GBK"/>
          <w:sz w:val="32"/>
          <w:szCs w:val="32"/>
          <w:shd w:val="clear" w:color="auto" w:fill="FFFFFF"/>
        </w:rPr>
        <w:t>万元，占69.47%；项目支出</w:t>
      </w:r>
      <w:r>
        <w:rPr>
          <w:rFonts w:ascii="方正仿宋_GBK" w:hAnsi="方正仿宋_GBK" w:eastAsia="方正仿宋_GBK" w:cs="方正仿宋_GBK"/>
          <w:sz w:val="32"/>
          <w:szCs w:val="32"/>
        </w:rPr>
        <w:t>128.57</w:t>
      </w:r>
      <w:r>
        <w:rPr>
          <w:rFonts w:ascii="方正仿宋_GBK" w:hAnsi="方正仿宋_GBK" w:eastAsia="方正仿宋_GBK" w:cs="方正仿宋_GBK"/>
          <w:sz w:val="32"/>
          <w:szCs w:val="32"/>
          <w:shd w:val="clear" w:color="auto" w:fill="FFFFFF"/>
        </w:rPr>
        <w:t>万元，占30.53%。</w:t>
      </w:r>
    </w:p>
    <w:p w14:paraId="74EA1A9D">
      <w:pPr>
        <w:pStyle w:val="5"/>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lang w:eastAsia="zh-CN"/>
        </w:rPr>
      </w:pPr>
      <w:r>
        <w:rPr>
          <w:rStyle w:val="9"/>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14:paraId="540BFF15">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（二）财政拨款收入支出决算总体情况说明</w:t>
      </w:r>
    </w:p>
    <w:p w14:paraId="6B45A0D1">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2024年度财政拨款收、支总计421.14万元。与2023年相比，财政拨款收、支总计各增加421.14万元，增长100.0%。主要原因是</w:t>
      </w:r>
      <w:r>
        <w:rPr>
          <w:rFonts w:hint="eastAsia" w:ascii="方正仿宋_GBK" w:hAnsi="方正仿宋_GBK" w:eastAsia="方正仿宋_GBK" w:cs="方正仿宋_GBK"/>
          <w:sz w:val="32"/>
          <w:szCs w:val="32"/>
          <w:shd w:val="clear" w:color="auto" w:fill="FFFFFF"/>
          <w:lang w:val="en-US" w:eastAsia="zh-CN"/>
        </w:rPr>
        <w:t>因机构改革，原黔江区药械管理中心和黔江区基层医疗机构财务服务中心合并为黔江区卫生健康发展中心</w:t>
      </w:r>
      <w:r>
        <w:rPr>
          <w:rFonts w:ascii="方正仿宋_GBK" w:hAnsi="方正仿宋_GBK" w:eastAsia="方正仿宋_GBK" w:cs="方正仿宋_GBK"/>
          <w:sz w:val="32"/>
          <w:szCs w:val="32"/>
          <w:shd w:val="clear" w:color="auto" w:fill="FFFFFF"/>
        </w:rPr>
        <w:t>。</w:t>
      </w:r>
    </w:p>
    <w:p w14:paraId="69376A1C">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（三）一般公共预算财政拨款收入支出决算情况说明</w:t>
      </w:r>
    </w:p>
    <w:p w14:paraId="0DEE9B80">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421.14</w:t>
      </w:r>
      <w:r>
        <w:rPr>
          <w:rFonts w:ascii="方正仿宋_GBK" w:hAnsi="方正仿宋_GBK" w:eastAsia="方正仿宋_GBK" w:cs="方正仿宋_GBK"/>
          <w:sz w:val="32"/>
          <w:szCs w:val="32"/>
          <w:shd w:val="clear" w:color="auto" w:fill="FFFFFF"/>
        </w:rPr>
        <w:t>万元，与2023年度相比，增加421.14万元，增长100.0%。主要原因是</w:t>
      </w:r>
      <w:r>
        <w:rPr>
          <w:rFonts w:hint="eastAsia" w:ascii="方正仿宋_GBK" w:hAnsi="方正仿宋_GBK" w:eastAsia="方正仿宋_GBK" w:cs="方正仿宋_GBK"/>
          <w:sz w:val="32"/>
          <w:szCs w:val="32"/>
          <w:shd w:val="clear" w:color="auto" w:fill="FFFFFF"/>
          <w:lang w:val="en-US" w:eastAsia="zh-CN"/>
        </w:rPr>
        <w:t>因机构改革，原黔江区药械管理中心和黔江区基层医疗机构财务服务中心合并为黔江区卫生健康发展中心</w:t>
      </w:r>
      <w:r>
        <w:rPr>
          <w:rFonts w:ascii="方正仿宋_GBK" w:hAnsi="方正仿宋_GBK" w:eastAsia="方正仿宋_GBK" w:cs="方正仿宋_GBK"/>
          <w:sz w:val="32"/>
          <w:szCs w:val="32"/>
          <w:shd w:val="clear" w:color="auto" w:fill="FFFFFF"/>
        </w:rPr>
        <w:t>。较年初预算数增加150.28万元，增长55.5%。主要原因是</w:t>
      </w:r>
      <w:r>
        <w:rPr>
          <w:rFonts w:ascii="方正仿宋_GBK" w:eastAsia="方正仿宋_GBK"/>
          <w:sz w:val="32"/>
          <w:szCs w:val="32"/>
        </w:rPr>
        <w:t>增加厅级干部医疗费补助收入。</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15D0437C">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421.14</w:t>
      </w:r>
      <w:r>
        <w:rPr>
          <w:rFonts w:ascii="方正仿宋_GBK" w:hAnsi="方正仿宋_GBK" w:eastAsia="方正仿宋_GBK" w:cs="方正仿宋_GBK"/>
          <w:sz w:val="32"/>
          <w:szCs w:val="32"/>
          <w:shd w:val="clear" w:color="auto" w:fill="FFFFFF"/>
        </w:rPr>
        <w:t>万元，与2023年度相比，增加421.14万元，增长100.0%。主要原因是</w:t>
      </w:r>
      <w:r>
        <w:rPr>
          <w:rFonts w:hint="eastAsia" w:ascii="方正仿宋_GBK" w:hAnsi="方正仿宋_GBK" w:eastAsia="方正仿宋_GBK" w:cs="方正仿宋_GBK"/>
          <w:sz w:val="32"/>
          <w:szCs w:val="32"/>
          <w:shd w:val="clear" w:color="auto" w:fill="FFFFFF"/>
          <w:lang w:val="en-US" w:eastAsia="zh-CN"/>
        </w:rPr>
        <w:t>因机构改革，原黔江区药械管理中心和黔江区基层医疗机构财务服务中心合并为黔江区卫生健康发展中心</w:t>
      </w:r>
      <w:r>
        <w:rPr>
          <w:rFonts w:ascii="方正仿宋_GBK" w:hAnsi="方正仿宋_GBK" w:eastAsia="方正仿宋_GBK" w:cs="方正仿宋_GBK"/>
          <w:sz w:val="32"/>
          <w:szCs w:val="32"/>
          <w:shd w:val="clear" w:color="auto" w:fill="FFFFFF"/>
        </w:rPr>
        <w:t>。较年初预算数增加150.28万元，增长55.5%。主要原因是</w:t>
      </w:r>
      <w:r>
        <w:rPr>
          <w:rFonts w:ascii="方正仿宋_GBK" w:eastAsia="方正仿宋_GBK"/>
          <w:sz w:val="32"/>
          <w:szCs w:val="32"/>
        </w:rPr>
        <w:t>增加厅级干部医疗费补助收入</w:t>
      </w:r>
      <w:r>
        <w:rPr>
          <w:rFonts w:ascii="方正仿宋_GBK" w:hAnsi="方正仿宋_GBK" w:eastAsia="方正仿宋_GBK" w:cs="方正仿宋_GBK"/>
          <w:sz w:val="32"/>
          <w:szCs w:val="32"/>
          <w:shd w:val="clear" w:color="auto" w:fill="FFFFFF"/>
        </w:rPr>
        <w:t>。</w:t>
      </w:r>
    </w:p>
    <w:p w14:paraId="71B9B88C">
      <w:pPr>
        <w:pStyle w:val="5"/>
        <w:snapToGrid w:val="0"/>
        <w:spacing w:before="0" w:beforeAutospacing="0" w:after="0" w:afterAutospacing="0" w:line="600" w:lineRule="exact"/>
        <w:ind w:firstLine="803" w:firstLineChars="25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万元，与2023年度相比，无增减，主要原因是本单位2024年度年末无一般公共预算财政拨款结转和结余。</w:t>
      </w:r>
    </w:p>
    <w:p w14:paraId="7CE9BE27">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9"/>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本部门2024年度一般公共预算财政拨款支出主要用于以下几个方面：</w:t>
      </w:r>
    </w:p>
    <w:p w14:paraId="2E30E291">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（1）社会保障与就业支出</w:t>
      </w:r>
      <w:r>
        <w:rPr>
          <w:rFonts w:ascii="方正仿宋_GBK" w:hAnsi="方正仿宋_GBK" w:eastAsia="方正仿宋_GBK" w:cs="方正仿宋_GBK"/>
          <w:sz w:val="32"/>
          <w:szCs w:val="32"/>
        </w:rPr>
        <w:t>44.26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10.51</w:t>
      </w:r>
      <w:r>
        <w:rPr>
          <w:rFonts w:ascii="方正仿宋_GBK" w:hAnsi="方正仿宋_GBK" w:eastAsia="方正仿宋_GBK" w:cs="方正仿宋_GBK"/>
          <w:sz w:val="32"/>
          <w:szCs w:val="32"/>
          <w:shd w:val="clear" w:color="auto" w:fill="FFFFFF"/>
        </w:rPr>
        <w:t>%，较年初预算数增加13.41万元，增长43.5%，主要原因是</w:t>
      </w:r>
      <w:r>
        <w:rPr>
          <w:rFonts w:ascii="方正仿宋_GBK" w:eastAsia="方正仿宋_GBK"/>
          <w:sz w:val="32"/>
          <w:szCs w:val="32"/>
        </w:rPr>
        <w:t>调整年初预算支出</w:t>
      </w:r>
      <w:r>
        <w:rPr>
          <w:rFonts w:ascii="方正仿宋_GBK" w:hAnsi="方正仿宋_GBK" w:eastAsia="方正仿宋_GBK" w:cs="方正仿宋_GBK"/>
          <w:sz w:val="32"/>
          <w:szCs w:val="32"/>
          <w:shd w:val="clear" w:color="auto" w:fill="FFFFFF"/>
        </w:rPr>
        <w:t>。</w:t>
      </w:r>
    </w:p>
    <w:p w14:paraId="2470AD05">
      <w:pPr>
        <w:pStyle w:val="5"/>
        <w:snapToGrid w:val="0"/>
        <w:spacing w:before="0" w:beforeAutospacing="0" w:after="0" w:afterAutospacing="0" w:line="600" w:lineRule="exact"/>
        <w:ind w:firstLine="640" w:firstLineChars="200"/>
        <w:jc w:val="both"/>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（2）卫生健康支出</w:t>
      </w:r>
      <w:r>
        <w:rPr>
          <w:rFonts w:ascii="方正仿宋_GBK" w:hAnsi="方正仿宋_GBK" w:eastAsia="方正仿宋_GBK" w:cs="方正仿宋_GBK"/>
          <w:sz w:val="32"/>
          <w:szCs w:val="32"/>
        </w:rPr>
        <w:t>362.60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86.10</w:t>
      </w:r>
      <w:r>
        <w:rPr>
          <w:rFonts w:ascii="方正仿宋_GBK" w:hAnsi="方正仿宋_GBK" w:eastAsia="方正仿宋_GBK" w:cs="方正仿宋_GBK"/>
          <w:sz w:val="32"/>
          <w:szCs w:val="32"/>
          <w:shd w:val="clear" w:color="auto" w:fill="FFFFFF"/>
        </w:rPr>
        <w:t>%，较年初预算数增加136.87万元，增长60.6%，主要原因是</w:t>
      </w:r>
      <w:r>
        <w:rPr>
          <w:rFonts w:ascii="方正仿宋_GBK" w:eastAsia="方正仿宋_GBK"/>
          <w:sz w:val="32"/>
          <w:szCs w:val="32"/>
        </w:rPr>
        <w:t>增加厅级干部医疗费补助收入等</w:t>
      </w:r>
      <w:r>
        <w:rPr>
          <w:rFonts w:ascii="方正仿宋_GBK" w:hAnsi="方正仿宋_GBK" w:eastAsia="方正仿宋_GBK" w:cs="方正仿宋_GBK"/>
          <w:sz w:val="32"/>
          <w:szCs w:val="32"/>
          <w:shd w:val="clear" w:color="auto" w:fill="FFFFFF"/>
        </w:rPr>
        <w:t>。</w:t>
      </w:r>
    </w:p>
    <w:p w14:paraId="11AA5237">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rPr>
        <w:t>住房保障支出14.28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3.39</w:t>
      </w:r>
      <w:r>
        <w:rPr>
          <w:rFonts w:ascii="方正仿宋_GBK" w:hAnsi="方正仿宋_GBK" w:eastAsia="方正仿宋_GBK" w:cs="方正仿宋_GBK"/>
          <w:sz w:val="32"/>
          <w:szCs w:val="32"/>
          <w:shd w:val="clear" w:color="auto" w:fill="FFFFFF"/>
        </w:rPr>
        <w:t>%，较年初预算数无增减。</w:t>
      </w:r>
    </w:p>
    <w:p w14:paraId="284C3B5D">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（四）一般公共预算财政拨款基本支出决算情况说明</w:t>
      </w:r>
    </w:p>
    <w:p w14:paraId="0F8E1915">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292.57</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277.12</w:t>
      </w:r>
      <w:r>
        <w:rPr>
          <w:rFonts w:ascii="方正仿宋_GBK" w:hAnsi="方正仿宋_GBK" w:eastAsia="方正仿宋_GBK" w:cs="方正仿宋_GBK"/>
          <w:sz w:val="32"/>
          <w:szCs w:val="32"/>
          <w:shd w:val="clear" w:color="auto" w:fill="FFFFFF"/>
        </w:rPr>
        <w:t>万元，与2023年度相比，增加277.12万元，增长100.0%，主要原因是</w:t>
      </w:r>
      <w:r>
        <w:rPr>
          <w:rFonts w:hint="eastAsia" w:ascii="方正仿宋_GBK" w:hAnsi="方正仿宋_GBK" w:eastAsia="方正仿宋_GBK" w:cs="方正仿宋_GBK"/>
          <w:sz w:val="32"/>
          <w:szCs w:val="32"/>
          <w:shd w:val="clear" w:color="auto" w:fill="FFFFFF"/>
          <w:lang w:val="en-US" w:eastAsia="zh-CN"/>
        </w:rPr>
        <w:t>因机构改革，原黔江区药械管理中心和黔江区基层医疗机构财务服务中心合并为黔江区卫生健康发展中心</w:t>
      </w:r>
      <w:r>
        <w:rPr>
          <w:rFonts w:ascii="方正仿宋_GBK" w:hAnsi="方正仿宋_GBK" w:eastAsia="方正仿宋_GBK" w:cs="方正仿宋_GBK"/>
          <w:sz w:val="32"/>
          <w:szCs w:val="32"/>
          <w:shd w:val="clear" w:color="auto" w:fill="FFFFFF"/>
        </w:rPr>
        <w:t>。人员经费用途主要包括</w:t>
      </w:r>
      <w:r>
        <w:rPr>
          <w:rFonts w:ascii="方正仿宋_GBK" w:eastAsia="方正仿宋_GBK"/>
          <w:sz w:val="32"/>
          <w:szCs w:val="32"/>
        </w:rPr>
        <w:t>人员工资、社会保障缴费、住房公积金等支出。</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15.45</w:t>
      </w:r>
      <w:r>
        <w:rPr>
          <w:rFonts w:ascii="方正仿宋_GBK" w:hAnsi="方正仿宋_GBK" w:eastAsia="方正仿宋_GBK" w:cs="方正仿宋_GBK"/>
          <w:sz w:val="32"/>
          <w:szCs w:val="32"/>
          <w:shd w:val="clear" w:color="auto" w:fill="FFFFFF"/>
        </w:rPr>
        <w:t>万元，与2023年度相比，增加15.45万元，增长100.0%，主要原因是</w:t>
      </w:r>
      <w:r>
        <w:rPr>
          <w:rFonts w:hint="eastAsia" w:ascii="方正仿宋_GBK" w:hAnsi="方正仿宋_GBK" w:eastAsia="方正仿宋_GBK" w:cs="方正仿宋_GBK"/>
          <w:sz w:val="32"/>
          <w:szCs w:val="32"/>
          <w:shd w:val="clear" w:color="auto" w:fill="FFFFFF"/>
          <w:lang w:val="en-US" w:eastAsia="zh-CN"/>
        </w:rPr>
        <w:t>因机构改革，原黔江区药械管理中心和黔江区基层医疗机构财务服务中心合并为黔江区卫生健康发展中心</w:t>
      </w:r>
      <w:r>
        <w:rPr>
          <w:rFonts w:ascii="方正仿宋_GBK" w:hAnsi="方正仿宋_GBK" w:eastAsia="方正仿宋_GBK" w:cs="方正仿宋_GBK"/>
          <w:sz w:val="32"/>
          <w:szCs w:val="32"/>
          <w:shd w:val="clear" w:color="auto" w:fill="FFFFFF"/>
        </w:rPr>
        <w:t>。公用经费用途主要包括办公费、培训经费及工会经费</w:t>
      </w:r>
      <w:r>
        <w:rPr>
          <w:rFonts w:hint="eastAsia" w:ascii="方正仿宋_GBK" w:hAnsi="方正仿宋_GBK" w:eastAsia="方正仿宋_GBK" w:cs="方正仿宋_GBK"/>
          <w:sz w:val="32"/>
          <w:szCs w:val="32"/>
          <w:shd w:val="clear" w:color="auto" w:fill="FFFFFF"/>
          <w:lang w:val="en-US" w:eastAsia="zh-CN"/>
        </w:rPr>
        <w:t>等单位日常运行支出</w:t>
      </w:r>
      <w:r>
        <w:rPr>
          <w:rFonts w:ascii="方正仿宋_GBK" w:hAnsi="方正仿宋_GBK" w:eastAsia="方正仿宋_GBK" w:cs="方正仿宋_GBK"/>
          <w:sz w:val="32"/>
          <w:szCs w:val="32"/>
          <w:shd w:val="clear" w:color="auto" w:fill="FFFFFF"/>
        </w:rPr>
        <w:t>。</w:t>
      </w:r>
    </w:p>
    <w:p w14:paraId="5964FA3E">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（五）政府性基金预算收支决算情况说明</w:t>
      </w:r>
    </w:p>
    <w:p w14:paraId="23D92D31">
      <w:pPr>
        <w:pStyle w:val="5"/>
        <w:shd w:val="clear" w:color="auto" w:fill="FFFFFF"/>
        <w:spacing w:before="0" w:beforeAutospacing="0" w:after="0" w:afterAutospacing="0" w:line="560" w:lineRule="exact"/>
        <w:ind w:firstLine="960" w:firstLineChars="300"/>
        <w:jc w:val="both"/>
        <w:rPr>
          <w:rFonts w:hint="default" w:ascii="方正仿宋_GBK" w:eastAsia="方正仿宋_GBK"/>
          <w:sz w:val="32"/>
          <w:szCs w:val="32"/>
        </w:rPr>
      </w:pPr>
      <w:r>
        <w:rPr>
          <w:rFonts w:ascii="方正仿宋_GBK" w:eastAsia="方正仿宋_GBK"/>
          <w:sz w:val="32"/>
          <w:szCs w:val="32"/>
        </w:rPr>
        <w:t>本单位2024年度无政府性基金预算财政拨款收支。</w:t>
      </w:r>
    </w:p>
    <w:p w14:paraId="7F91715B">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（六）国有资本经营预算财政拨款支出决算情况说明</w:t>
      </w:r>
    </w:p>
    <w:p w14:paraId="09B6BAFB">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ascii="方正仿宋_GBK" w:eastAsia="方正仿宋_GBK"/>
          <w:sz w:val="32"/>
          <w:szCs w:val="32"/>
        </w:rPr>
        <w:t>本单位2024年度无国有资本经营预算财政拨款支出。</w:t>
      </w:r>
    </w:p>
    <w:p w14:paraId="422FD9AB">
      <w:pPr>
        <w:pStyle w:val="5"/>
        <w:shd w:val="clear" w:color="auto" w:fill="FFFFFF"/>
        <w:spacing w:before="0" w:beforeAutospacing="0" w:after="0" w:afterAutospacing="0"/>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三、“三公”经费情况说明</w:t>
      </w:r>
    </w:p>
    <w:p w14:paraId="5FD9A5AF">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（一）“三公”经费支出总体情况说明</w:t>
      </w:r>
    </w:p>
    <w:p w14:paraId="3BB61892">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万元，较年初预算数减少2.86万元，下降100.0%，主要原因是本单位从严控制“三公”经费，公务用车报废，无相关“三公”经费支出。</w:t>
      </w:r>
    </w:p>
    <w:p w14:paraId="53D96564">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（二）“三公”经费分项支出情况</w:t>
      </w:r>
    </w:p>
    <w:p w14:paraId="3E5922CB">
      <w:pPr>
        <w:pStyle w:val="11"/>
        <w:autoSpaceDE w:val="0"/>
        <w:autoSpaceDN/>
        <w:adjustRightInd w:val="0"/>
        <w:snapToGrid w:val="0"/>
        <w:spacing w:before="0" w:beforeAutospacing="0" w:after="30" w:afterAutospacing="0" w:line="560" w:lineRule="exact"/>
        <w:ind w:left="177" w:right="0" w:firstLine="640" w:firstLineChars="200"/>
        <w:outlineLvl w:val="0"/>
        <w:rPr>
          <w:rFonts w:hint="eastAsia" w:ascii="方正仿宋_GBK" w:hAnsi="方正仿宋_GBK" w:eastAsia="方正仿宋_GBK" w:cs="方正仿宋_GBK"/>
          <w:color w:val="000000"/>
          <w:kern w:val="0"/>
          <w:sz w:val="32"/>
          <w:szCs w:val="32"/>
          <w:shd w:val="clear" w:fill="FFFFFF"/>
        </w:rPr>
      </w:pPr>
      <w:r>
        <w:rPr>
          <w:rFonts w:hint="eastAsia" w:ascii="方正仿宋_GBK" w:hAnsi="方正仿宋_GBK" w:eastAsia="方正仿宋_GBK" w:cs="方正仿宋_GBK"/>
          <w:color w:val="000000"/>
          <w:kern w:val="0"/>
          <w:sz w:val="32"/>
          <w:szCs w:val="32"/>
          <w:shd w:val="clear" w:fill="FFFFFF"/>
        </w:rPr>
        <w:t>本</w:t>
      </w:r>
      <w:r>
        <w:rPr>
          <w:rFonts w:hint="eastAsia" w:ascii="方正仿宋_GBK" w:hAnsi="方正仿宋_GBK" w:eastAsia="方正仿宋_GBK" w:cs="方正仿宋_GBK"/>
          <w:color w:val="000000"/>
          <w:kern w:val="0"/>
          <w:sz w:val="32"/>
          <w:szCs w:val="32"/>
          <w:shd w:val="clear" w:fill="FFFFFF"/>
          <w:lang w:val="en-US" w:eastAsia="zh-CN"/>
        </w:rPr>
        <w:t>单位</w:t>
      </w:r>
      <w:r>
        <w:rPr>
          <w:rFonts w:hint="eastAsia" w:ascii="方正仿宋_GBK" w:hAnsi="方正仿宋_GBK" w:eastAsia="方正仿宋_GBK" w:cs="方正仿宋_GBK"/>
          <w:color w:val="000000"/>
          <w:kern w:val="0"/>
          <w:sz w:val="32"/>
          <w:szCs w:val="32"/>
          <w:shd w:val="clear" w:fill="FFFFFF"/>
        </w:rPr>
        <w:t>202</w:t>
      </w:r>
      <w:r>
        <w:rPr>
          <w:rFonts w:hint="eastAsia" w:ascii="方正仿宋_GBK" w:hAnsi="方正仿宋_GBK" w:eastAsia="方正仿宋_GBK" w:cs="方正仿宋_GBK"/>
          <w:color w:val="000000"/>
          <w:kern w:val="0"/>
          <w:sz w:val="32"/>
          <w:szCs w:val="32"/>
          <w:shd w:val="clear" w:fill="FFFFFF"/>
          <w:lang w:val="en-US" w:eastAsia="zh-CN"/>
        </w:rPr>
        <w:t>4</w:t>
      </w:r>
      <w:r>
        <w:rPr>
          <w:rFonts w:hint="eastAsia" w:ascii="方正仿宋_GBK" w:hAnsi="方正仿宋_GBK" w:eastAsia="方正仿宋_GBK" w:cs="方正仿宋_GBK"/>
          <w:color w:val="000000"/>
          <w:kern w:val="0"/>
          <w:sz w:val="32"/>
          <w:szCs w:val="32"/>
          <w:shd w:val="clear" w:fill="FFFFFF"/>
        </w:rPr>
        <w:t>年度未发生因公出国（境）费用。</w:t>
      </w:r>
    </w:p>
    <w:p w14:paraId="46BC6837">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color w:val="000000"/>
          <w:kern w:val="0"/>
          <w:sz w:val="32"/>
          <w:szCs w:val="32"/>
          <w:shd w:val="clear" w:fill="FFFFFF"/>
        </w:rPr>
        <w:t>本</w:t>
      </w:r>
      <w:r>
        <w:rPr>
          <w:rFonts w:hint="eastAsia" w:ascii="方正仿宋_GBK" w:hAnsi="方正仿宋_GBK" w:eastAsia="方正仿宋_GBK" w:cs="方正仿宋_GBK"/>
          <w:color w:val="000000"/>
          <w:kern w:val="0"/>
          <w:sz w:val="32"/>
          <w:szCs w:val="32"/>
          <w:shd w:val="clear" w:fill="FFFFFF"/>
          <w:lang w:val="en-US" w:eastAsia="zh-CN"/>
        </w:rPr>
        <w:t>单位</w:t>
      </w:r>
      <w:r>
        <w:rPr>
          <w:rFonts w:hint="eastAsia" w:ascii="方正仿宋_GBK" w:hAnsi="方正仿宋_GBK" w:eastAsia="方正仿宋_GBK" w:cs="方正仿宋_GBK"/>
          <w:color w:val="000000"/>
          <w:kern w:val="0"/>
          <w:sz w:val="32"/>
          <w:szCs w:val="32"/>
          <w:shd w:val="clear" w:fill="FFFFFF"/>
        </w:rPr>
        <w:t>202</w:t>
      </w:r>
      <w:r>
        <w:rPr>
          <w:rFonts w:hint="eastAsia" w:ascii="方正仿宋_GBK" w:hAnsi="方正仿宋_GBK" w:eastAsia="方正仿宋_GBK" w:cs="方正仿宋_GBK"/>
          <w:color w:val="000000"/>
          <w:kern w:val="0"/>
          <w:sz w:val="32"/>
          <w:szCs w:val="32"/>
          <w:shd w:val="clear" w:fill="FFFFFF"/>
          <w:lang w:val="en-US" w:eastAsia="zh-CN"/>
        </w:rPr>
        <w:t>4</w:t>
      </w:r>
      <w:r>
        <w:rPr>
          <w:rFonts w:hint="eastAsia" w:ascii="方正仿宋_GBK" w:hAnsi="方正仿宋_GBK" w:eastAsia="方正仿宋_GBK" w:cs="方正仿宋_GBK"/>
          <w:color w:val="000000"/>
          <w:kern w:val="0"/>
          <w:sz w:val="32"/>
          <w:szCs w:val="32"/>
          <w:shd w:val="clear" w:fill="FFFFFF"/>
        </w:rPr>
        <w:t>年度未发生</w:t>
      </w:r>
      <w:r>
        <w:rPr>
          <w:rFonts w:hint="eastAsia" w:ascii="方正仿宋_GBK" w:hAnsi="方正仿宋_GBK" w:eastAsia="方正仿宋_GBK" w:cs="方正仿宋_GBK"/>
          <w:color w:val="000000"/>
          <w:kern w:val="0"/>
          <w:sz w:val="32"/>
          <w:szCs w:val="32"/>
          <w:shd w:val="clear" w:fill="FFFFFF"/>
          <w:lang w:eastAsia="zh-CN"/>
        </w:rPr>
        <w:t>公务用车购置费用</w:t>
      </w:r>
      <w:r>
        <w:rPr>
          <w:rFonts w:hint="eastAsia" w:ascii="方正仿宋_GBK" w:hAnsi="方正仿宋_GBK" w:eastAsia="方正仿宋_GBK" w:cs="方正仿宋_GBK"/>
          <w:color w:val="000000"/>
          <w:kern w:val="0"/>
          <w:sz w:val="32"/>
          <w:szCs w:val="32"/>
          <w:shd w:val="clear" w:fill="FFFFFF"/>
        </w:rPr>
        <w:t>。</w:t>
      </w:r>
    </w:p>
    <w:p w14:paraId="44F6DD7F">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万元，费用支出较年初预算数减少2.66万元，下降100.0%，较上年支出数无增减，主要原因是公务用车报废，无相关费用支出。</w:t>
      </w:r>
    </w:p>
    <w:p w14:paraId="0E2EC480">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万元，，较上年支出数</w:t>
      </w:r>
      <w:r>
        <w:rPr>
          <w:rFonts w:hint="eastAsia" w:ascii="方正仿宋_GBK" w:hAnsi="方正仿宋_GBK" w:eastAsia="方正仿宋_GBK" w:cs="方正仿宋_GBK"/>
          <w:sz w:val="32"/>
          <w:szCs w:val="32"/>
          <w:shd w:val="clear" w:color="auto" w:fill="FFFFFF"/>
          <w:lang w:val="en-US" w:eastAsia="zh-CN"/>
        </w:rPr>
        <w:t>减少0.2万元</w:t>
      </w:r>
      <w:r>
        <w:rPr>
          <w:rFonts w:ascii="方正仿宋_GBK" w:hAnsi="方正仿宋_GBK" w:eastAsia="方正仿宋_GBK" w:cs="方正仿宋_GBK"/>
          <w:sz w:val="32"/>
          <w:szCs w:val="32"/>
          <w:shd w:val="clear" w:color="auto" w:fill="FFFFFF"/>
        </w:rPr>
        <w:t>，主要用于</w:t>
      </w:r>
      <w:r>
        <w:rPr>
          <w:rFonts w:hint="eastAsia" w:ascii="方正仿宋_GBK" w:hAnsi="方正仿宋_GBK" w:eastAsia="方正仿宋_GBK" w:cs="方正仿宋_GBK"/>
          <w:color w:val="000000"/>
          <w:kern w:val="0"/>
          <w:sz w:val="32"/>
          <w:szCs w:val="32"/>
          <w:shd w:val="clear" w:fill="FFFFFF"/>
        </w:rPr>
        <w:t>接待国内其他省市卫生健康单位到我</w:t>
      </w:r>
      <w:r>
        <w:rPr>
          <w:rFonts w:hint="eastAsia" w:ascii="方正仿宋_GBK" w:hAnsi="方正仿宋_GBK" w:eastAsia="方正仿宋_GBK" w:cs="方正仿宋_GBK"/>
          <w:color w:val="000000"/>
          <w:kern w:val="0"/>
          <w:sz w:val="32"/>
          <w:szCs w:val="32"/>
          <w:shd w:val="clear" w:fill="FFFFFF"/>
          <w:lang w:val="en-US" w:eastAsia="zh-CN"/>
        </w:rPr>
        <w:t>单位</w:t>
      </w:r>
      <w:r>
        <w:rPr>
          <w:rFonts w:hint="eastAsia" w:ascii="方正仿宋_GBK" w:hAnsi="方正仿宋_GBK" w:eastAsia="方正仿宋_GBK" w:cs="方正仿宋_GBK"/>
          <w:color w:val="000000"/>
          <w:kern w:val="0"/>
          <w:sz w:val="32"/>
          <w:szCs w:val="32"/>
          <w:shd w:val="clear" w:fill="FFFFFF"/>
        </w:rPr>
        <w:t>学习调研卫生健康工作，接受相关部门检查指导工作及调研发生的接待支出</w:t>
      </w:r>
      <w:r>
        <w:rPr>
          <w:rFonts w:hint="eastAsia" w:ascii="方正仿宋_GBK" w:hAnsi="方正仿宋_GBK" w:eastAsia="方正仿宋_GBK" w:cs="方正仿宋_GBK"/>
          <w:color w:val="000000"/>
          <w:kern w:val="0"/>
          <w:sz w:val="32"/>
          <w:szCs w:val="32"/>
          <w:shd w:val="clear" w:fill="FFFFFF"/>
          <w:lang w:eastAsia="zh-CN"/>
        </w:rPr>
        <w:t>。</w:t>
      </w:r>
      <w:r>
        <w:rPr>
          <w:rFonts w:ascii="方正仿宋_GBK" w:hAnsi="方正仿宋_GBK" w:eastAsia="方正仿宋_GBK" w:cs="方正仿宋_GBK"/>
          <w:sz w:val="32"/>
          <w:szCs w:val="32"/>
          <w:shd w:val="clear" w:color="auto" w:fill="FFFFFF"/>
        </w:rPr>
        <w:t>费用支出较年初预算数减少0.20万元，下降100.0%，主要原因是</w:t>
      </w:r>
      <w:r>
        <w:rPr>
          <w:rFonts w:hint="eastAsia" w:ascii="方正仿宋_GBK" w:hAnsi="方正仿宋_GBK" w:eastAsia="方正仿宋_GBK" w:cs="方正仿宋_GBK"/>
          <w:color w:val="000000"/>
          <w:kern w:val="0"/>
          <w:sz w:val="32"/>
          <w:szCs w:val="32"/>
          <w:shd w:val="clear" w:fill="FFFFFF"/>
        </w:rPr>
        <w:t>强化公务接待支出管理，严格遵守公务接待开支范围和开支标准</w:t>
      </w:r>
      <w:r>
        <w:rPr>
          <w:rFonts w:hint="eastAsia" w:ascii="方正仿宋_GBK" w:hAnsi="方正仿宋_GBK" w:eastAsia="方正仿宋_GBK" w:cs="方正仿宋_GBK"/>
          <w:color w:val="000000"/>
          <w:kern w:val="0"/>
          <w:sz w:val="32"/>
          <w:szCs w:val="32"/>
          <w:shd w:val="clear" w:fill="FFFFFF"/>
          <w:lang w:eastAsia="zh-CN"/>
        </w:rPr>
        <w:t>。</w:t>
      </w:r>
      <w:r>
        <w:rPr>
          <w:rFonts w:hint="eastAsia" w:ascii="方正仿宋_GBK" w:hAnsi="方正仿宋_GBK" w:eastAsia="方正仿宋_GBK" w:cs="方正仿宋_GBK"/>
          <w:color w:val="000000"/>
          <w:kern w:val="0"/>
          <w:sz w:val="32"/>
          <w:szCs w:val="32"/>
          <w:shd w:val="clear" w:fill="FFFFFF"/>
        </w:rPr>
        <w:t>对应由接待对象承担的费用一律由接待对象自行支付</w:t>
      </w:r>
      <w:r>
        <w:rPr>
          <w:rFonts w:hint="eastAsia" w:ascii="方正仿宋_GBK" w:hAnsi="方正仿宋_GBK" w:eastAsia="方正仿宋_GBK" w:cs="方正仿宋_GBK"/>
          <w:color w:val="000000"/>
          <w:kern w:val="0"/>
          <w:sz w:val="32"/>
          <w:szCs w:val="32"/>
          <w:shd w:val="clear" w:fill="FFFFFF"/>
          <w:lang w:eastAsia="zh-CN"/>
        </w:rPr>
        <w:t>。</w:t>
      </w:r>
    </w:p>
    <w:p w14:paraId="71E24393">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p>
    <w:p w14:paraId="7C0F8025">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（三）“三公”经费实物量情况</w:t>
      </w:r>
    </w:p>
    <w:p w14:paraId="79B3F46A">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人。2024年本部门人均接待费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07B472C8">
      <w:pPr>
        <w:pStyle w:val="5"/>
        <w:shd w:val="clear" w:color="auto" w:fill="FFFFFF"/>
        <w:spacing w:before="0" w:beforeAutospacing="0" w:after="0" w:afterAutospacing="0"/>
        <w:rPr>
          <w:rStyle w:val="9"/>
          <w:rFonts w:hint="default" w:ascii="方正仿宋_GBK" w:hAnsi="方正仿宋_GBK" w:eastAsia="方正仿宋_GBK" w:cs="方正仿宋_GBK"/>
          <w:sz w:val="32"/>
          <w:szCs w:val="32"/>
          <w:shd w:val="clear" w:color="auto" w:fill="FFFFFF"/>
        </w:rPr>
      </w:pPr>
      <w:r>
        <w:rPr>
          <w:rStyle w:val="9"/>
          <w:rFonts w:ascii="黑体" w:hAnsi="黑体" w:eastAsia="黑体" w:cs="黑体"/>
          <w:sz w:val="32"/>
          <w:szCs w:val="32"/>
          <w:shd w:val="clear" w:color="auto" w:fill="FFFFFF"/>
        </w:rPr>
        <w:t>四、其他需要说明的事项</w:t>
      </w:r>
    </w:p>
    <w:p w14:paraId="30A42844">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（一）财政拨款会议费和培训费情况说明</w:t>
      </w:r>
    </w:p>
    <w:p w14:paraId="24A988BB">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万元，与2023年度相比，无增减，主要原因是本单位2024年度无会议费支出。本年度培训费支出</w:t>
      </w:r>
      <w:r>
        <w:rPr>
          <w:rFonts w:ascii="方正仿宋_GBK" w:hAnsi="方正仿宋_GBK" w:eastAsia="方正仿宋_GBK" w:cs="方正仿宋_GBK"/>
          <w:sz w:val="32"/>
          <w:szCs w:val="32"/>
        </w:rPr>
        <w:t>0.95</w:t>
      </w:r>
      <w:r>
        <w:rPr>
          <w:rFonts w:ascii="方正仿宋_GBK" w:hAnsi="方正仿宋_GBK" w:eastAsia="方正仿宋_GBK" w:cs="方正仿宋_GBK"/>
          <w:sz w:val="32"/>
          <w:szCs w:val="32"/>
          <w:shd w:val="clear" w:color="auto" w:fill="FFFFFF"/>
        </w:rPr>
        <w:t>万元，与2023年度相比，增加0.95万元，增长100.0%，主要原因是2024年度开展基层服务质量能力培训会。</w:t>
      </w:r>
    </w:p>
    <w:p w14:paraId="6ED60B55">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（二）机关运行经费情况说明</w:t>
      </w:r>
    </w:p>
    <w:p w14:paraId="41496285">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按照单位决算列报口径，我单位不在机关运行经费统计范围之内。</w:t>
      </w:r>
    </w:p>
    <w:p w14:paraId="2F1F56D1">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（三）国有资产占用情况说明</w:t>
      </w:r>
    </w:p>
    <w:p w14:paraId="60525D7A">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截至2024年12月31日，本部门共有车辆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w:t>
      </w:r>
    </w:p>
    <w:p w14:paraId="6A31EDFE">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（四）政府采购支出情况说明</w:t>
      </w:r>
    </w:p>
    <w:p w14:paraId="1884079C">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2024年度本部门政府采购支出总额</w:t>
      </w:r>
      <w:r>
        <w:rPr>
          <w:rFonts w:ascii="方正仿宋_GBK" w:hAnsi="方正仿宋_GBK" w:eastAsia="方正仿宋_GBK" w:cs="方正仿宋_GBK"/>
          <w:sz w:val="32"/>
          <w:szCs w:val="32"/>
        </w:rPr>
        <w:t>2.87</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2.27</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0.60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2.87万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2.87</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%。主要用于采购打印纸、打印机及电脑等。</w:t>
      </w:r>
    </w:p>
    <w:p w14:paraId="47EB3915">
      <w:pPr>
        <w:pStyle w:val="5"/>
        <w:numPr>
          <w:ilvl w:val="0"/>
          <w:numId w:val="1"/>
        </w:numPr>
        <w:shd w:val="clear" w:color="auto" w:fill="FFFFFF"/>
        <w:spacing w:before="0" w:beforeAutospacing="0" w:after="0" w:afterAutospacing="0"/>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预算绩效管理情况说明</w:t>
      </w:r>
    </w:p>
    <w:p w14:paraId="4525BD71">
      <w:pPr>
        <w:pStyle w:val="11"/>
        <w:autoSpaceDE w:val="0"/>
        <w:spacing w:before="0" w:beforeAutospacing="0" w:after="0" w:afterAutospacing="0" w:line="600" w:lineRule="exact"/>
        <w:ind w:firstLine="640" w:firstLineChars="200"/>
        <w:jc w:val="both"/>
        <w:rPr>
          <w:rStyle w:val="9"/>
          <w:rFonts w:ascii="黑体" w:hAnsi="黑体" w:eastAsia="黑体" w:cs="黑体"/>
          <w:sz w:val="32"/>
          <w:szCs w:val="32"/>
          <w:shd w:val="clear" w:color="auto" w:fill="FFFFFF"/>
        </w:rPr>
      </w:pPr>
      <w:r>
        <w:rPr>
          <w:rFonts w:hint="eastAsia" w:ascii="方正仿宋_GBK" w:eastAsia="方正仿宋_GBK"/>
          <w:sz w:val="32"/>
          <w:szCs w:val="32"/>
        </w:rPr>
        <w:t>本单位无预算绩效管理项目</w:t>
      </w:r>
      <w:r>
        <w:rPr>
          <w:rFonts w:hint="eastAsia" w:ascii="方正仿宋_GBK" w:hAnsi="方正仿宋_GBK" w:eastAsia="方正仿宋_GBK" w:cs="方正仿宋_GBK"/>
          <w:sz w:val="32"/>
          <w:szCs w:val="32"/>
          <w:shd w:val="clear" w:color="auto" w:fill="FFFFFF"/>
          <w:lang w:bidi="ar"/>
        </w:rPr>
        <w:t>。</w:t>
      </w:r>
    </w:p>
    <w:p w14:paraId="25F9BF56">
      <w:pPr>
        <w:pStyle w:val="11"/>
        <w:autoSpaceDE w:val="0"/>
        <w:spacing w:before="0" w:beforeAutospacing="0" w:after="0" w:afterAutospacing="0" w:line="600" w:lineRule="exact"/>
        <w:jc w:val="both"/>
        <w:rPr>
          <w:rStyle w:val="9"/>
          <w:rFonts w:ascii="黑体" w:hAnsi="黑体" w:eastAsia="黑体" w:cs="黑体"/>
          <w:sz w:val="32"/>
          <w:szCs w:val="32"/>
          <w:shd w:val="clear" w:color="auto" w:fill="FFFFFF"/>
        </w:rPr>
      </w:pPr>
    </w:p>
    <w:p w14:paraId="0E8BF40B">
      <w:pPr>
        <w:pStyle w:val="5"/>
        <w:shd w:val="clear" w:color="auto" w:fill="FFFFFF"/>
        <w:spacing w:before="0" w:beforeAutospacing="0" w:after="0" w:afterAutospacing="0"/>
        <w:rPr>
          <w:rStyle w:val="9"/>
          <w:rFonts w:hint="default" w:ascii="方正仿宋_GBK" w:hAnsi="方正仿宋_GBK" w:eastAsia="方正仿宋_GBK" w:cs="方正仿宋_GBK"/>
          <w:sz w:val="32"/>
          <w:szCs w:val="32"/>
          <w:shd w:val="clear" w:color="auto" w:fill="FFFFFF"/>
        </w:rPr>
      </w:pPr>
      <w:r>
        <w:rPr>
          <w:rStyle w:val="9"/>
          <w:rFonts w:ascii="黑体" w:hAnsi="黑体" w:eastAsia="黑体" w:cs="黑体"/>
          <w:sz w:val="32"/>
          <w:szCs w:val="32"/>
          <w:shd w:val="clear" w:color="auto" w:fill="FFFFFF"/>
        </w:rPr>
        <w:t>六、专业名词解释</w:t>
      </w:r>
    </w:p>
    <w:p w14:paraId="2A1E09C3">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以下为常见专业名词解释目录，仅供参考，</w:t>
      </w:r>
    </w:p>
    <w:p w14:paraId="5D69476B">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lang w:bidi="ar"/>
        </w:rPr>
        <w:t> </w:t>
      </w:r>
      <w:r>
        <w:rPr>
          <w:rFonts w:ascii="楷体" w:hAnsi="楷体" w:eastAsia="楷体" w:cs="楷体"/>
          <w:b/>
          <w:bCs/>
          <w:sz w:val="32"/>
          <w:szCs w:val="32"/>
          <w:shd w:val="clear" w:color="auto" w:fill="FFFFFF"/>
          <w:lang w:bidi="ar"/>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2AE5BBF3">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4A681838">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1675E600">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40556AE">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1BDB3265">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432916B8">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1A597C5E">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7604EEB9">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6472179">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61DBF8F2">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4EEA3B86">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AFA54D5">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09517FE">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32C62FFC">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782B9FAC">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3C99947A">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6AE1E40F">
      <w:pPr>
        <w:pStyle w:val="5"/>
        <w:shd w:val="clear" w:color="auto" w:fill="FFFFFF"/>
        <w:spacing w:before="0" w:beforeAutospacing="0" w:after="0" w:afterAutospacing="0"/>
        <w:rPr>
          <w:rStyle w:val="9"/>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 xml:space="preserve">  </w:t>
      </w:r>
      <w:r>
        <w:rPr>
          <w:rStyle w:val="9"/>
          <w:rFonts w:ascii="黑体" w:hAnsi="黑体" w:eastAsia="黑体" w:cs="黑体"/>
          <w:sz w:val="32"/>
          <w:szCs w:val="32"/>
          <w:shd w:val="clear" w:color="auto" w:fill="FFFFFF"/>
        </w:rPr>
        <w:t>七、决算公开联系方式及信息反馈渠道</w:t>
      </w:r>
    </w:p>
    <w:p w14:paraId="1814BDC0">
      <w:pPr>
        <w:pStyle w:val="5"/>
        <w:snapToGrid w:val="0"/>
        <w:spacing w:before="0" w:beforeAutospacing="0" w:after="0" w:afterAutospacing="0" w:line="600" w:lineRule="exact"/>
        <w:ind w:firstLine="640" w:firstLineChars="200"/>
        <w:jc w:val="both"/>
        <w:rPr>
          <w:rStyle w:val="9"/>
          <w:rFonts w:ascii="方正仿宋_GBK" w:hAnsi="方正仿宋_GBK" w:eastAsia="方正仿宋_GBK" w:cs="方正仿宋_GBK"/>
          <w:sz w:val="32"/>
          <w:szCs w:val="32"/>
          <w:shd w:val="clear" w:color="auto" w:fill="FFFF00"/>
        </w:rPr>
        <w:sectPr>
          <w:footerReference r:id="rId3" w:type="default"/>
          <w:pgSz w:w="16840" w:h="11915" w:orient="landscape"/>
          <w:pgMar w:top="1800" w:right="1440" w:bottom="1800" w:left="1440" w:header="851" w:footer="992" w:gutter="0"/>
          <w:pgNumType w:fmt="numberInDash"/>
          <w:cols w:space="720" w:num="1"/>
          <w:docGrid w:type="lines" w:linePitch="326" w:charSpace="0"/>
        </w:sectPr>
      </w:pPr>
      <w:r>
        <w:rPr>
          <w:rFonts w:ascii="方正仿宋_GBK" w:hAnsi="方正仿宋_GBK" w:eastAsia="方正仿宋_GBK" w:cs="方正仿宋_GBK"/>
          <w:sz w:val="32"/>
          <w:szCs w:val="32"/>
          <w:shd w:val="clear" w:color="auto" w:fill="FFFFFF"/>
        </w:rPr>
        <w:t>本单位决算公开信息反馈和联系方式： 023-79310344</w:t>
      </w:r>
    </w:p>
    <w:p w14:paraId="7A50DC3C">
      <w:pPr>
        <w:rPr>
          <w:rFonts w:cs="宋体"/>
          <w:sz w:val="21"/>
          <w:szCs w:val="21"/>
        </w:rPr>
      </w:pPr>
      <w:bookmarkStart w:id="0" w:name="_GoBack"/>
      <w:bookmarkEnd w:id="0"/>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8D8B66-8A8C-45D5-B208-63129638C2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CC565005-B717-4FFD-88DA-69F451565641}"/>
  </w:font>
  <w:font w:name="方正仿宋_GBK">
    <w:panose1 w:val="03000509000000000000"/>
    <w:charset w:val="86"/>
    <w:family w:val="script"/>
    <w:pitch w:val="default"/>
    <w:sig w:usb0="00000001" w:usb1="080E0000" w:usb2="00000000" w:usb3="00000000" w:csb0="00040000" w:csb1="00000000"/>
    <w:embedRegular r:id="rId3" w:fontKey="{79188C90-E87D-4716-A8FC-19C75CEDAEDD}"/>
  </w:font>
  <w:font w:name="楷体">
    <w:panose1 w:val="02010609060101010101"/>
    <w:charset w:val="86"/>
    <w:family w:val="modern"/>
    <w:pitch w:val="default"/>
    <w:sig w:usb0="800002BF" w:usb1="38CF7CFA" w:usb2="00000016" w:usb3="00000000" w:csb0="00040001" w:csb1="00000000"/>
    <w:embedRegular r:id="rId4" w:fontKey="{76083C29-3A0E-4E8D-AB39-B86BD7C01E2E}"/>
  </w:font>
  <w:font w:name="微软雅黑">
    <w:panose1 w:val="020B0503020204020204"/>
    <w:charset w:val="86"/>
    <w:family w:val="swiss"/>
    <w:pitch w:val="default"/>
    <w:sig w:usb0="80000287" w:usb1="2ACF3C50" w:usb2="00000016" w:usb3="00000000" w:csb0="0004001F" w:csb1="00000000"/>
    <w:embedRegular r:id="rId5" w:fontKey="{37E454DF-4B11-49DA-A9AA-5D65AF2757E5}"/>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BDEAE">
    <w:pPr>
      <w:pStyle w:val="2"/>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5CC01A">
                          <w:pPr>
                            <w:pStyle w:val="2"/>
                            <w:rPr>
                              <w:rFonts w:hint="default"/>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5CC01A">
                    <w:pPr>
                      <w:pStyle w:val="2"/>
                      <w:rPr>
                        <w:rFonts w:hint="default"/>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A060C">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7CD15D">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07CD15D">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6813899">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6813899">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CE7F9">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34534"/>
    <w:rsid w:val="00137780"/>
    <w:rsid w:val="00164FCA"/>
    <w:rsid w:val="00175147"/>
    <w:rsid w:val="001A0EC8"/>
    <w:rsid w:val="001A5419"/>
    <w:rsid w:val="002031F6"/>
    <w:rsid w:val="0022541D"/>
    <w:rsid w:val="00242407"/>
    <w:rsid w:val="0024792A"/>
    <w:rsid w:val="00257183"/>
    <w:rsid w:val="002A7545"/>
    <w:rsid w:val="002B761D"/>
    <w:rsid w:val="003518AC"/>
    <w:rsid w:val="00376EBB"/>
    <w:rsid w:val="003D50D7"/>
    <w:rsid w:val="003E1B0E"/>
    <w:rsid w:val="004319F7"/>
    <w:rsid w:val="00434BD0"/>
    <w:rsid w:val="00457A0F"/>
    <w:rsid w:val="005006E9"/>
    <w:rsid w:val="00540994"/>
    <w:rsid w:val="00550ABE"/>
    <w:rsid w:val="0075041C"/>
    <w:rsid w:val="007606ED"/>
    <w:rsid w:val="007A318C"/>
    <w:rsid w:val="007B419D"/>
    <w:rsid w:val="007C219E"/>
    <w:rsid w:val="007C233F"/>
    <w:rsid w:val="008366AF"/>
    <w:rsid w:val="008727E8"/>
    <w:rsid w:val="00947AA5"/>
    <w:rsid w:val="0096509C"/>
    <w:rsid w:val="00991729"/>
    <w:rsid w:val="00992912"/>
    <w:rsid w:val="009B67B8"/>
    <w:rsid w:val="009D2968"/>
    <w:rsid w:val="00B03CCD"/>
    <w:rsid w:val="00B20D5C"/>
    <w:rsid w:val="00B461BE"/>
    <w:rsid w:val="00B94E18"/>
    <w:rsid w:val="00BC2F2A"/>
    <w:rsid w:val="00C00642"/>
    <w:rsid w:val="00C2309F"/>
    <w:rsid w:val="00C619B7"/>
    <w:rsid w:val="00C92355"/>
    <w:rsid w:val="00CB2683"/>
    <w:rsid w:val="00CB5B8E"/>
    <w:rsid w:val="00D53521"/>
    <w:rsid w:val="00DD0250"/>
    <w:rsid w:val="00E21B58"/>
    <w:rsid w:val="00E70D57"/>
    <w:rsid w:val="00E859F5"/>
    <w:rsid w:val="00E94266"/>
    <w:rsid w:val="00F73F90"/>
    <w:rsid w:val="00FB0A51"/>
    <w:rsid w:val="00FB423E"/>
    <w:rsid w:val="00FC1183"/>
    <w:rsid w:val="00FF1795"/>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2F65702"/>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F032E93"/>
    <w:rsid w:val="3F0527E5"/>
    <w:rsid w:val="3F694D83"/>
    <w:rsid w:val="3F885DCC"/>
    <w:rsid w:val="3FCD675E"/>
    <w:rsid w:val="4004000C"/>
    <w:rsid w:val="411B6CE5"/>
    <w:rsid w:val="412070D7"/>
    <w:rsid w:val="41314E40"/>
    <w:rsid w:val="41B70A40"/>
    <w:rsid w:val="41E0734B"/>
    <w:rsid w:val="426C1EA8"/>
    <w:rsid w:val="42736402"/>
    <w:rsid w:val="42E86A87"/>
    <w:rsid w:val="43307B09"/>
    <w:rsid w:val="438C4686"/>
    <w:rsid w:val="439A3EB9"/>
    <w:rsid w:val="43BB152F"/>
    <w:rsid w:val="44C37687"/>
    <w:rsid w:val="45CB699A"/>
    <w:rsid w:val="463D70CE"/>
    <w:rsid w:val="465B470D"/>
    <w:rsid w:val="469D6AD4"/>
    <w:rsid w:val="471E6C84"/>
    <w:rsid w:val="4748792B"/>
    <w:rsid w:val="475D719D"/>
    <w:rsid w:val="47674801"/>
    <w:rsid w:val="48225EF7"/>
    <w:rsid w:val="488F422B"/>
    <w:rsid w:val="48E36915"/>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E973B2A"/>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AD2300"/>
    <w:rsid w:val="6B474EF5"/>
    <w:rsid w:val="6BCA4DEE"/>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qFormat/>
    <w:uiPriority w:val="0"/>
    <w:rPr>
      <w:rFonts w:hint="default" w:ascii="Wingdings" w:hAnsi="Wingdings" w:cs="Wingdings"/>
      <w:b/>
      <w:bCs/>
    </w:rPr>
  </w:style>
  <w:style w:type="paragraph" w:customStyle="1" w:styleId="13">
    <w:name w:val="列表段落1"/>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QQ:6913761</Company>
  <Pages>12</Pages>
  <Words>7904</Words>
  <Characters>9783</Characters>
  <Lines>91</Lines>
  <Paragraphs>25</Paragraphs>
  <TotalTime>1</TotalTime>
  <ScaleCrop>false</ScaleCrop>
  <LinksUpToDate>false</LinksUpToDate>
  <CharactersWithSpaces>10909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Lin.</cp:lastModifiedBy>
  <dcterms:modified xsi:type="dcterms:W3CDTF">2025-09-10T02:36:17Z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eyJoZGlkIjoiNzg3NDE2Y2Q1NjVhMmVkNzQ5ZWJmZjU2ZmQ5OGFhZjAiLCJ1c2VySWQiOiI2MTUwMzAxMjYifQ==</vt:lpwstr>
  </property>
</Properties>
</file>