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hd w:val="clear"/>
        <w:kinsoku/>
        <w:wordWrap/>
        <w:overflowPunct/>
        <w:topLinePunct w:val="0"/>
        <w:autoSpaceDN/>
        <w:bidi w:val="0"/>
        <w:adjustRightInd/>
        <w:spacing w:before="0" w:beforeAutospacing="0" w:after="0" w:afterAutospacing="0" w:line="560" w:lineRule="exact"/>
        <w:jc w:val="both"/>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黑体_GBK" w:cs="Times New Roman"/>
          <w:color w:val="auto"/>
          <w:sz w:val="32"/>
          <w:szCs w:val="32"/>
          <w:lang w:val="en-US" w:eastAsia="zh-CN"/>
        </w:rPr>
        <w:pict>
          <v:shape id="艺术字 5" o:spid="_x0000_s1026" o:spt="136" type="#_x0000_t136" style="position:absolute;left:0pt;margin-left:0pt;margin-top:39pt;height:54.6pt;width:445.05pt;mso-wrap-distance-bottom:0pt;mso-wrap-distance-left:9pt;mso-wrap-distance-right:9pt;mso-wrap-distance-top:0pt;z-index:251661312;mso-width-relative:page;mso-height-relative:page;" fillcolor="#FF0000" filled="t" stroked="t" coordsize="21600,21600" adj="10800">
            <v:path/>
            <v:fill on="t" color2="#FFFFFF" focussize="0,0"/>
            <v:stroke color="#FF0000"/>
            <v:imagedata o:title=""/>
            <o:lock v:ext="edit" aspectratio="f"/>
            <v:textpath on="t" fitshape="t" fitpath="t" trim="t" xscale="f" string="黔江区群众诉求服务中心" style="font-family:方正小标宋_GBK;font-size:36pt;v-same-letter-heights:t;v-text-align:center;v-text-spacing:98304f;"/>
            <w10:wrap type="square"/>
          </v:shape>
        </w:pic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mc:AlternateContent>
          <mc:Choice Requires="wps">
            <w:drawing>
              <wp:anchor distT="0" distB="0" distL="114300" distR="114300" simplePos="0" relativeHeight="251662336" behindDoc="0" locked="0" layoutInCell="1" allowOverlap="1">
                <wp:simplePos x="0" y="0"/>
                <wp:positionH relativeFrom="column">
                  <wp:posOffset>12700</wp:posOffset>
                </wp:positionH>
                <wp:positionV relativeFrom="paragraph">
                  <wp:posOffset>975360</wp:posOffset>
                </wp:positionV>
                <wp:extent cx="5687695" cy="0"/>
                <wp:effectExtent l="0" t="28575" r="8255" b="28575"/>
                <wp:wrapNone/>
                <wp:docPr id="4" name="直接连接符 4"/>
                <wp:cNvGraphicFramePr/>
                <a:graphic xmlns:a="http://schemas.openxmlformats.org/drawingml/2006/main">
                  <a:graphicData uri="http://schemas.microsoft.com/office/word/2010/wordprocessingShape">
                    <wps:wsp>
                      <wps:cNvCnPr/>
                      <wps:spPr>
                        <a:xfrm>
                          <a:off x="0" y="0"/>
                          <a:ext cx="5687695"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pt;margin-top:76.8pt;height:0pt;width:447.85pt;z-index:251662336;mso-width-relative:page;mso-height-relative:page;" filled="f" stroked="t" coordsize="21600,21600" o:gfxdata="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QCrIzUAAAACQEAAA8AAAAAAAAAAQAgAAAAIgAAAGRycy9kb3ducmV2Lnht&#10;bFBLAQIUABQAAAAIAIdO4kBYnWPO/QEAAOsDAAAOAAAAAAAAAAEAIAAAACMBAABkcnMvZTJvRG9j&#10;LnhtbFBLBQYAAAAABgAGAFkBAACSBQAAAAA=&#10;">
                <v:fill on="f" focussize="0,0"/>
                <v:stroke weight="4.5pt" color="#FF0000" linestyle="thickThin" joinstyle="round"/>
                <v:imagedata o:title=""/>
                <o:lock v:ext="edit" aspectratio="f"/>
              </v:line>
            </w:pict>
          </mc:Fallback>
        </mc:AlternateConten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方正小标宋_GBK" w:cs="Times New Roman"/>
          <w:sz w:val="36"/>
          <w:szCs w:val="36"/>
        </w:rPr>
      </w:pP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黔江区群众诉求服务中心</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lang w:eastAsia="zh-CN"/>
        </w:rPr>
        <w:t>202</w:t>
      </w:r>
      <w:r>
        <w:rPr>
          <w:rFonts w:hint="eastAsia" w:ascii="Times New Roman" w:hAnsi="Times New Roman" w:eastAsia="方正小标宋_GBK" w:cs="Times New Roman"/>
          <w:sz w:val="44"/>
          <w:szCs w:val="44"/>
          <w:shd w:val="clear" w:color="auto" w:fill="FFFFFF"/>
          <w:lang w:val="en-US" w:eastAsia="zh-CN"/>
        </w:rPr>
        <w:t>5</w:t>
      </w:r>
      <w:r>
        <w:rPr>
          <w:rFonts w:hint="default" w:ascii="Times New Roman" w:hAnsi="Times New Roman" w:eastAsia="方正小标宋_GBK" w:cs="Times New Roman"/>
          <w:sz w:val="44"/>
          <w:szCs w:val="44"/>
          <w:shd w:val="clear" w:color="auto" w:fill="FFFFFF"/>
          <w:lang w:eastAsia="zh-CN"/>
        </w:rPr>
        <w:t>年</w:t>
      </w:r>
      <w:r>
        <w:rPr>
          <w:rFonts w:hint="default" w:ascii="Times New Roman" w:hAnsi="Times New Roman" w:eastAsia="方正小标宋_GBK" w:cs="Times New Roman"/>
          <w:sz w:val="44"/>
          <w:szCs w:val="44"/>
          <w:shd w:val="clear" w:color="auto" w:fill="FFFFFF"/>
        </w:rPr>
        <w:t>度决算</w:t>
      </w:r>
      <w:r>
        <w:rPr>
          <w:rFonts w:hint="default" w:ascii="Times New Roman" w:hAnsi="Times New Roman" w:eastAsia="方正小标宋_GBK" w:cs="Times New Roman"/>
          <w:sz w:val="44"/>
          <w:szCs w:val="44"/>
          <w:shd w:val="clear" w:color="auto" w:fill="FFFFFF"/>
          <w:lang w:eastAsia="zh-CN"/>
        </w:rPr>
        <w:t>公开</w:t>
      </w:r>
      <w:r>
        <w:rPr>
          <w:rFonts w:hint="default" w:ascii="Times New Roman" w:hAnsi="Times New Roman" w:eastAsia="方正小标宋_GBK" w:cs="Times New Roman"/>
          <w:sz w:val="44"/>
          <w:szCs w:val="44"/>
          <w:shd w:val="clear" w:color="auto" w:fill="FFFFFF"/>
        </w:rPr>
        <w:t>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方正小标宋_GBK" w:cs="Times New Roman"/>
          <w:sz w:val="36"/>
          <w:szCs w:val="36"/>
          <w:shd w:val="clear" w:color="auto" w:fill="FFFFFF"/>
        </w:rPr>
      </w:pP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一、部门基本情况</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（一）职能职责</w:t>
      </w:r>
    </w:p>
    <w:p>
      <w:pPr>
        <w:keepNext w:val="0"/>
        <w:keepLines w:val="0"/>
        <w:pageBreakBefore w:val="0"/>
        <w:widowControl/>
        <w:shd w:val="clear"/>
        <w:kinsoku/>
        <w:wordWrap/>
        <w:overflowPunct/>
        <w:topLinePunct w:val="0"/>
        <w:autoSpaceDN/>
        <w:bidi w:val="0"/>
        <w:adjustRightInd/>
        <w:spacing w:beforeAutospacing="0" w:afterAutospacing="0" w:line="56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负责集中办理群众来信，接待群众来访以及受理其他诉求；负责信访问题网上登记、受理、办理、回复等有关工作；负责收集汇总、分析、研判社情民意；负责办理信访公开电话、公开信箱反映的信访问题；负责信访网络建设、办公自动化等有关工作；负责全国信访信息系统、干部下访群众登记系统的管理、维护等有关工作；负责对大厅窗口单位派驻人员的管理和考核工作。</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eastAsia" w:ascii="Times New Roman" w:hAnsi="Times New Roman" w:eastAsia="方正楷体_GBK" w:cs="Times New Roman"/>
          <w:b w:val="0"/>
          <w:bCs/>
          <w:sz w:val="32"/>
          <w:szCs w:val="32"/>
          <w:shd w:val="clear" w:color="auto" w:fill="FFFFFF"/>
          <w:lang w:eastAsia="zh-CN"/>
        </w:rPr>
        <w:t>（</w:t>
      </w:r>
      <w:r>
        <w:rPr>
          <w:rStyle w:val="10"/>
          <w:rFonts w:hint="eastAsia" w:ascii="Times New Roman" w:hAnsi="Times New Roman" w:eastAsia="方正楷体_GBK" w:cs="Times New Roman"/>
          <w:b w:val="0"/>
          <w:bCs/>
          <w:sz w:val="32"/>
          <w:szCs w:val="32"/>
          <w:shd w:val="clear" w:color="auto" w:fill="FFFFFF"/>
          <w:lang w:val="en-US" w:eastAsia="zh-CN"/>
        </w:rPr>
        <w:t>二</w:t>
      </w:r>
      <w:r>
        <w:rPr>
          <w:rStyle w:val="10"/>
          <w:rFonts w:hint="eastAsia" w:ascii="Times New Roman" w:hAnsi="Times New Roman" w:eastAsia="方正楷体_GBK" w:cs="Times New Roman"/>
          <w:b w:val="0"/>
          <w:bCs/>
          <w:sz w:val="32"/>
          <w:szCs w:val="32"/>
          <w:shd w:val="clear" w:color="auto" w:fill="FFFFFF"/>
          <w:lang w:eastAsia="zh-CN"/>
        </w:rPr>
        <w:t>）</w:t>
      </w:r>
      <w:r>
        <w:rPr>
          <w:rStyle w:val="10"/>
          <w:rFonts w:hint="default" w:ascii="Times New Roman" w:hAnsi="Times New Roman" w:eastAsia="方正楷体_GBK" w:cs="Times New Roman"/>
          <w:b w:val="0"/>
          <w:bCs/>
          <w:sz w:val="32"/>
          <w:szCs w:val="32"/>
          <w:shd w:val="clear" w:color="auto" w:fill="FFFFFF"/>
        </w:rPr>
        <w:t>单位构成</w:t>
      </w:r>
    </w:p>
    <w:p>
      <w:pPr>
        <w:pStyle w:val="6"/>
        <w:keepNext w:val="0"/>
        <w:keepLines w:val="0"/>
        <w:pageBreakBefore w:val="0"/>
        <w:widowControl/>
        <w:shd w:val="clear"/>
        <w:kinsoku/>
        <w:wordWrap/>
        <w:overflowPunct/>
        <w:topLinePunct w:val="0"/>
        <w:autoSpaceDE/>
        <w:autoSpaceDN/>
        <w:bidi w:val="0"/>
        <w:adjustRightInd/>
        <w:spacing w:beforeAutospacing="0" w:after="0" w:afterAutospacing="0"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本部门设有一个中心（黔江区群众诉求服务中心，全额拨款事业单位）。有在职职工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人，事业编制</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14:textFill>
            <w14:solidFill>
              <w14:schemeClr w14:val="tx1"/>
            </w14:solidFill>
          </w14:textFill>
        </w:rPr>
        <w:t>人</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一般预算财政拨款开支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人员（事业管理人员和专业技术人员）</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二、部门决算情况说明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（一）收入支出决算总体情况说明</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1.总体情况。</w:t>
      </w:r>
      <w:r>
        <w:rPr>
          <w:rFonts w:hint="eastAsia" w:ascii="Times New Roman" w:hAnsi="Times New Roman" w:eastAsia="方正仿宋_GBK" w:cs="Times New Roman"/>
          <w:sz w:val="32"/>
          <w:szCs w:val="32"/>
          <w:shd w:val="clear" w:color="auto" w:fill="FFFFFF"/>
          <w:lang w:eastAsia="zh-CN"/>
        </w:rPr>
        <w:t>2025年</w:t>
      </w:r>
      <w:r>
        <w:rPr>
          <w:rFonts w:hint="default" w:ascii="Times New Roman" w:hAnsi="Times New Roman" w:eastAsia="方正仿宋_GBK" w:cs="Times New Roman"/>
          <w:sz w:val="32"/>
          <w:szCs w:val="32"/>
          <w:shd w:val="clear" w:color="auto" w:fill="FFFFFF"/>
          <w:lang w:eastAsia="zh-CN"/>
        </w:rPr>
        <w:t>度收入总计120.66万元，支出总计120.66万元。较上年减少3.65万元，下降2.94%，主要原因是</w:t>
      </w:r>
      <w:r>
        <w:rPr>
          <w:rFonts w:hint="eastAsia" w:ascii="Times New Roman" w:hAnsi="Times New Roman" w:eastAsia="方正仿宋_GBK" w:cs="Times New Roman"/>
          <w:sz w:val="32"/>
          <w:szCs w:val="32"/>
          <w:shd w:val="clear" w:color="auto" w:fill="FFFFFF"/>
          <w:lang w:val="en-US" w:eastAsia="zh-CN"/>
        </w:rPr>
        <w:t>人员减少。</w:t>
      </w:r>
    </w:p>
    <w:p>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sz w:val="32"/>
          <w:szCs w:val="32"/>
          <w:shd w:val="clear" w:color="auto" w:fill="FFFFFF"/>
          <w:lang w:val="en-US" w:eastAsia="zh-CN" w:bidi="ar-SA"/>
        </w:rPr>
      </w:pPr>
      <w:r>
        <w:rPr>
          <w:rStyle w:val="10"/>
          <w:rFonts w:hint="default" w:ascii="Times New Roman" w:hAnsi="Times New Roman" w:eastAsia="方正仿宋_GBK" w:cs="Times New Roman"/>
          <w:sz w:val="32"/>
          <w:szCs w:val="32"/>
          <w:shd w:val="clear" w:color="auto" w:fill="FFFFFF"/>
        </w:rPr>
        <w:t>2.收入情况。</w:t>
      </w:r>
      <w:r>
        <w:rPr>
          <w:rFonts w:hint="eastAsia" w:ascii="Times New Roman" w:hAnsi="Times New Roman" w:eastAsia="方正仿宋_GBK" w:cs="Times New Roman"/>
          <w:sz w:val="32"/>
          <w:szCs w:val="32"/>
          <w:shd w:val="clear" w:color="auto" w:fill="FFFFFF"/>
          <w:lang w:val="en-US" w:eastAsia="zh-CN" w:bidi="ar-SA"/>
        </w:rPr>
        <w:t>2025年度收入合计120.66万元，较上年减少3.65万元，下降2.94%，</w:t>
      </w:r>
      <w:r>
        <w:rPr>
          <w:rFonts w:hint="default" w:ascii="Times New Roman" w:hAnsi="Times New Roman" w:eastAsia="方正仿宋_GBK" w:cs="Times New Roman"/>
          <w:sz w:val="32"/>
          <w:szCs w:val="32"/>
          <w:shd w:val="clear" w:color="auto" w:fill="FFFFFF"/>
          <w:lang w:val="en-US" w:eastAsia="zh-CN" w:bidi="ar-SA"/>
        </w:rPr>
        <w:t>主要原因是</w:t>
      </w:r>
      <w:r>
        <w:rPr>
          <w:rFonts w:hint="eastAsia" w:ascii="Times New Roman" w:hAnsi="Times New Roman" w:eastAsia="方正仿宋_GBK" w:cs="Times New Roman"/>
          <w:sz w:val="32"/>
          <w:szCs w:val="32"/>
          <w:shd w:val="clear" w:color="auto" w:fill="FFFFFF"/>
          <w:lang w:val="en-US" w:eastAsia="zh-CN" w:bidi="ar-SA"/>
        </w:rPr>
        <w:t>人员减少。其中：财政拨款收入120.66万元，占100.00%；事业收入0.00万元，占0.00%；经营收入0.00万元，占0.00%；其他收入0.00万元，占0.00%。此外，使用非财政拨款结余和专用结余0.00万元，年初结转和结余0.00万元。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hint="default" w:ascii="Times New Roman" w:hAnsi="Times New Roman" w:eastAsia="方正仿宋_GBK" w:cs="Times New Roman"/>
          <w:sz w:val="32"/>
          <w:szCs w:val="32"/>
          <w:shd w:val="clear" w:color="auto" w:fill="FFFFFF"/>
        </w:rPr>
        <w:t>3.支出情况。</w:t>
      </w:r>
      <w:r>
        <w:rPr>
          <w:rFonts w:hint="eastAsia" w:ascii="Times New Roman" w:hAnsi="Times New Roman" w:eastAsia="方正仿宋_GBK" w:cs="Times New Roman"/>
          <w:sz w:val="32"/>
          <w:szCs w:val="32"/>
          <w:shd w:val="clear" w:color="auto" w:fill="FFFFFF"/>
          <w:lang w:val="en-US" w:eastAsia="zh-CN" w:bidi="ar-SA"/>
        </w:rPr>
        <w:t>2025年度支出合计120.66万元，较上年减少3.65万元，下降2.94%，</w:t>
      </w:r>
      <w:r>
        <w:rPr>
          <w:rFonts w:hint="default" w:ascii="Times New Roman" w:hAnsi="Times New Roman" w:eastAsia="方正仿宋_GBK" w:cs="Times New Roman"/>
          <w:sz w:val="32"/>
          <w:szCs w:val="32"/>
          <w:shd w:val="clear" w:color="auto" w:fill="FFFFFF"/>
          <w:lang w:val="en-US" w:eastAsia="zh-CN" w:bidi="ar-SA"/>
        </w:rPr>
        <w:t>主要原因是</w:t>
      </w:r>
      <w:r>
        <w:rPr>
          <w:rFonts w:hint="eastAsia" w:ascii="Times New Roman" w:hAnsi="Times New Roman" w:eastAsia="方正仿宋_GBK" w:cs="Times New Roman"/>
          <w:sz w:val="32"/>
          <w:szCs w:val="32"/>
          <w:shd w:val="clear" w:color="auto" w:fill="FFFFFF"/>
          <w:lang w:val="en-US" w:eastAsia="zh-CN" w:bidi="ar-SA"/>
        </w:rPr>
        <w:t>人员减少。其中：基本支出120.66万元，占100.00%；项目支出0.00万元，占0.00%；经营支出0.00万元，占0.00%。此外，结余分配0.00万元</w:t>
      </w:r>
      <w:r>
        <w:rPr>
          <w:rFonts w:ascii="方正仿宋_GBK" w:hAnsi="方正仿宋_GBK" w:eastAsia="方正仿宋_GBK" w:cs="方正仿宋_GBK"/>
          <w:sz w:val="32"/>
          <w:szCs w:val="32"/>
          <w:shd w:val="clear" w:color="auto" w:fill="FFFFFF"/>
        </w:rPr>
        <w:t>。</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万元，较上年无增减</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b w:val="0"/>
          <w:bCs/>
          <w:sz w:val="32"/>
          <w:szCs w:val="32"/>
          <w:shd w:val="clear" w:color="auto" w:fill="FFFFFF"/>
          <w:lang w:eastAsia="zh-CN"/>
        </w:rPr>
        <w:t>与上年决算数一致。</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（二）财政拨款收入支出决算总体情况说明</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Times New Roman" w:hAnsi="Times New Roman" w:eastAsia="方正仿宋_GBK" w:cs="Times New Roman"/>
          <w:sz w:val="32"/>
          <w:szCs w:val="32"/>
          <w:shd w:val="clear" w:color="auto" w:fill="FFFFFF"/>
          <w:lang w:val="en-US" w:eastAsia="zh-CN" w:bidi="ar-SA"/>
        </w:rPr>
      </w:pPr>
      <w:r>
        <w:rPr>
          <w:rFonts w:hint="eastAsia" w:ascii="Times New Roman" w:hAnsi="Times New Roman" w:eastAsia="方正仿宋_GBK" w:cs="Times New Roman"/>
          <w:sz w:val="32"/>
          <w:szCs w:val="32"/>
          <w:shd w:val="clear" w:color="auto" w:fill="FFFFFF"/>
          <w:lang w:val="en-US" w:eastAsia="zh-CN" w:bidi="ar-SA"/>
        </w:rPr>
        <w:t>2025年</w:t>
      </w:r>
      <w:r>
        <w:rPr>
          <w:rFonts w:hint="default" w:ascii="Times New Roman" w:hAnsi="Times New Roman" w:eastAsia="方正仿宋_GBK" w:cs="Times New Roman"/>
          <w:sz w:val="32"/>
          <w:szCs w:val="32"/>
          <w:shd w:val="clear" w:color="auto" w:fill="FFFFFF"/>
          <w:lang w:val="en-US" w:eastAsia="zh-CN" w:bidi="ar-SA"/>
        </w:rPr>
        <w:t>度财政拨款收、支总计</w:t>
      </w:r>
      <w:r>
        <w:rPr>
          <w:rFonts w:hint="eastAsia" w:ascii="Times New Roman" w:hAnsi="Times New Roman" w:eastAsia="方正仿宋_GBK" w:cs="Times New Roman"/>
          <w:sz w:val="32"/>
          <w:szCs w:val="32"/>
          <w:shd w:val="clear" w:color="auto" w:fill="FFFFFF"/>
          <w:lang w:val="en-US" w:eastAsia="zh-CN" w:bidi="ar-SA"/>
        </w:rPr>
        <w:t>120.66</w:t>
      </w:r>
      <w:r>
        <w:rPr>
          <w:rFonts w:hint="default" w:ascii="Times New Roman" w:hAnsi="Times New Roman" w:eastAsia="方正仿宋_GBK" w:cs="Times New Roman"/>
          <w:sz w:val="32"/>
          <w:szCs w:val="32"/>
          <w:shd w:val="clear" w:color="auto" w:fill="FFFFFF"/>
          <w:lang w:val="en-US" w:eastAsia="zh-CN" w:bidi="ar-SA"/>
        </w:rPr>
        <w:t>万元。与</w:t>
      </w:r>
      <w:r>
        <w:rPr>
          <w:rFonts w:hint="eastAsia" w:ascii="Times New Roman" w:hAnsi="Times New Roman" w:eastAsia="方正仿宋_GBK" w:cs="Times New Roman"/>
          <w:sz w:val="32"/>
          <w:szCs w:val="32"/>
          <w:shd w:val="clear" w:color="auto" w:fill="FFFFFF"/>
          <w:lang w:val="en-US" w:eastAsia="zh-CN" w:bidi="ar-SA"/>
        </w:rPr>
        <w:t>2024年</w:t>
      </w:r>
      <w:r>
        <w:rPr>
          <w:rFonts w:hint="default" w:ascii="Times New Roman" w:hAnsi="Times New Roman" w:eastAsia="方正仿宋_GBK" w:cs="Times New Roman"/>
          <w:sz w:val="32"/>
          <w:szCs w:val="32"/>
          <w:shd w:val="clear" w:color="auto" w:fill="FFFFFF"/>
          <w:lang w:val="en-US" w:eastAsia="zh-CN" w:bidi="ar-SA"/>
        </w:rPr>
        <w:t>相比，较上年减少3.65万元，下降2.94%。主要原因是</w:t>
      </w:r>
      <w:r>
        <w:rPr>
          <w:rFonts w:hint="eastAsia" w:ascii="Times New Roman" w:hAnsi="Times New Roman" w:eastAsia="方正仿宋_GBK" w:cs="Times New Roman"/>
          <w:sz w:val="32"/>
          <w:szCs w:val="32"/>
          <w:shd w:val="clear" w:color="auto" w:fill="FFFFFF"/>
          <w:lang w:val="en-US" w:eastAsia="zh-CN" w:bidi="ar-SA"/>
        </w:rPr>
        <w:t>人员减少。</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（三）一般公共预算财政拨款收入支出决算情况说明</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default" w:ascii="Times New Roman" w:hAnsi="Times New Roman" w:eastAsia="方正仿宋_GBK" w:cs="Times New Roman"/>
          <w:sz w:val="32"/>
          <w:szCs w:val="32"/>
          <w:shd w:val="clear" w:color="auto" w:fill="FFFFFF"/>
          <w:lang w:val="en-US" w:eastAsia="zh-CN" w:bidi="ar-SA"/>
        </w:rPr>
      </w:pPr>
      <w:r>
        <w:rPr>
          <w:rStyle w:val="10"/>
          <w:rFonts w:hint="default" w:ascii="Times New Roman" w:hAnsi="Times New Roman" w:eastAsia="方正仿宋_GBK" w:cs="Times New Roman"/>
          <w:sz w:val="32"/>
          <w:szCs w:val="32"/>
          <w:shd w:val="clear" w:color="auto" w:fill="FFFFFF"/>
        </w:rPr>
        <w:t>1.收入情况。</w:t>
      </w:r>
      <w:r>
        <w:rPr>
          <w:rFonts w:hint="eastAsia" w:ascii="Times New Roman" w:hAnsi="Times New Roman" w:eastAsia="方正仿宋_GBK" w:cs="Times New Roman"/>
          <w:sz w:val="32"/>
          <w:szCs w:val="32"/>
          <w:shd w:val="clear" w:color="auto" w:fill="FFFFFF"/>
          <w:lang w:val="en-US" w:eastAsia="zh-CN" w:bidi="ar-SA"/>
        </w:rPr>
        <w:t>2025年度一般公共预算财政拨款收入120.66万元，较上年减少3.65万元，下降2.94%</w:t>
      </w:r>
      <w:r>
        <w:rPr>
          <w:rFonts w:hint="default" w:ascii="Times New Roman" w:hAnsi="Times New Roman" w:eastAsia="方正仿宋_GBK" w:cs="Times New Roman"/>
          <w:sz w:val="32"/>
          <w:szCs w:val="32"/>
          <w:shd w:val="clear" w:color="auto" w:fill="FFFFFF"/>
          <w:lang w:val="en-US" w:eastAsia="zh-CN" w:bidi="ar-SA"/>
        </w:rPr>
        <w:t>。主要原因是</w:t>
      </w:r>
      <w:r>
        <w:rPr>
          <w:rFonts w:hint="eastAsia" w:ascii="Times New Roman" w:hAnsi="Times New Roman" w:eastAsia="方正仿宋_GBK" w:cs="Times New Roman"/>
          <w:sz w:val="32"/>
          <w:szCs w:val="32"/>
          <w:shd w:val="clear" w:color="auto" w:fill="FFFFFF"/>
          <w:lang w:val="en-US" w:eastAsia="zh-CN" w:bidi="ar-SA"/>
        </w:rPr>
        <w:t>人员减少</w:t>
      </w:r>
      <w:r>
        <w:rPr>
          <w:rFonts w:hint="default" w:ascii="Times New Roman" w:hAnsi="Times New Roman" w:eastAsia="方正仿宋_GBK" w:cs="Times New Roman"/>
          <w:sz w:val="32"/>
          <w:szCs w:val="32"/>
          <w:shd w:val="clear" w:color="auto" w:fill="FFFFFF"/>
          <w:lang w:val="en-US" w:eastAsia="zh-CN" w:bidi="ar-SA"/>
        </w:rPr>
        <w:t>。</w:t>
      </w:r>
      <w:r>
        <w:rPr>
          <w:rFonts w:hint="eastAsia" w:ascii="Times New Roman" w:hAnsi="Times New Roman" w:eastAsia="方正仿宋_GBK" w:cs="Times New Roman"/>
          <w:sz w:val="32"/>
          <w:szCs w:val="32"/>
          <w:shd w:val="clear" w:color="auto" w:fill="FFFFFF"/>
          <w:lang w:val="en-US" w:eastAsia="zh-CN" w:bidi="ar-SA"/>
        </w:rPr>
        <w:t>较年初预算数减少4.8万元，下降3.83%。</w:t>
      </w:r>
      <w:r>
        <w:rPr>
          <w:rFonts w:hint="default" w:ascii="Times New Roman" w:hAnsi="Times New Roman" w:eastAsia="方正仿宋_GBK" w:cs="Times New Roman"/>
          <w:sz w:val="32"/>
          <w:szCs w:val="32"/>
          <w:shd w:val="clear" w:color="auto" w:fill="FFFFFF"/>
          <w:lang w:val="en-US" w:eastAsia="zh-CN" w:bidi="ar-SA"/>
        </w:rPr>
        <w:t>主要原因是</w:t>
      </w:r>
      <w:r>
        <w:rPr>
          <w:rFonts w:hint="eastAsia" w:ascii="Times New Roman" w:hAnsi="Times New Roman" w:eastAsia="方正仿宋_GBK" w:cs="Times New Roman"/>
          <w:sz w:val="32"/>
          <w:szCs w:val="32"/>
          <w:shd w:val="clear" w:color="auto" w:fill="FFFFFF"/>
          <w:lang w:val="en-US" w:eastAsia="zh-CN" w:bidi="ar-SA"/>
        </w:rPr>
        <w:t>人员减少</w:t>
      </w:r>
      <w:r>
        <w:rPr>
          <w:rFonts w:hint="default" w:ascii="Times New Roman" w:hAnsi="Times New Roman" w:eastAsia="方正仿宋_GBK" w:cs="Times New Roman"/>
          <w:sz w:val="32"/>
          <w:szCs w:val="32"/>
          <w:shd w:val="clear" w:color="auto" w:fill="FFFFFF"/>
          <w:lang w:val="en-US" w:eastAsia="zh-CN" w:bidi="ar-SA"/>
        </w:rPr>
        <w:t>。此外，年初财政拨款结转和结余0.00万元。</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shd w:val="clear" w:color="auto" w:fill="FFFFFF"/>
          <w:lang w:val="en-US" w:eastAsia="zh-CN" w:bidi="ar-SA"/>
        </w:rPr>
      </w:pPr>
      <w:r>
        <w:rPr>
          <w:rStyle w:val="10"/>
          <w:rFonts w:hint="default" w:ascii="Times New Roman" w:hAnsi="Times New Roman" w:eastAsia="方正仿宋_GBK" w:cs="Times New Roman"/>
          <w:sz w:val="32"/>
          <w:szCs w:val="32"/>
          <w:shd w:val="clear" w:color="auto" w:fill="FFFFFF"/>
        </w:rPr>
        <w:t>2.支出情况。</w:t>
      </w:r>
      <w:r>
        <w:rPr>
          <w:rFonts w:hint="eastAsia" w:ascii="Times New Roman" w:hAnsi="Times New Roman" w:eastAsia="方正仿宋_GBK" w:cs="Times New Roman"/>
          <w:sz w:val="32"/>
          <w:szCs w:val="32"/>
          <w:shd w:val="clear" w:color="auto" w:fill="FFFFFF"/>
          <w:lang w:eastAsia="zh-CN"/>
        </w:rPr>
        <w:t>2025年</w:t>
      </w:r>
      <w:r>
        <w:rPr>
          <w:rFonts w:hint="default" w:ascii="Times New Roman" w:hAnsi="Times New Roman" w:eastAsia="方正仿宋_GBK" w:cs="Times New Roman"/>
          <w:sz w:val="32"/>
          <w:szCs w:val="32"/>
          <w:shd w:val="clear" w:color="auto" w:fill="FFFFFF"/>
        </w:rPr>
        <w:t>度一般公共预算财政拨款支出120.66万元，较上年减少3.65万元，下降2.94%。</w:t>
      </w:r>
      <w:r>
        <w:rPr>
          <w:rFonts w:hint="default" w:ascii="Times New Roman" w:hAnsi="Times New Roman" w:eastAsia="方正仿宋_GBK" w:cs="Times New Roman"/>
          <w:sz w:val="32"/>
          <w:szCs w:val="32"/>
          <w:shd w:val="clear" w:color="auto" w:fill="FFFFFF"/>
          <w:lang w:val="en-US" w:eastAsia="zh-CN"/>
        </w:rPr>
        <w:t>主要原因是</w:t>
      </w:r>
      <w:r>
        <w:rPr>
          <w:rFonts w:hint="eastAsia" w:ascii="Times New Roman" w:hAnsi="Times New Roman" w:eastAsia="方正仿宋_GBK" w:cs="Times New Roman"/>
          <w:sz w:val="32"/>
          <w:szCs w:val="32"/>
          <w:shd w:val="clear" w:color="auto" w:fill="FFFFFF"/>
          <w:lang w:val="en-US" w:eastAsia="zh-CN"/>
        </w:rPr>
        <w:t>人员减少</w:t>
      </w:r>
      <w:r>
        <w:rPr>
          <w:rFonts w:hint="default" w:ascii="Times New Roman" w:hAnsi="Times New Roman" w:eastAsia="方正仿宋_GBK" w:cs="Times New Roman"/>
          <w:sz w:val="32"/>
          <w:szCs w:val="32"/>
          <w:shd w:val="clear" w:color="auto" w:fill="FFFFFF"/>
          <w:lang w:val="en-US" w:eastAsia="zh-CN"/>
        </w:rPr>
        <w:t>。</w:t>
      </w:r>
      <w:r>
        <w:rPr>
          <w:rFonts w:hint="default" w:ascii="Times New Roman" w:hAnsi="Times New Roman" w:eastAsia="方正仿宋_GBK" w:cs="Times New Roman"/>
          <w:sz w:val="32"/>
          <w:szCs w:val="32"/>
          <w:shd w:val="clear" w:color="auto" w:fill="FFFFFF"/>
        </w:rPr>
        <w:t>较年初预算数减少4.8万元，下降3.83%。</w:t>
      </w:r>
      <w:r>
        <w:rPr>
          <w:rFonts w:hint="default" w:ascii="Times New Roman" w:hAnsi="Times New Roman" w:eastAsia="方正仿宋_GBK" w:cs="Times New Roman"/>
          <w:sz w:val="32"/>
          <w:szCs w:val="32"/>
          <w:shd w:val="clear" w:color="auto" w:fill="FFFFFF"/>
          <w:lang w:val="en-US" w:eastAsia="zh-CN"/>
        </w:rPr>
        <w:t>主要原因是</w:t>
      </w:r>
      <w:r>
        <w:rPr>
          <w:rFonts w:hint="eastAsia" w:ascii="Times New Roman" w:hAnsi="Times New Roman" w:eastAsia="方正仿宋_GBK" w:cs="Times New Roman"/>
          <w:sz w:val="32"/>
          <w:szCs w:val="32"/>
          <w:shd w:val="clear" w:color="auto" w:fill="FFFFFF"/>
          <w:lang w:val="en-US" w:eastAsia="zh-CN"/>
        </w:rPr>
        <w:t>人员减少</w:t>
      </w:r>
      <w:r>
        <w:rPr>
          <w:rFonts w:hint="default" w:ascii="Times New Roman" w:hAnsi="Times New Roman" w:eastAsia="方正仿宋_GBK" w:cs="Times New Roman"/>
          <w:sz w:val="32"/>
          <w:szCs w:val="32"/>
          <w:shd w:val="clear" w:color="auto" w:fill="FFFFFF"/>
          <w:lang w:val="en-US" w:eastAsia="zh-CN" w:bidi="ar-SA"/>
        </w:rPr>
        <w:t>。</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shd w:val="clear" w:color="auto" w:fill="FFFFFF"/>
          <w:lang w:eastAsia="zh-CN"/>
        </w:rPr>
      </w:pPr>
      <w:r>
        <w:rPr>
          <w:rStyle w:val="10"/>
          <w:rFonts w:hint="default" w:ascii="Times New Roman" w:hAnsi="Times New Roman" w:eastAsia="方正仿宋_GBK" w:cs="Times New Roman"/>
          <w:sz w:val="32"/>
          <w:szCs w:val="32"/>
          <w:shd w:val="clear" w:color="auto" w:fill="FFFFFF"/>
        </w:rPr>
        <w:t>3.结转结余情况。</w:t>
      </w:r>
      <w:r>
        <w:rPr>
          <w:rFonts w:hint="eastAsia" w:ascii="Times New Roman" w:hAnsi="Times New Roman" w:eastAsia="方正仿宋_GBK" w:cs="Times New Roman"/>
          <w:sz w:val="32"/>
          <w:szCs w:val="32"/>
          <w:shd w:val="clear" w:color="auto" w:fill="FFFFFF"/>
          <w:lang w:eastAsia="zh-CN"/>
        </w:rPr>
        <w:t>2025年度年末一般公共预算财政拨款结转和结余0.00万元，较上年无增减</w:t>
      </w:r>
      <w:r>
        <w:rPr>
          <w:rFonts w:hint="default" w:ascii="Times New Roman" w:hAnsi="Times New Roman" w:eastAsia="方正仿宋_GBK" w:cs="Times New Roman"/>
          <w:sz w:val="32"/>
          <w:szCs w:val="32"/>
          <w:shd w:val="clear" w:color="auto" w:fill="FFFFFF"/>
          <w:lang w:eastAsia="zh-CN"/>
        </w:rPr>
        <w:t>，与上年决算数一致。</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shd w:val="clear" w:color="auto" w:fill="FFFFFF"/>
          <w:lang w:eastAsia="zh-CN"/>
        </w:rPr>
      </w:pPr>
      <w:r>
        <w:rPr>
          <w:rStyle w:val="10"/>
          <w:rFonts w:hint="default" w:ascii="Times New Roman" w:hAnsi="Times New Roman" w:eastAsia="方正仿宋_GBK" w:cs="Times New Roman"/>
          <w:sz w:val="32"/>
          <w:szCs w:val="32"/>
          <w:shd w:val="clear" w:color="auto" w:fill="FFFFFF"/>
        </w:rPr>
        <w:t>4.比较情况。</w:t>
      </w:r>
      <w:r>
        <w:rPr>
          <w:rFonts w:hint="default" w:ascii="Times New Roman" w:hAnsi="Times New Roman" w:eastAsia="方正仿宋_GBK" w:cs="Times New Roman"/>
          <w:sz w:val="32"/>
          <w:szCs w:val="32"/>
          <w:shd w:val="clear" w:color="auto" w:fill="FFFFFF"/>
          <w:lang w:eastAsia="zh-CN"/>
        </w:rPr>
        <w:t>本部门202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年度一般公共预算财政拨款支出主要用于以下几个方面：</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ascii="方正仿宋_GBK" w:hAnsi="方正仿宋_GBK" w:eastAsia="方正仿宋_GBK" w:cs="方正仿宋_GBK"/>
          <w:sz w:val="32"/>
          <w:szCs w:val="32"/>
        </w:rPr>
        <w:t>89.10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73.85</w:t>
      </w:r>
      <w:r>
        <w:rPr>
          <w:rFonts w:ascii="方正仿宋_GBK" w:hAnsi="方正仿宋_GBK" w:eastAsia="方正仿宋_GBK" w:cs="方正仿宋_GBK"/>
          <w:sz w:val="32"/>
          <w:szCs w:val="32"/>
          <w:shd w:val="clear" w:color="auto" w:fill="FFFFFF"/>
        </w:rPr>
        <w:t>%，完成年初预算数的92.55%</w:t>
      </w:r>
      <w:r>
        <w:rPr>
          <w:rFonts w:hint="eastAsia" w:ascii="方正仿宋_GBK" w:hAnsi="方正仿宋_GBK" w:eastAsia="方正仿宋_GBK" w:cs="方正仿宋_GBK"/>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主要原因</w:t>
      </w:r>
      <w:r>
        <w:rPr>
          <w:rFonts w:hint="default" w:ascii="Times New Roman" w:hAnsi="Times New Roman" w:eastAsia="方正仿宋_GBK" w:cs="Times New Roman"/>
          <w:sz w:val="32"/>
          <w:szCs w:val="32"/>
          <w:shd w:val="clear" w:color="auto" w:fill="FFFFFF"/>
          <w:lang w:eastAsia="zh-CN"/>
        </w:rPr>
        <w:t>是</w:t>
      </w:r>
      <w:r>
        <w:rPr>
          <w:rFonts w:hint="eastAsia" w:ascii="Times New Roman" w:hAnsi="Times New Roman" w:eastAsia="方正仿宋_GBK" w:cs="Times New Roman"/>
          <w:sz w:val="32"/>
          <w:szCs w:val="32"/>
          <w:shd w:val="clear" w:color="auto" w:fill="FFFFFF"/>
          <w:lang w:eastAsia="zh-CN"/>
        </w:rPr>
        <w:t>人员减少。</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eastAsia="方正仿宋_GBK"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社会保障与就业支出17.90万元，占14.83%，完成年初预算数的104.99%</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基本工资调标基数调整</w:t>
      </w:r>
      <w:r>
        <w:rPr>
          <w:rFonts w:hint="eastAsia" w:eastAsia="方正仿宋_GBK" w:cs="Times New Roman"/>
          <w:color w:val="000000" w:themeColor="text1"/>
          <w:sz w:val="32"/>
          <w:szCs w:val="32"/>
          <w:lang w:eastAsia="zh-CN"/>
          <w14:textFill>
            <w14:solidFill>
              <w14:schemeClr w14:val="tx1"/>
            </w14:solidFill>
          </w14:textFill>
        </w:rPr>
        <w:t>。</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卫生健康支出6.52万元，占5.41%，完成年初预算数的103.49%</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基本工资调标基数调整</w:t>
      </w:r>
      <w:r>
        <w:rPr>
          <w:rFonts w:hint="default" w:ascii="方正仿宋_GBK" w:hAnsi="方正仿宋_GBK" w:eastAsia="方正仿宋_GBK" w:cs="方正仿宋_GBK"/>
          <w:sz w:val="32"/>
          <w:szCs w:val="32"/>
          <w:shd w:val="clear" w:color="auto" w:fill="FFFFFF"/>
          <w:lang w:eastAsia="zh-CN"/>
        </w:rPr>
        <w:t>。</w:t>
      </w:r>
    </w:p>
    <w:p>
      <w:pPr>
        <w:keepNext w:val="0"/>
        <w:keepLines w:val="0"/>
        <w:pageBreakBefore w:val="0"/>
        <w:widowControl/>
        <w:shd w:val="clear"/>
        <w:kinsoku/>
        <w:wordWrap/>
        <w:overflowPunct/>
        <w:topLinePunct w:val="0"/>
        <w:autoSpaceDN/>
        <w:bidi w:val="0"/>
        <w:adjustRightInd/>
        <w:spacing w:beforeAutospacing="0" w:afterAutospacing="0" w:line="560" w:lineRule="exact"/>
        <w:ind w:firstLine="640" w:firstLineChars="200"/>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rPr>
        <w:t>住房保障支出7.13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5.91</w:t>
      </w:r>
      <w:r>
        <w:rPr>
          <w:rFonts w:ascii="方正仿宋_GBK" w:hAnsi="方正仿宋_GBK" w:eastAsia="方正仿宋_GBK" w:cs="方正仿宋_GBK"/>
          <w:sz w:val="32"/>
          <w:szCs w:val="32"/>
          <w:shd w:val="clear" w:color="auto" w:fill="FFFFFF"/>
        </w:rPr>
        <w:t>%，完成年初预算数的122.09%</w:t>
      </w:r>
      <w:r>
        <w:rPr>
          <w:rFonts w:hint="eastAsia" w:ascii="方正仿宋_GBK" w:hAnsi="方正仿宋_GBK" w:eastAsia="方正仿宋_GBK" w:cs="方正仿宋_GBK"/>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主要原因是</w:t>
      </w:r>
      <w:r>
        <w:rPr>
          <w:rFonts w:hint="eastAsia" w:eastAsia="方正仿宋_GBK" w:cs="Times New Roman"/>
          <w:color w:val="000000" w:themeColor="text1"/>
          <w:sz w:val="32"/>
          <w:szCs w:val="32"/>
          <w:lang w:eastAsia="zh-CN"/>
          <w14:textFill>
            <w14:solidFill>
              <w14:schemeClr w14:val="tx1"/>
            </w14:solidFill>
          </w14:textFill>
        </w:rPr>
        <w:t>基本工资调标基数调整</w:t>
      </w:r>
      <w:r>
        <w:rPr>
          <w:rFonts w:hint="default" w:ascii="Times New Roman" w:hAnsi="Times New Roman" w:eastAsia="方正仿宋_GBK" w:cs="Times New Roman"/>
          <w:sz w:val="32"/>
          <w:szCs w:val="32"/>
          <w:shd w:val="clear" w:color="auto" w:fill="FFFFFF"/>
          <w:lang w:eastAsia="zh-CN"/>
        </w:rPr>
        <w:t>。</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（四）一般公共预算财政拨款基本支出决算情况说明</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sz w:val="32"/>
          <w:szCs w:val="32"/>
        </w:rPr>
      </w:pPr>
      <w:r>
        <w:rPr>
          <w:rFonts w:hint="eastAsia" w:ascii="方正仿宋_GBK" w:hAnsi="方正仿宋_GBK" w:eastAsia="方正仿宋_GBK" w:cs="方正仿宋_GBK"/>
          <w:sz w:val="32"/>
          <w:szCs w:val="32"/>
          <w:shd w:val="clear" w:color="auto" w:fill="FFFFFF"/>
          <w:lang w:val="en-US" w:eastAsia="zh-CN" w:bidi="ar-SA"/>
        </w:rPr>
        <w:t>2025年度一般公共财政拨款基本支出120.66万元。其中：人员经费111.80万元，较上年减少1.58万元，下降1.39%，</w:t>
      </w:r>
      <w:r>
        <w:rPr>
          <w:rFonts w:hint="default" w:ascii="方正仿宋_GBK" w:hAnsi="方正仿宋_GBK" w:eastAsia="方正仿宋_GBK" w:cs="方正仿宋_GBK"/>
          <w:sz w:val="32"/>
          <w:szCs w:val="32"/>
          <w:shd w:val="clear" w:color="auto" w:fill="FFFFFF"/>
          <w:lang w:val="en-US" w:eastAsia="zh-CN" w:bidi="ar-SA"/>
        </w:rPr>
        <w:t>主要原因是</w:t>
      </w:r>
      <w:r>
        <w:rPr>
          <w:rFonts w:hint="eastAsia" w:ascii="方正仿宋_GBK" w:hAnsi="方正仿宋_GBK" w:eastAsia="方正仿宋_GBK" w:cs="方正仿宋_GBK"/>
          <w:sz w:val="32"/>
          <w:szCs w:val="32"/>
          <w:shd w:val="clear" w:color="auto" w:fill="FFFFFF"/>
          <w:lang w:val="en-US" w:eastAsia="zh-CN" w:bidi="ar-SA"/>
        </w:rPr>
        <w:t>人员减少</w:t>
      </w:r>
      <w:r>
        <w:rPr>
          <w:rFonts w:hint="default" w:ascii="方正仿宋_GBK" w:hAnsi="方正仿宋_GBK" w:eastAsia="方正仿宋_GBK" w:cs="方正仿宋_GBK"/>
          <w:sz w:val="32"/>
          <w:szCs w:val="32"/>
          <w:shd w:val="clear" w:color="auto" w:fill="FFFFFF"/>
          <w:lang w:val="en-US" w:eastAsia="zh-CN" w:bidi="ar-SA"/>
        </w:rPr>
        <w:t>。人员经费用途主要包括基本工资、津贴补贴、绩效工资、社会保障缴费、住房公积金。</w:t>
      </w:r>
      <w:r>
        <w:rPr>
          <w:rFonts w:hint="eastAsia" w:ascii="方正仿宋_GBK" w:hAnsi="方正仿宋_GBK" w:eastAsia="方正仿宋_GBK" w:cs="方正仿宋_GBK"/>
          <w:sz w:val="32"/>
          <w:szCs w:val="32"/>
          <w:shd w:val="clear" w:color="auto" w:fill="FFFFFF"/>
          <w:lang w:val="en-US" w:eastAsia="zh-CN" w:bidi="ar-SA"/>
        </w:rPr>
        <w:t>公用经费8.85万元，较上年减少2.09万元，下降19.10%，</w:t>
      </w:r>
      <w:r>
        <w:rPr>
          <w:rFonts w:hint="default" w:ascii="方正仿宋_GBK" w:hAnsi="方正仿宋_GBK" w:eastAsia="方正仿宋_GBK" w:cs="方正仿宋_GBK"/>
          <w:sz w:val="32"/>
          <w:szCs w:val="32"/>
          <w:shd w:val="clear" w:color="auto" w:fill="FFFFFF"/>
          <w:lang w:val="en-US" w:eastAsia="zh-CN" w:bidi="ar-SA"/>
        </w:rPr>
        <w:t>主要原因是</w:t>
      </w:r>
      <w:r>
        <w:rPr>
          <w:rFonts w:hint="eastAsia" w:ascii="方正仿宋_GBK" w:hAnsi="方正仿宋_GBK" w:eastAsia="方正仿宋_GBK" w:cs="方正仿宋_GBK"/>
          <w:sz w:val="32"/>
          <w:szCs w:val="32"/>
          <w:shd w:val="clear" w:color="auto" w:fill="FFFFFF"/>
          <w:lang w:val="en-US" w:eastAsia="zh-CN" w:bidi="ar-SA"/>
        </w:rPr>
        <w:t>人员减少</w:t>
      </w:r>
      <w:r>
        <w:rPr>
          <w:rFonts w:hint="default" w:ascii="方正仿宋_GBK" w:hAnsi="方正仿宋_GBK" w:eastAsia="方正仿宋_GBK" w:cs="方正仿宋_GBK"/>
          <w:sz w:val="32"/>
          <w:szCs w:val="32"/>
          <w:shd w:val="clear" w:color="auto" w:fill="FFFFFF"/>
          <w:lang w:val="en-US" w:eastAsia="zh-CN" w:bidi="ar-SA"/>
        </w:rPr>
        <w:t>。公</w:t>
      </w:r>
      <w:r>
        <w:rPr>
          <w:rFonts w:hint="default" w:ascii="Times New Roman" w:hAnsi="Times New Roman" w:eastAsia="方正仿宋_GBK" w:cs="Times New Roman"/>
          <w:sz w:val="32"/>
          <w:szCs w:val="32"/>
          <w:shd w:val="clear" w:color="auto" w:fill="FFFFFF"/>
        </w:rPr>
        <w:t>用经费用途主要包括</w:t>
      </w:r>
      <w:r>
        <w:rPr>
          <w:rFonts w:hint="default" w:ascii="Times New Roman" w:hAnsi="Times New Roman" w:eastAsia="方正仿宋_GBK" w:cs="Times New Roman"/>
          <w:b w:val="0"/>
          <w:bCs/>
          <w:sz w:val="32"/>
          <w:szCs w:val="32"/>
          <w:shd w:val="clear" w:color="auto" w:fill="FFFFFF"/>
          <w:lang w:eastAsia="zh-CN"/>
        </w:rPr>
        <w:t>办公费、电费、邮电费、差旅费、培训费、工会经费、福利费等。</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（五）政府性基金预算收支决算情况说明</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sz w:val="32"/>
          <w:szCs w:val="32"/>
          <w:shd w:val="clear" w:color="auto" w:fill="FFFFFF"/>
          <w:lang w:eastAsia="zh-CN"/>
        </w:rPr>
      </w:pPr>
      <w:r>
        <w:rPr>
          <w:rFonts w:hint="default" w:ascii="Times New Roman" w:hAnsi="Times New Roman" w:eastAsia="方正仿宋_GBK" w:cs="Times New Roman"/>
          <w:b w:val="0"/>
          <w:bCs/>
          <w:sz w:val="32"/>
          <w:szCs w:val="32"/>
          <w:shd w:val="clear" w:color="auto" w:fill="FFFFFF"/>
          <w:lang w:eastAsia="zh-CN"/>
        </w:rPr>
        <w:t>本部门202</w:t>
      </w:r>
      <w:r>
        <w:rPr>
          <w:rFonts w:hint="eastAsia" w:ascii="Times New Roman" w:hAnsi="Times New Roman" w:eastAsia="方正仿宋_GBK" w:cs="Times New Roman"/>
          <w:b w:val="0"/>
          <w:bCs/>
          <w:sz w:val="32"/>
          <w:szCs w:val="32"/>
          <w:shd w:val="clear" w:color="auto" w:fill="FFFFFF"/>
          <w:lang w:val="en-US" w:eastAsia="zh-CN"/>
        </w:rPr>
        <w:t>5</w:t>
      </w:r>
      <w:r>
        <w:rPr>
          <w:rFonts w:hint="default" w:ascii="Times New Roman" w:hAnsi="Times New Roman" w:eastAsia="方正仿宋_GBK" w:cs="Times New Roman"/>
          <w:b w:val="0"/>
          <w:bCs/>
          <w:sz w:val="32"/>
          <w:szCs w:val="32"/>
          <w:shd w:val="clear" w:color="auto" w:fill="FFFFFF"/>
          <w:lang w:eastAsia="zh-CN"/>
        </w:rPr>
        <w:t>年度无政府性基金预算财政拨款收支。</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eastAsia" w:ascii="Times New Roman" w:hAnsi="Times New Roman" w:eastAsia="方正楷体_GBK" w:cs="Times New Roman"/>
          <w:b w:val="0"/>
          <w:bCs/>
          <w:sz w:val="32"/>
          <w:szCs w:val="32"/>
          <w:shd w:val="clear" w:color="auto" w:fill="FFFFFF"/>
          <w:lang w:eastAsia="zh-CN"/>
        </w:rPr>
        <w:t>（</w:t>
      </w:r>
      <w:r>
        <w:rPr>
          <w:rStyle w:val="10"/>
          <w:rFonts w:hint="eastAsia" w:ascii="Times New Roman" w:hAnsi="Times New Roman" w:eastAsia="方正楷体_GBK" w:cs="Times New Roman"/>
          <w:b w:val="0"/>
          <w:bCs/>
          <w:sz w:val="32"/>
          <w:szCs w:val="32"/>
          <w:shd w:val="clear" w:color="auto" w:fill="FFFFFF"/>
          <w:lang w:val="en-US" w:eastAsia="zh-CN"/>
        </w:rPr>
        <w:t>六</w:t>
      </w:r>
      <w:r>
        <w:rPr>
          <w:rStyle w:val="10"/>
          <w:rFonts w:hint="eastAsia" w:ascii="Times New Roman" w:hAnsi="Times New Roman" w:eastAsia="方正楷体_GBK" w:cs="Times New Roman"/>
          <w:b w:val="0"/>
          <w:bCs/>
          <w:sz w:val="32"/>
          <w:szCs w:val="32"/>
          <w:shd w:val="clear" w:color="auto" w:fill="FFFFFF"/>
          <w:lang w:eastAsia="zh-CN"/>
        </w:rPr>
        <w:t>）</w:t>
      </w:r>
      <w:r>
        <w:rPr>
          <w:rStyle w:val="10"/>
          <w:rFonts w:hint="default" w:ascii="Times New Roman" w:hAnsi="Times New Roman" w:eastAsia="方正楷体_GBK" w:cs="Times New Roman"/>
          <w:b w:val="0"/>
          <w:bCs/>
          <w:sz w:val="32"/>
          <w:szCs w:val="32"/>
          <w:shd w:val="clear" w:color="auto" w:fill="FFFFFF"/>
        </w:rPr>
        <w:t>国有资本经营预算财政拨款支出决算情况说明</w:t>
      </w:r>
    </w:p>
    <w:p>
      <w:pPr>
        <w:pStyle w:val="11"/>
        <w:keepNext w:val="0"/>
        <w:keepLines w:val="0"/>
        <w:pageBreakBefore w:val="0"/>
        <w:widowControl/>
        <w:numPr>
          <w:ilvl w:val="0"/>
          <w:numId w:val="0"/>
        </w:numPr>
        <w:shd w:val="clear"/>
        <w:kinsoku/>
        <w:wordWrap/>
        <w:overflowPunct/>
        <w:topLinePunct w:val="0"/>
        <w:autoSpaceDE w:val="0"/>
        <w:autoSpaceDN/>
        <w:bidi w:val="0"/>
        <w:adjustRightInd/>
        <w:spacing w:beforeAutospacing="0" w:afterAutospacing="0" w:line="560" w:lineRule="exact"/>
        <w:ind w:firstLine="640" w:firstLineChars="200"/>
        <w:textAlignment w:val="auto"/>
        <w:rPr>
          <w:rFonts w:hint="default" w:ascii="Times New Roman" w:hAnsi="Times New Roman" w:eastAsia="方正仿宋_GBK" w:cs="Times New Roman"/>
          <w:b w:val="0"/>
          <w:bCs/>
          <w:sz w:val="32"/>
          <w:szCs w:val="32"/>
          <w:shd w:val="clear" w:color="auto" w:fill="FFFFFF"/>
          <w:lang w:eastAsia="zh-CN"/>
        </w:rPr>
      </w:pPr>
      <w:r>
        <w:rPr>
          <w:rFonts w:hint="default" w:ascii="Times New Roman" w:hAnsi="Times New Roman" w:eastAsia="方正仿宋_GBK" w:cs="Times New Roman"/>
          <w:b w:val="0"/>
          <w:bCs/>
          <w:sz w:val="32"/>
          <w:szCs w:val="32"/>
          <w:shd w:val="clear" w:color="auto" w:fill="FFFFFF"/>
          <w:lang w:eastAsia="zh-CN"/>
        </w:rPr>
        <w:t>本部门202</w:t>
      </w:r>
      <w:r>
        <w:rPr>
          <w:rFonts w:hint="eastAsia" w:ascii="Times New Roman" w:hAnsi="Times New Roman" w:eastAsia="方正仿宋_GBK" w:cs="Times New Roman"/>
          <w:b w:val="0"/>
          <w:bCs/>
          <w:sz w:val="32"/>
          <w:szCs w:val="32"/>
          <w:shd w:val="clear" w:color="auto" w:fill="FFFFFF"/>
          <w:lang w:val="en-US" w:eastAsia="zh-CN"/>
        </w:rPr>
        <w:t>5</w:t>
      </w:r>
      <w:r>
        <w:rPr>
          <w:rFonts w:hint="default" w:ascii="Times New Roman" w:hAnsi="Times New Roman" w:eastAsia="方正仿宋_GBK" w:cs="Times New Roman"/>
          <w:b w:val="0"/>
          <w:bCs/>
          <w:sz w:val="32"/>
          <w:szCs w:val="32"/>
          <w:shd w:val="clear" w:color="auto" w:fill="FFFFFF"/>
          <w:lang w:eastAsia="zh-CN"/>
        </w:rPr>
        <w:t>年度无国有资本经营预算财政拨款支出。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三、“三公”经费情况说明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（一）“三公”经费支出总体情况说明</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度“三公”经费支出共计</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万元，较年初预算数无增减</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较上年支出数无增减，主要原因是</w:t>
      </w:r>
      <w:r>
        <w:rPr>
          <w:rFonts w:hint="default" w:ascii="Times New Roman" w:hAnsi="Times New Roman" w:eastAsia="方正仿宋_GBK" w:cs="Times New Roman"/>
          <w:color w:val="000000" w:themeColor="text1"/>
          <w:sz w:val="32"/>
          <w:szCs w:val="32"/>
          <w14:textFill>
            <w14:solidFill>
              <w14:schemeClr w14:val="tx1"/>
            </w14:solidFill>
          </w14:textFill>
        </w:rPr>
        <w:t>“三公”</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经费在信访办（本级）核算，本中心无支出。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（二）“三公”经费分项支出情况</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度本部门因公出国（境）费用</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主要是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val="en-US" w:eastAsia="zh-CN"/>
        </w:rPr>
        <w:t>年度我单位未发生因公出国（境）费用。</w:t>
      </w:r>
      <w:r>
        <w:rPr>
          <w:rFonts w:hint="default" w:ascii="Times New Roman" w:hAnsi="Times New Roman" w:eastAsia="方正仿宋_GBK" w:cs="Times New Roman"/>
          <w:sz w:val="32"/>
          <w:szCs w:val="32"/>
          <w:shd w:val="clear" w:color="auto" w:fill="FFFFFF"/>
        </w:rPr>
        <w:t>费用支出较年初预算数无增减，与202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年度相比，无增减，主要原因是</w:t>
      </w:r>
      <w:r>
        <w:rPr>
          <w:rFonts w:hint="default" w:ascii="Times New Roman" w:hAnsi="Times New Roman" w:eastAsia="方正仿宋_GBK" w:cs="Times New Roman"/>
          <w:sz w:val="32"/>
          <w:szCs w:val="32"/>
          <w:shd w:val="clear" w:color="auto" w:fill="FFFFFF"/>
          <w:lang w:eastAsia="zh-CN"/>
        </w:rPr>
        <w:t>与上年持平</w:t>
      </w:r>
      <w:r>
        <w:rPr>
          <w:rFonts w:hint="eastAsia"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公务车购置费</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主要</w:t>
      </w:r>
      <w:r>
        <w:rPr>
          <w:rFonts w:hint="default" w:ascii="Times New Roman" w:hAnsi="Times New Roman" w:eastAsia="方正仿宋_GBK" w:cs="Times New Roman"/>
          <w:sz w:val="32"/>
          <w:szCs w:val="32"/>
          <w:shd w:val="clear" w:color="auto" w:fill="FFFFFF"/>
          <w:lang w:eastAsia="zh-CN"/>
        </w:rPr>
        <w:t>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val="en-US" w:eastAsia="zh-CN"/>
        </w:rPr>
        <w:t>年度我单位未发生公务用车购置费用。</w:t>
      </w:r>
      <w:r>
        <w:rPr>
          <w:rFonts w:hint="default" w:ascii="Times New Roman" w:hAnsi="Times New Roman" w:eastAsia="方正仿宋_GBK" w:cs="Times New Roman"/>
          <w:sz w:val="32"/>
          <w:szCs w:val="32"/>
          <w:shd w:val="clear" w:color="auto" w:fill="FFFFFF"/>
        </w:rPr>
        <w:t>费用支出较年初预算数无增减，与202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年度相比，无增减，主要原因是</w:t>
      </w:r>
      <w:r>
        <w:rPr>
          <w:rFonts w:hint="default" w:ascii="Times New Roman" w:hAnsi="Times New Roman" w:eastAsia="方正仿宋_GBK" w:cs="Times New Roman"/>
          <w:sz w:val="32"/>
          <w:szCs w:val="32"/>
          <w:shd w:val="clear" w:color="auto" w:fill="FFFFFF"/>
          <w:lang w:eastAsia="zh-CN"/>
        </w:rPr>
        <w:t>与上年持平</w:t>
      </w:r>
      <w:r>
        <w:rPr>
          <w:rFonts w:hint="eastAsia"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公务车运行维护费</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万元，费用支出较年初预算数无增减，与202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年度相比，无增减，主要原因是</w:t>
      </w:r>
      <w:r>
        <w:rPr>
          <w:rFonts w:hint="default" w:ascii="Times New Roman" w:hAnsi="Times New Roman" w:eastAsia="方正仿宋_GBK" w:cs="Times New Roman"/>
          <w:sz w:val="32"/>
          <w:szCs w:val="32"/>
          <w:shd w:val="clear" w:color="auto" w:fill="FFFFFF"/>
          <w:lang w:eastAsia="zh-CN"/>
        </w:rPr>
        <w:t>公务用车维修维护费</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在信访办（本级）核算，本中心无支出。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shd w:val="clear" w:color="auto" w:fill="FFFFFF"/>
        </w:rPr>
        <w:t>公务接待费</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万元，费用支出较年初预算数无增减，较上年支出数无增减，主要原因是</w:t>
      </w:r>
      <w:r>
        <w:rPr>
          <w:rFonts w:hint="default" w:ascii="Times New Roman" w:hAnsi="Times New Roman" w:eastAsia="方正仿宋_GBK" w:cs="Times New Roman"/>
          <w:sz w:val="32"/>
          <w:szCs w:val="32"/>
          <w:shd w:val="clear" w:color="auto" w:fill="FFFFFF"/>
          <w:lang w:eastAsia="zh-CN"/>
        </w:rPr>
        <w:t>公务接待费在信访办（本级）核算，本中心无支出。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（三）“三公”经费实物量情况</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度本部门因公出国（境）共计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个团组，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人；公务用车购置</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辆，公务车保有量为</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辆；国内公务接待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人，其中：国内外事接待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人；国（境）外公务接待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本部门人均接待费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元，车均购置费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万元，车均维护费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四、其他需要说明的事项</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（一）财政拨款会议费和培训费情况说明</w:t>
      </w:r>
    </w:p>
    <w:p>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sz w:val="32"/>
          <w:szCs w:val="32"/>
          <w:shd w:val="clear" w:color="auto" w:fill="FFFFFF"/>
          <w:lang w:val="en-US" w:eastAsia="zh-CN" w:bidi="ar-SA"/>
        </w:rPr>
      </w:pPr>
      <w:r>
        <w:rPr>
          <w:rFonts w:hint="default" w:ascii="Times New Roman" w:hAnsi="Times New Roman" w:eastAsia="方正仿宋_GBK" w:cs="Times New Roman"/>
          <w:sz w:val="32"/>
          <w:szCs w:val="32"/>
          <w:shd w:val="clear" w:color="auto" w:fill="FFFFFF"/>
          <w:lang w:val="en-US" w:eastAsia="zh-CN" w:bidi="ar-SA"/>
        </w:rPr>
        <w:t>本年度会议费支出0.00万元，较上年无增减，主要原因是会议费在信访办（本级）核算，本中心无支出。本年度培训费支出0.73万元，较上年增加</w:t>
      </w:r>
      <w:r>
        <w:rPr>
          <w:rFonts w:hint="eastAsia" w:ascii="Times New Roman" w:hAnsi="Times New Roman" w:eastAsia="方正仿宋_GBK" w:cs="Times New Roman"/>
          <w:sz w:val="32"/>
          <w:szCs w:val="32"/>
          <w:shd w:val="clear" w:color="auto" w:fill="FFFFFF"/>
          <w:lang w:val="en-US" w:eastAsia="zh-CN" w:bidi="ar-SA"/>
        </w:rPr>
        <w:t>0</w:t>
      </w:r>
      <w:r>
        <w:rPr>
          <w:rFonts w:hint="default" w:ascii="Times New Roman" w:hAnsi="Times New Roman" w:eastAsia="方正仿宋_GBK" w:cs="Times New Roman"/>
          <w:sz w:val="32"/>
          <w:szCs w:val="32"/>
          <w:shd w:val="clear" w:color="auto" w:fill="FFFFFF"/>
          <w:lang w:val="en-US" w:eastAsia="zh-CN" w:bidi="ar-SA"/>
        </w:rPr>
        <w:t>.01万元，增长1.39%</w:t>
      </w:r>
      <w:r>
        <w:rPr>
          <w:rFonts w:hint="eastAsia" w:ascii="Times New Roman" w:hAnsi="Times New Roman" w:eastAsia="方正仿宋_GBK" w:cs="Times New Roman"/>
          <w:sz w:val="32"/>
          <w:szCs w:val="32"/>
          <w:shd w:val="clear" w:color="auto" w:fill="FFFFFF"/>
          <w:lang w:val="en-US" w:eastAsia="zh-CN" w:bidi="ar-SA"/>
        </w:rPr>
        <w:t>，</w:t>
      </w:r>
      <w:r>
        <w:rPr>
          <w:rFonts w:hint="default" w:ascii="Times New Roman" w:hAnsi="Times New Roman" w:eastAsia="方正仿宋_GBK" w:cs="Times New Roman"/>
          <w:sz w:val="32"/>
          <w:szCs w:val="32"/>
          <w:shd w:val="clear" w:color="auto" w:fill="FFFFFF"/>
          <w:lang w:val="en-US" w:eastAsia="zh-CN" w:bidi="ar-SA"/>
        </w:rPr>
        <w:t>主要原因是</w:t>
      </w:r>
      <w:r>
        <w:rPr>
          <w:rFonts w:hint="eastAsia" w:ascii="Times New Roman" w:hAnsi="Times New Roman" w:eastAsia="方正仿宋_GBK" w:cs="Times New Roman"/>
          <w:sz w:val="32"/>
          <w:szCs w:val="32"/>
          <w:shd w:val="clear" w:color="auto" w:fill="FFFFFF"/>
          <w:lang w:val="en-US" w:eastAsia="zh-CN" w:bidi="ar-SA"/>
        </w:rPr>
        <w:t>培训次数增加。</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shd w:val="clear" w:color="auto" w:fill="FFFFFF"/>
          <w:lang w:val="en-US" w:eastAsia="zh-CN" w:bidi="ar-SA"/>
        </w:rPr>
      </w:pPr>
      <w:r>
        <w:rPr>
          <w:rFonts w:hint="default" w:ascii="Times New Roman" w:hAnsi="Times New Roman" w:eastAsia="方正仿宋_GBK" w:cs="Times New Roman"/>
          <w:sz w:val="32"/>
          <w:szCs w:val="32"/>
          <w:shd w:val="clear" w:color="auto" w:fill="FFFFFF"/>
          <w:lang w:val="en-US" w:eastAsia="zh-CN" w:bidi="ar-SA"/>
        </w:rPr>
        <w:t>（二）机关运行经费情况说明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方正仿宋_GBK" w:cs="Times New Roman"/>
          <w:sz w:val="32"/>
          <w:szCs w:val="32"/>
          <w:shd w:val="clear" w:color="auto" w:fill="FFFFFF"/>
          <w:lang w:val="en-US" w:eastAsia="zh-CN" w:bidi="ar-SA"/>
        </w:rPr>
      </w:pPr>
      <w:r>
        <w:rPr>
          <w:rFonts w:hint="eastAsia" w:ascii="Times New Roman" w:hAnsi="Times New Roman" w:eastAsia="方正仿宋_GBK" w:cs="Times New Roman"/>
          <w:sz w:val="32"/>
          <w:szCs w:val="32"/>
          <w:shd w:val="clear" w:color="auto" w:fill="FFFFFF"/>
          <w:lang w:val="en-US" w:eastAsia="zh-CN" w:bidi="ar-SA"/>
        </w:rPr>
        <w:t>按照部门决算列报口径，我单位不在机关运行经费统计范围之类。</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（三）国有资产占用情况说明</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截至</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12月31日，本部门共有车辆</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辆，其中，副部（省）级及以上领导用车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辆、主要负责人用车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辆、机要通信用车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辆、应急保障用车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辆、执法执勤用车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辆，特种专业技术用车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辆，离退休干部用车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辆。单价100万元（含）以上专用设备</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台（套）。</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（四）政府采购支出情况说明</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val="0"/>
          <w:color w:val="FF0000"/>
          <w:sz w:val="32"/>
          <w:szCs w:val="32"/>
          <w:shd w:val="clear" w:color="auto" w:fill="FFFFFF"/>
        </w:rPr>
      </w:pPr>
      <w:r>
        <w:rPr>
          <w:rFonts w:hint="default" w:ascii="Times New Roman" w:hAnsi="Times New Roman" w:eastAsia="方正仿宋_GBK" w:cs="Times New Roman"/>
          <w:b w:val="0"/>
          <w:bCs w:val="0"/>
          <w:sz w:val="32"/>
          <w:szCs w:val="32"/>
          <w:shd w:val="clear" w:color="auto" w:fill="FFFFFF"/>
        </w:rPr>
        <w:t>202</w:t>
      </w:r>
      <w:r>
        <w:rPr>
          <w:rFonts w:hint="eastAsia" w:ascii="Times New Roman" w:hAnsi="Times New Roman" w:eastAsia="方正仿宋_GBK" w:cs="Times New Roman"/>
          <w:b w:val="0"/>
          <w:bCs w:val="0"/>
          <w:sz w:val="32"/>
          <w:szCs w:val="32"/>
          <w:shd w:val="clear" w:color="auto" w:fill="FFFFFF"/>
          <w:lang w:val="en-US" w:eastAsia="zh-CN"/>
        </w:rPr>
        <w:t>5</w:t>
      </w:r>
      <w:r>
        <w:rPr>
          <w:rFonts w:hint="default" w:ascii="Times New Roman" w:hAnsi="Times New Roman" w:eastAsia="方正仿宋_GBK" w:cs="Times New Roman"/>
          <w:b w:val="0"/>
          <w:bCs w:val="0"/>
          <w:sz w:val="32"/>
          <w:szCs w:val="32"/>
          <w:shd w:val="clear" w:color="auto" w:fill="FFFFFF"/>
        </w:rPr>
        <w:t>年度我单位未发生政府采购事项，无相关经费支出。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eastAsia" w:ascii="Times New Roman" w:hAnsi="Times New Roman" w:eastAsia="方正黑体_GBK" w:cs="Times New Roman"/>
          <w:b w:val="0"/>
          <w:bCs/>
          <w:sz w:val="32"/>
          <w:szCs w:val="32"/>
          <w:shd w:val="clear" w:color="auto" w:fill="FFFFFF"/>
          <w:lang w:val="en-US" w:eastAsia="zh-CN"/>
        </w:rPr>
        <w:t>五、</w:t>
      </w:r>
      <w:r>
        <w:rPr>
          <w:rStyle w:val="10"/>
          <w:rFonts w:hint="default" w:ascii="Times New Roman" w:hAnsi="Times New Roman" w:eastAsia="方正黑体_GBK" w:cs="Times New Roman"/>
          <w:b w:val="0"/>
          <w:bCs/>
          <w:sz w:val="32"/>
          <w:szCs w:val="32"/>
          <w:shd w:val="clear" w:color="auto" w:fill="FFFFFF"/>
        </w:rPr>
        <w:t>预算绩效管理情况说明</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预算绩效自评在主管部门开展，本部门不涉及。</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lang w:val="en-US" w:eastAsia="zh-CN"/>
        </w:rPr>
      </w:pPr>
      <w:r>
        <w:rPr>
          <w:rStyle w:val="10"/>
          <w:rFonts w:hint="default" w:ascii="Times New Roman" w:hAnsi="Times New Roman" w:eastAsia="方正黑体_GBK" w:cs="Times New Roman"/>
          <w:b w:val="0"/>
          <w:bCs/>
          <w:sz w:val="32"/>
          <w:szCs w:val="32"/>
          <w:shd w:val="clear" w:color="auto" w:fill="FFFFFF"/>
          <w:lang w:val="en-US" w:eastAsia="zh-CN"/>
        </w:rPr>
        <w:t>六、专业名词解释</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以下为常见专业名词解释目录，仅供参考，</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lang w:val="en-US" w:eastAsia="zh-CN"/>
        </w:rPr>
        <w:t>（一）财政拨款收入：</w:t>
      </w:r>
      <w:r>
        <w:rPr>
          <w:rFonts w:hint="default" w:ascii="Times New Roman" w:hAnsi="Times New Roman" w:eastAsia="方正仿宋_GBK" w:cs="Times New Roman"/>
          <w:sz w:val="32"/>
          <w:szCs w:val="32"/>
          <w:shd w:val="clear" w:color="auto" w:fill="FFFFFF"/>
        </w:rPr>
        <w:t>指本年度从本级财政部门取得的财政拨款，包括一般公共预算财政拨款和政府性基金预算财政拨款。</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（二）事业收入：</w:t>
      </w:r>
      <w:r>
        <w:rPr>
          <w:rFonts w:hint="default" w:ascii="Times New Roman" w:hAnsi="Times New Roman" w:eastAsia="方正仿宋_GBK" w:cs="Times New Roman"/>
          <w:sz w:val="32"/>
          <w:szCs w:val="32"/>
          <w:shd w:val="clear" w:color="auto" w:fill="FFFFFF"/>
        </w:rPr>
        <w:t>指事业单位开展专业业务活动及其辅助活动取得的现金流入；事业单位收到的财政专户实际核拨的教育收费等资金在此反映。</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三</w:t>
      </w:r>
      <w:r>
        <w:rPr>
          <w:rStyle w:val="10"/>
          <w:rFonts w:hint="default" w:ascii="Times New Roman" w:hAnsi="Times New Roman" w:eastAsia="方正楷体_GBK" w:cs="Times New Roman"/>
          <w:b w:val="0"/>
          <w:bCs/>
          <w:sz w:val="32"/>
          <w:szCs w:val="32"/>
          <w:shd w:val="clear" w:color="auto" w:fill="FFFFFF"/>
        </w:rPr>
        <w:t>）其他收入：</w:t>
      </w:r>
      <w:r>
        <w:rPr>
          <w:rFonts w:hint="default" w:ascii="Times New Roman" w:hAnsi="Times New Roman" w:eastAsia="方正仿宋_GBK" w:cs="Times New Roman"/>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四</w:t>
      </w:r>
      <w:r>
        <w:rPr>
          <w:rStyle w:val="10"/>
          <w:rFonts w:hint="default" w:ascii="Times New Roman" w:hAnsi="Times New Roman" w:eastAsia="方正楷体_GBK" w:cs="Times New Roman"/>
          <w:b w:val="0"/>
          <w:bCs/>
          <w:sz w:val="32"/>
          <w:szCs w:val="32"/>
          <w:shd w:val="clear" w:color="auto" w:fill="FFFFFF"/>
        </w:rPr>
        <w:t>）年初结转和结余：</w:t>
      </w:r>
      <w:r>
        <w:rPr>
          <w:rFonts w:hint="default" w:ascii="Times New Roman" w:hAnsi="Times New Roman" w:eastAsia="方正仿宋_GBK" w:cs="Times New Roman"/>
          <w:sz w:val="32"/>
          <w:szCs w:val="32"/>
          <w:shd w:val="clear" w:color="auto" w:fill="FFFFFF"/>
        </w:rPr>
        <w:t>指单位上年结转本年使用的基本支出结转、项目支出结转和结余、经营结余。</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五</w:t>
      </w:r>
      <w:r>
        <w:rPr>
          <w:rStyle w:val="10"/>
          <w:rFonts w:hint="default" w:ascii="Times New Roman" w:hAnsi="Times New Roman" w:eastAsia="方正楷体_GBK" w:cs="Times New Roman"/>
          <w:b w:val="0"/>
          <w:bCs/>
          <w:sz w:val="32"/>
          <w:szCs w:val="32"/>
          <w:shd w:val="clear" w:color="auto" w:fill="FFFFFF"/>
        </w:rPr>
        <w:t>）结余分配：</w:t>
      </w:r>
      <w:r>
        <w:rPr>
          <w:rFonts w:hint="default" w:ascii="Times New Roman" w:hAnsi="Times New Roman" w:eastAsia="方正仿宋_GBK" w:cs="Times New Roman"/>
          <w:sz w:val="32"/>
          <w:szCs w:val="32"/>
          <w:shd w:val="clear" w:color="auto" w:fill="FFFFFF"/>
        </w:rPr>
        <w:t>指单位按照国家有关规定，缴纳所得税、提取专用基金、转入非财政拨款结余等当年结余的分配情况。</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六</w:t>
      </w:r>
      <w:r>
        <w:rPr>
          <w:rStyle w:val="10"/>
          <w:rFonts w:hint="default" w:ascii="Times New Roman" w:hAnsi="Times New Roman" w:eastAsia="方正楷体_GBK" w:cs="Times New Roman"/>
          <w:b w:val="0"/>
          <w:bCs/>
          <w:sz w:val="32"/>
          <w:szCs w:val="32"/>
          <w:shd w:val="clear" w:color="auto" w:fill="FFFFFF"/>
        </w:rPr>
        <w:t>）年末结转和结余：</w:t>
      </w:r>
      <w:r>
        <w:rPr>
          <w:rFonts w:hint="default" w:ascii="Times New Roman" w:hAnsi="Times New Roman" w:eastAsia="方正仿宋_GBK" w:cs="Times New Roman"/>
          <w:sz w:val="32"/>
          <w:szCs w:val="32"/>
          <w:shd w:val="clear" w:color="auto" w:fill="FFFFFF"/>
        </w:rPr>
        <w:t>指单位结转下年的基本支出结转、项目支出结转和结余、经营结余。</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七</w:t>
      </w:r>
      <w:r>
        <w:rPr>
          <w:rStyle w:val="10"/>
          <w:rFonts w:hint="default" w:ascii="Times New Roman" w:hAnsi="Times New Roman" w:eastAsia="方正楷体_GBK" w:cs="Times New Roman"/>
          <w:b w:val="0"/>
          <w:bCs/>
          <w:sz w:val="32"/>
          <w:szCs w:val="32"/>
          <w:shd w:val="clear" w:color="auto" w:fill="FFFFFF"/>
        </w:rPr>
        <w:t>）基本支出：</w:t>
      </w:r>
      <w:r>
        <w:rPr>
          <w:rFonts w:hint="default" w:ascii="Times New Roman" w:hAnsi="Times New Roman" w:eastAsia="方正仿宋_GBK" w:cs="Times New Roman"/>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八</w:t>
      </w:r>
      <w:r>
        <w:rPr>
          <w:rStyle w:val="10"/>
          <w:rFonts w:hint="default" w:ascii="Times New Roman" w:hAnsi="Times New Roman" w:eastAsia="方正楷体_GBK" w:cs="Times New Roman"/>
          <w:b w:val="0"/>
          <w:bCs/>
          <w:sz w:val="32"/>
          <w:szCs w:val="32"/>
          <w:shd w:val="clear" w:color="auto" w:fill="FFFFFF"/>
        </w:rPr>
        <w:t>）项目支出：</w:t>
      </w:r>
      <w:r>
        <w:rPr>
          <w:rFonts w:hint="default" w:ascii="Times New Roman" w:hAnsi="Times New Roman" w:eastAsia="方正仿宋_GBK" w:cs="Times New Roman"/>
          <w:sz w:val="32"/>
          <w:szCs w:val="32"/>
          <w:shd w:val="clear" w:color="auto" w:fill="FFFFFF"/>
        </w:rPr>
        <w:t>指在基本支出之外为完成特定行政任务和事业发展目标所发生的支出。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w:t>
      </w:r>
      <w:r>
        <w:rPr>
          <w:rStyle w:val="10"/>
          <w:rFonts w:hint="default" w:ascii="Times New Roman" w:hAnsi="Times New Roman" w:eastAsia="方正楷体_GBK" w:cs="Times New Roman"/>
          <w:b w:val="0"/>
          <w:bCs/>
          <w:sz w:val="32"/>
          <w:szCs w:val="32"/>
          <w:shd w:val="clear" w:color="auto" w:fill="FFFFFF"/>
          <w:lang w:eastAsia="zh-CN"/>
        </w:rPr>
        <w:t>九</w:t>
      </w:r>
      <w:r>
        <w:rPr>
          <w:rStyle w:val="10"/>
          <w:rFonts w:hint="default" w:ascii="Times New Roman" w:hAnsi="Times New Roman" w:eastAsia="方正楷体_GBK" w:cs="Times New Roman"/>
          <w:b w:val="0"/>
          <w:bCs/>
          <w:sz w:val="32"/>
          <w:szCs w:val="32"/>
          <w:shd w:val="clear" w:color="auto" w:fill="FFFFFF"/>
        </w:rPr>
        <w:t>）“三公”经费：</w:t>
      </w:r>
      <w:r>
        <w:rPr>
          <w:rFonts w:hint="default" w:ascii="Times New Roman" w:hAnsi="Times New Roman" w:eastAsia="方正仿宋_GBK" w:cs="Times New Roman"/>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（十）机关运行经费：</w:t>
      </w:r>
      <w:r>
        <w:rPr>
          <w:rFonts w:hint="default" w:ascii="Times New Roman" w:hAnsi="Times New Roman" w:eastAsia="方正仿宋_GBK" w:cs="Times New Roman"/>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w:t>
      </w:r>
      <w:r>
        <w:rPr>
          <w:rStyle w:val="10"/>
          <w:rFonts w:hint="default" w:ascii="Times New Roman" w:hAnsi="Times New Roman" w:eastAsia="方正楷体_GBK" w:cs="Times New Roman"/>
          <w:b w:val="0"/>
          <w:bCs/>
          <w:sz w:val="32"/>
          <w:szCs w:val="32"/>
          <w:shd w:val="clear" w:color="auto" w:fill="FFFFFF"/>
          <w:lang w:eastAsia="zh-CN"/>
        </w:rPr>
        <w:t>一</w:t>
      </w:r>
      <w:r>
        <w:rPr>
          <w:rStyle w:val="10"/>
          <w:rFonts w:hint="default" w:ascii="Times New Roman" w:hAnsi="Times New Roman" w:eastAsia="方正楷体_GBK" w:cs="Times New Roman"/>
          <w:b w:val="0"/>
          <w:bCs/>
          <w:sz w:val="32"/>
          <w:szCs w:val="32"/>
          <w:shd w:val="clear" w:color="auto" w:fill="FFFFFF"/>
        </w:rPr>
        <w:t>）工资福利支出（支出经济分类科目类级）：</w:t>
      </w:r>
      <w:r>
        <w:rPr>
          <w:rFonts w:hint="default" w:ascii="Times New Roman" w:hAnsi="Times New Roman" w:eastAsia="方正仿宋_GBK" w:cs="Times New Roman"/>
          <w:sz w:val="32"/>
          <w:szCs w:val="32"/>
          <w:shd w:val="clear" w:color="auto" w:fill="FFFFFF"/>
        </w:rPr>
        <w:t>反映单位开支的在职职工和编制外长期聘用人员的各类劳动报酬，以及为上述人员缴纳的各项社会保险费等。</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w:t>
      </w:r>
      <w:r>
        <w:rPr>
          <w:rStyle w:val="10"/>
          <w:rFonts w:hint="default" w:ascii="Times New Roman" w:hAnsi="Times New Roman" w:eastAsia="方正楷体_GBK" w:cs="Times New Roman"/>
          <w:b w:val="0"/>
          <w:bCs/>
          <w:sz w:val="32"/>
          <w:szCs w:val="32"/>
          <w:shd w:val="clear" w:color="auto" w:fill="FFFFFF"/>
          <w:lang w:eastAsia="zh-CN"/>
        </w:rPr>
        <w:t>二</w:t>
      </w:r>
      <w:r>
        <w:rPr>
          <w:rStyle w:val="10"/>
          <w:rFonts w:hint="default" w:ascii="Times New Roman" w:hAnsi="Times New Roman" w:eastAsia="方正楷体_GBK" w:cs="Times New Roman"/>
          <w:b w:val="0"/>
          <w:bCs/>
          <w:sz w:val="32"/>
          <w:szCs w:val="32"/>
          <w:shd w:val="clear" w:color="auto" w:fill="FFFFFF"/>
        </w:rPr>
        <w:t>）商品和服务支出（支出经济分类科目类级）：</w:t>
      </w:r>
      <w:r>
        <w:rPr>
          <w:rFonts w:hint="default" w:ascii="Times New Roman" w:hAnsi="Times New Roman" w:eastAsia="方正仿宋_GBK" w:cs="Times New Roman"/>
          <w:sz w:val="32"/>
          <w:szCs w:val="32"/>
          <w:shd w:val="clear" w:color="auto" w:fill="FFFFFF"/>
        </w:rPr>
        <w:t>反映单位购买商品和服务的支出（不包括用于购置固定资产的支出、战略性和应急储备支出）。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w:t>
      </w:r>
      <w:r>
        <w:rPr>
          <w:rStyle w:val="10"/>
          <w:rFonts w:hint="default" w:ascii="Times New Roman" w:hAnsi="Times New Roman" w:eastAsia="方正楷体_GBK" w:cs="Times New Roman"/>
          <w:b w:val="0"/>
          <w:bCs/>
          <w:sz w:val="32"/>
          <w:szCs w:val="32"/>
          <w:shd w:val="clear" w:color="auto" w:fill="FFFFFF"/>
          <w:lang w:eastAsia="zh-CN"/>
        </w:rPr>
        <w:t>三</w:t>
      </w:r>
      <w:r>
        <w:rPr>
          <w:rStyle w:val="10"/>
          <w:rFonts w:hint="default" w:ascii="Times New Roman" w:hAnsi="Times New Roman" w:eastAsia="方正楷体_GBK" w:cs="Times New Roman"/>
          <w:b w:val="0"/>
          <w:bCs/>
          <w:sz w:val="32"/>
          <w:szCs w:val="32"/>
          <w:shd w:val="clear" w:color="auto" w:fill="FFFFFF"/>
        </w:rPr>
        <w:t>）对个人和家庭的补助（支出经济分类科目类级）：</w:t>
      </w:r>
      <w:r>
        <w:rPr>
          <w:rFonts w:hint="default" w:ascii="Times New Roman" w:hAnsi="Times New Roman" w:eastAsia="方正仿宋_GBK" w:cs="Times New Roman"/>
          <w:sz w:val="32"/>
          <w:szCs w:val="32"/>
          <w:shd w:val="clear" w:color="auto" w:fill="FFFFFF"/>
        </w:rPr>
        <w:t>反映用于对个人和家庭的补助支出。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楷体_GBK" w:cs="Times New Roman"/>
          <w:b w:val="0"/>
          <w:bCs/>
          <w:sz w:val="32"/>
          <w:szCs w:val="32"/>
          <w:shd w:val="clear" w:color="auto" w:fill="FFFFFF"/>
        </w:rPr>
        <w:t>（十</w:t>
      </w:r>
      <w:r>
        <w:rPr>
          <w:rStyle w:val="10"/>
          <w:rFonts w:hint="default" w:ascii="Times New Roman" w:hAnsi="Times New Roman" w:eastAsia="方正楷体_GBK" w:cs="Times New Roman"/>
          <w:b w:val="0"/>
          <w:bCs/>
          <w:sz w:val="32"/>
          <w:szCs w:val="32"/>
          <w:shd w:val="clear" w:color="auto" w:fill="FFFFFF"/>
          <w:lang w:eastAsia="zh-CN"/>
        </w:rPr>
        <w:t>四</w:t>
      </w:r>
      <w:r>
        <w:rPr>
          <w:rStyle w:val="10"/>
          <w:rFonts w:hint="default" w:ascii="Times New Roman" w:hAnsi="Times New Roman" w:eastAsia="方正楷体_GBK" w:cs="Times New Roman"/>
          <w:b w:val="0"/>
          <w:bCs/>
          <w:sz w:val="32"/>
          <w:szCs w:val="32"/>
          <w:shd w:val="clear" w:color="auto" w:fill="FFFFFF"/>
        </w:rPr>
        <w:t>）其他资本性支出（支出经济分类科目类级）：</w:t>
      </w:r>
      <w:r>
        <w:rPr>
          <w:rFonts w:hint="default" w:ascii="Times New Roman" w:hAnsi="Times New Roman" w:eastAsia="方正仿宋_GBK" w:cs="Times New Roman"/>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lang w:val="en-US" w:eastAsia="zh-CN"/>
        </w:rPr>
      </w:pPr>
      <w:r>
        <w:rPr>
          <w:rStyle w:val="10"/>
          <w:rFonts w:hint="default" w:ascii="Times New Roman" w:hAnsi="Times New Roman" w:eastAsia="方正黑体_GBK" w:cs="Times New Roman"/>
          <w:b w:val="0"/>
          <w:bCs/>
          <w:sz w:val="32"/>
          <w:szCs w:val="32"/>
          <w:shd w:val="clear" w:color="auto" w:fill="FFFFFF"/>
          <w:lang w:val="en-US" w:eastAsia="zh-CN"/>
        </w:rPr>
        <w:t>七、决算公开联系方式及信息反馈渠道</w:t>
      </w:r>
    </w:p>
    <w:p>
      <w:pPr>
        <w:pStyle w:val="11"/>
        <w:keepNext w:val="0"/>
        <w:keepLines w:val="0"/>
        <w:pageBreakBefore w:val="0"/>
        <w:widowControl/>
        <w:shd w:val="clear"/>
        <w:kinsoku/>
        <w:wordWrap/>
        <w:overflowPunct/>
        <w:topLinePunct w:val="0"/>
        <w:autoSpaceDE w:val="0"/>
        <w:autoSpaceDN/>
        <w:bidi w:val="0"/>
        <w:adjustRightInd/>
        <w:spacing w:beforeAutospacing="0" w:afterAutospacing="0" w:line="560" w:lineRule="exact"/>
        <w:ind w:firstLine="640" w:firstLineChars="200"/>
        <w:textAlignment w:val="auto"/>
        <w:rPr>
          <w:rStyle w:val="10"/>
          <w:rFonts w:hint="default" w:ascii="Times New Roman" w:hAnsi="Times New Roman" w:eastAsia="方正仿宋_GBK" w:cs="Times New Roman"/>
          <w:sz w:val="32"/>
          <w:szCs w:val="32"/>
          <w:shd w:val="clear" w:color="auto" w:fill="FFFF00"/>
        </w:rPr>
      </w:pPr>
      <w:r>
        <w:rPr>
          <w:rFonts w:hint="default" w:ascii="Times New Roman" w:hAnsi="Times New Roman" w:eastAsia="方正仿宋_GBK" w:cs="Times New Roman"/>
          <w:sz w:val="32"/>
          <w:szCs w:val="32"/>
          <w:shd w:val="clear" w:color="auto" w:fill="FFFFFF"/>
        </w:rPr>
        <w:t>本单位决算公开信息反馈和联系方式：</w:t>
      </w:r>
      <w:r>
        <w:rPr>
          <w:rFonts w:hint="default" w:ascii="Times New Roman" w:hAnsi="Times New Roman" w:eastAsia="方正仿宋_GBK" w:cs="Times New Roman"/>
          <w:sz w:val="32"/>
          <w:szCs w:val="32"/>
          <w:shd w:val="clear" w:color="auto" w:fill="FFFFFF"/>
          <w:lang w:val="en-US" w:eastAsia="zh-CN"/>
        </w:rPr>
        <w:t>023-79225719</w:t>
      </w:r>
    </w:p>
    <w:p>
      <w:pPr>
        <w:pStyle w:val="11"/>
        <w:autoSpaceDE w:val="0"/>
        <w:ind w:firstLine="0" w:firstLineChars="0"/>
        <w:rPr>
          <w:rStyle w:val="10"/>
          <w:rFonts w:hint="default" w:ascii="Times New Roman" w:hAnsi="Times New Roman" w:eastAsia="方正仿宋_GBK" w:cs="Times New Roman"/>
          <w:sz w:val="32"/>
          <w:szCs w:val="32"/>
          <w:shd w:val="clear" w:color="auto" w:fill="FFFF00"/>
        </w:rPr>
      </w:pPr>
    </w:p>
    <w:p>
      <w:pPr>
        <w:pStyle w:val="11"/>
        <w:autoSpaceDE w:val="0"/>
        <w:ind w:firstLine="0" w:firstLineChars="0"/>
        <w:rPr>
          <w:rStyle w:val="10"/>
          <w:rFonts w:hint="default" w:ascii="Times New Roman" w:hAnsi="Times New Roman" w:eastAsia="方正仿宋_GBK" w:cs="Times New Roman"/>
          <w:sz w:val="32"/>
          <w:szCs w:val="32"/>
          <w:shd w:val="clear" w:color="auto" w:fill="FFFF00"/>
        </w:rPr>
        <w:sectPr>
          <w:footerReference r:id="rId3" w:type="default"/>
          <w:pgSz w:w="11915" w:h="16840"/>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rPr>
          <w:rFonts w:hint="eastAsia" w:ascii="宋体" w:hAnsi="宋体" w:eastAsia="宋体" w:cs="宋体"/>
          <w:sz w:val="21"/>
          <w:szCs w:val="21"/>
        </w:rPr>
      </w:pPr>
    </w:p>
    <w:tbl>
      <w:tblPr>
        <w:tblStyle w:val="7"/>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tblPrEx>
          <w:shd w:val="clear" w:color="auto" w:fill="auto"/>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公开部门</w:t>
            </w:r>
            <w:r>
              <w:rPr>
                <w:rFonts w:hint="eastAsia" w:ascii="宋体" w:hAnsi="宋体" w:eastAsia="宋体" w:cs="宋体"/>
                <w:sz w:val="24"/>
                <w:szCs w:val="24"/>
              </w:rPr>
              <w:t>：</w:t>
            </w:r>
            <w:r>
              <w:rPr>
                <w:rFonts w:ascii="宋体" w:hAnsi="宋体" w:eastAsia="宋体" w:cs="宋体"/>
                <w:sz w:val="24"/>
                <w:u w:color="auto"/>
              </w:rPr>
              <w:t>黔江区群众诉求服务中心</w:t>
            </w:r>
          </w:p>
        </w:tc>
        <w:tc>
          <w:tcPr>
            <w:tcW w:w="4358"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89.10</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17.90</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6.52</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7.13</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r>
    </w:tbl>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7"/>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tblPrEx>
          <w:shd w:val="clear" w:color="auto" w:fill="auto"/>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tblPrEx>
          <w:shd w:val="clear" w:color="auto" w:fill="auto"/>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cs="宋体"/>
                <w:sz w:val="24"/>
                <w:szCs w:val="24"/>
                <w:lang w:eastAsia="zh-CN"/>
              </w:rPr>
              <w:t>公开部门</w:t>
            </w:r>
            <w:r>
              <w:rPr>
                <w:rFonts w:hint="eastAsia" w:ascii="宋体" w:hAnsi="宋体" w:eastAsia="宋体" w:cs="宋体"/>
                <w:sz w:val="24"/>
                <w:szCs w:val="24"/>
              </w:rPr>
              <w:t>：</w:t>
            </w:r>
            <w:r>
              <w:rPr>
                <w:rFonts w:ascii="宋体" w:hAnsi="宋体" w:eastAsia="宋体" w:cs="宋体"/>
                <w:sz w:val="24"/>
                <w:u w:color="auto"/>
              </w:rPr>
              <w:t>黔江区群众诉求服务中心</w:t>
            </w:r>
          </w:p>
        </w:tc>
        <w:tc>
          <w:tcPr>
            <w:tcW w:w="241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tblPrEx>
          <w:shd w:val="clear" w:color="auto" w:fill="auto"/>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tblPrEx>
          <w:shd w:val="clear" w:color="auto" w:fill="auto"/>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120.66</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120.66</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89.10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89.10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20140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信访事务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89.10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89.10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2014050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89.10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89.10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17.90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17.90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17.90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17.90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11.89</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11.89</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6.52</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6.52</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6.52</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6.52</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7.13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7.13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7"/>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黔江区群众诉求服务中心 </w:t>
            </w: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tblPrEx>
          <w:shd w:val="clear" w:color="auto" w:fill="auto"/>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120.66</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120.66</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89.10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89.10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20140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信访事务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89.10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89.10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2014050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89.10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89.10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17.90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17.90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17.90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17.90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11.89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11.89</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7.13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7.13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7.13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7"/>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tblPrEx>
          <w:shd w:val="clear" w:color="auto" w:fill="auto"/>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tblPrEx>
          <w:shd w:val="clear" w:color="auto" w:fill="auto"/>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黔江区群众诉求服务中心</w:t>
            </w: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tblPrEx>
          <w:shd w:val="clear" w:color="auto" w:fill="auto"/>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tblPrEx>
          <w:shd w:val="clear" w:color="auto" w:fill="auto"/>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89.10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89.10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17.90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17.90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6.52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6.52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7.13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7.13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120.66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7"/>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tblPrEx>
          <w:shd w:val="clear" w:color="auto" w:fill="auto"/>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tblPrEx>
          <w:shd w:val="clear" w:color="auto" w:fill="auto"/>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黔江区群众诉求服务中心</w:t>
            </w: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tblPrEx>
          <w:shd w:val="clear" w:color="auto" w:fill="auto"/>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tblPrEx>
          <w:shd w:val="clear" w:color="auto" w:fill="auto"/>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shd w:val="clear" w:color="auto" w:fill="auto"/>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120.66</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120.66</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89.10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89.10</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20140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信访事务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89.10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89.10</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2014050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89.10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89.10</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17.90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17.90</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17.90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17.90</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11.89</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11.89</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6.01</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6.52</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6.52</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6.52</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6.52</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5.08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5.08</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1.44</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7.13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7.13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7.13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7.13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7.13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7.13</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7"/>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黔江区群众诉求服务中心</w:t>
            </w: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tblPrEx>
          <w:shd w:val="clear" w:color="auto" w:fill="auto"/>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tblPrEx>
          <w:shd w:val="clear" w:color="auto" w:fill="auto"/>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111.80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8.85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25.23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1.11</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2.40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5.74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46.74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0.05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11.89</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0.50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6.01</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2.65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0.15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0.26</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7.13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0.73</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2.58</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0.97</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111.80</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8.85</w:t>
            </w: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7"/>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tblPrEx>
          <w:shd w:val="clear" w:color="auto" w:fill="auto"/>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黔江区群众诉求服务中心</w:t>
            </w: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tblPrEx>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备注：本表反映部门本年度政府性基金预算财政拨款收入支出及结转和结余情况。本部门无政府性基金收支，故本表无数据。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7"/>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tblPrEx>
          <w:shd w:val="clear" w:color="auto" w:fill="auto"/>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tblPrEx>
          <w:shd w:val="clear" w:color="auto" w:fill="auto"/>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黔江区群众诉求服务中心</w:t>
            </w: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tblPrEx>
          <w:shd w:val="clear" w:color="auto" w:fill="auto"/>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备注：本表反映部门本年度国有资本经营预算财政拨款支出情况。本部门无国有资本经营收支，故本表无数据。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7"/>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tblPrEx>
          <w:shd w:val="clear" w:color="auto" w:fill="auto"/>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tblPrEx>
          <w:shd w:val="clear" w:color="auto" w:fill="auto"/>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黔江区群众诉求服务中心</w:t>
            </w: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0.73 </w:t>
            </w:r>
          </w:p>
        </w:tc>
        <w:tc>
          <w:tcPr>
            <w:tcW w:w="6581" w:type="dxa"/>
            <w:tcBorders>
              <w:top w:val="nil"/>
              <w:left w:val="nil"/>
              <w:bottom w:val="nil"/>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bidi="ar"/>
              </w:rPr>
            </w:pPr>
            <w:r>
              <w:rPr>
                <w:rFonts w:hint="eastAsia" w:cs="宋体"/>
                <w:color w:val="000000"/>
                <w:sz w:val="21"/>
                <w:szCs w:val="21"/>
                <w:lang w:val="en-US" w:eastAsia="zh-CN" w:bidi="ar"/>
              </w:rPr>
              <w:t>0.26</w:t>
            </w:r>
            <w:bookmarkStart w:id="0" w:name="_GoBack"/>
            <w:bookmarkEnd w:id="0"/>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pStyle w:val="11"/>
        <w:autoSpaceDE w:val="0"/>
        <w:ind w:firstLine="0" w:firstLineChars="0"/>
        <w:rPr>
          <w:rFonts w:hint="default" w:ascii="宋体" w:hAnsi="宋体" w:eastAsia="宋体" w:cs="宋体"/>
          <w:sz w:val="21"/>
          <w:szCs w:val="21"/>
        </w:rPr>
      </w:pPr>
    </w:p>
    <w:p>
      <w:pPr>
        <w:pStyle w:val="11"/>
        <w:autoSpaceDE w:val="0"/>
        <w:ind w:firstLine="0" w:firstLineChars="0"/>
        <w:rPr>
          <w:rFonts w:hint="default" w:ascii="Times New Roman" w:hAnsi="Times New Roman" w:eastAsia="宋体" w:cs="Times New Roman"/>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4DVRU2AAAAAoBAAAPAAAAAAAAAAEAIAAAACIAAABkcnMvZG93bnJl&#10;di54bWxQSwECFAAUAAAACACHTuJAW1c5XDYCAABiBAAADgAAAAAAAAABACAAAAAnAQAAZHJzL2Uy&#10;b0RvYy54bWxQSwUGAAAAAAYABgBZAQAAzwUAAA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74EBF"/>
    <w:rsid w:val="01967DCC"/>
    <w:rsid w:val="01F3521E"/>
    <w:rsid w:val="026775A2"/>
    <w:rsid w:val="03B87EA0"/>
    <w:rsid w:val="03E3214F"/>
    <w:rsid w:val="044C50BA"/>
    <w:rsid w:val="051F457C"/>
    <w:rsid w:val="05BC6D49"/>
    <w:rsid w:val="06145B64"/>
    <w:rsid w:val="06194FF1"/>
    <w:rsid w:val="06A2550B"/>
    <w:rsid w:val="06F80EE2"/>
    <w:rsid w:val="07001CCA"/>
    <w:rsid w:val="075678DB"/>
    <w:rsid w:val="079D7CC7"/>
    <w:rsid w:val="08051BCA"/>
    <w:rsid w:val="0849572C"/>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A200D2"/>
    <w:rsid w:val="12C921C4"/>
    <w:rsid w:val="13871C70"/>
    <w:rsid w:val="13A71CB4"/>
    <w:rsid w:val="13AF1D43"/>
    <w:rsid w:val="13CE1647"/>
    <w:rsid w:val="13FD55AB"/>
    <w:rsid w:val="14200702"/>
    <w:rsid w:val="15100497"/>
    <w:rsid w:val="154D433D"/>
    <w:rsid w:val="163A6CEE"/>
    <w:rsid w:val="173708E3"/>
    <w:rsid w:val="17C374FC"/>
    <w:rsid w:val="184E0FA9"/>
    <w:rsid w:val="189079DC"/>
    <w:rsid w:val="189B0D0B"/>
    <w:rsid w:val="18B43F7C"/>
    <w:rsid w:val="18D13745"/>
    <w:rsid w:val="194A1770"/>
    <w:rsid w:val="19B906A4"/>
    <w:rsid w:val="1A6253DE"/>
    <w:rsid w:val="1B09712C"/>
    <w:rsid w:val="1B23058B"/>
    <w:rsid w:val="1B6F15B6"/>
    <w:rsid w:val="1BAA2EDC"/>
    <w:rsid w:val="1C1A1F76"/>
    <w:rsid w:val="1C912CF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9E66CC"/>
    <w:rsid w:val="1FBB35CD"/>
    <w:rsid w:val="1FCD26AF"/>
    <w:rsid w:val="20642787"/>
    <w:rsid w:val="21556F04"/>
    <w:rsid w:val="22403BD3"/>
    <w:rsid w:val="236628B9"/>
    <w:rsid w:val="24B92327"/>
    <w:rsid w:val="24C14514"/>
    <w:rsid w:val="2533755C"/>
    <w:rsid w:val="25791755"/>
    <w:rsid w:val="26396DF4"/>
    <w:rsid w:val="265C2D3C"/>
    <w:rsid w:val="27167136"/>
    <w:rsid w:val="27B23302"/>
    <w:rsid w:val="286856B6"/>
    <w:rsid w:val="29310A5F"/>
    <w:rsid w:val="29C37A35"/>
    <w:rsid w:val="2A076083"/>
    <w:rsid w:val="2A407808"/>
    <w:rsid w:val="2A73162E"/>
    <w:rsid w:val="2AC53A02"/>
    <w:rsid w:val="2B167953"/>
    <w:rsid w:val="2B200583"/>
    <w:rsid w:val="2B8209DE"/>
    <w:rsid w:val="2C384859"/>
    <w:rsid w:val="2C6762A3"/>
    <w:rsid w:val="2CAB4861"/>
    <w:rsid w:val="2D5F583A"/>
    <w:rsid w:val="2E6120D2"/>
    <w:rsid w:val="2FCA4B37"/>
    <w:rsid w:val="2FE029D7"/>
    <w:rsid w:val="2FF06E00"/>
    <w:rsid w:val="30586FEC"/>
    <w:rsid w:val="30A8035A"/>
    <w:rsid w:val="315F0B22"/>
    <w:rsid w:val="31D84415"/>
    <w:rsid w:val="32285F6F"/>
    <w:rsid w:val="32770556"/>
    <w:rsid w:val="329C0913"/>
    <w:rsid w:val="32AA0460"/>
    <w:rsid w:val="3337290D"/>
    <w:rsid w:val="33E31118"/>
    <w:rsid w:val="33EF7674"/>
    <w:rsid w:val="342D7BC6"/>
    <w:rsid w:val="3440090A"/>
    <w:rsid w:val="352930DB"/>
    <w:rsid w:val="35573069"/>
    <w:rsid w:val="355F6038"/>
    <w:rsid w:val="358C217E"/>
    <w:rsid w:val="36C9128A"/>
    <w:rsid w:val="37841E99"/>
    <w:rsid w:val="37BF1123"/>
    <w:rsid w:val="383C3F15"/>
    <w:rsid w:val="38BE4696"/>
    <w:rsid w:val="3939115E"/>
    <w:rsid w:val="398B7014"/>
    <w:rsid w:val="39B82A39"/>
    <w:rsid w:val="39B83EF6"/>
    <w:rsid w:val="39C42CA8"/>
    <w:rsid w:val="39DC4FD6"/>
    <w:rsid w:val="39F03D7A"/>
    <w:rsid w:val="39F33306"/>
    <w:rsid w:val="3A2C1C67"/>
    <w:rsid w:val="3B1705E5"/>
    <w:rsid w:val="3B18334B"/>
    <w:rsid w:val="3B36794F"/>
    <w:rsid w:val="3BB74AE1"/>
    <w:rsid w:val="3BDC14B0"/>
    <w:rsid w:val="3C566AD6"/>
    <w:rsid w:val="3C6A5B02"/>
    <w:rsid w:val="3D2757A1"/>
    <w:rsid w:val="3D3D4FC4"/>
    <w:rsid w:val="3DDF3AB1"/>
    <w:rsid w:val="3E1B66F8"/>
    <w:rsid w:val="3E1D0952"/>
    <w:rsid w:val="3E42660A"/>
    <w:rsid w:val="3E7555B1"/>
    <w:rsid w:val="3E787ED9"/>
    <w:rsid w:val="3F032E93"/>
    <w:rsid w:val="3F0527E5"/>
    <w:rsid w:val="3F694D83"/>
    <w:rsid w:val="3F885DCC"/>
    <w:rsid w:val="3FCD675E"/>
    <w:rsid w:val="4004000C"/>
    <w:rsid w:val="411B6CE5"/>
    <w:rsid w:val="412070D7"/>
    <w:rsid w:val="41314E40"/>
    <w:rsid w:val="41530930"/>
    <w:rsid w:val="41E0734B"/>
    <w:rsid w:val="426C1EA8"/>
    <w:rsid w:val="42736402"/>
    <w:rsid w:val="42E86A87"/>
    <w:rsid w:val="43307B09"/>
    <w:rsid w:val="438C4686"/>
    <w:rsid w:val="439A3EB9"/>
    <w:rsid w:val="43BB152F"/>
    <w:rsid w:val="43E369EC"/>
    <w:rsid w:val="44C37687"/>
    <w:rsid w:val="45CB699A"/>
    <w:rsid w:val="465B470D"/>
    <w:rsid w:val="469D6AD4"/>
    <w:rsid w:val="471E6C84"/>
    <w:rsid w:val="4748792B"/>
    <w:rsid w:val="475D719D"/>
    <w:rsid w:val="47674801"/>
    <w:rsid w:val="48225EF7"/>
    <w:rsid w:val="487A2387"/>
    <w:rsid w:val="488F422B"/>
    <w:rsid w:val="48E36915"/>
    <w:rsid w:val="495C4A24"/>
    <w:rsid w:val="497135DF"/>
    <w:rsid w:val="4A263DF2"/>
    <w:rsid w:val="4A6F6675"/>
    <w:rsid w:val="4B135857"/>
    <w:rsid w:val="4B7951CB"/>
    <w:rsid w:val="4B7C315C"/>
    <w:rsid w:val="4BF61499"/>
    <w:rsid w:val="4CCB794E"/>
    <w:rsid w:val="4DAC4ACA"/>
    <w:rsid w:val="4DBE01D2"/>
    <w:rsid w:val="4F0C6BA3"/>
    <w:rsid w:val="4F186D58"/>
    <w:rsid w:val="50F06B6E"/>
    <w:rsid w:val="51D21804"/>
    <w:rsid w:val="52234D33"/>
    <w:rsid w:val="522F6E0C"/>
    <w:rsid w:val="52463BA1"/>
    <w:rsid w:val="52DD4E28"/>
    <w:rsid w:val="52F163D4"/>
    <w:rsid w:val="531A2DB4"/>
    <w:rsid w:val="53C0244D"/>
    <w:rsid w:val="53DD4D4E"/>
    <w:rsid w:val="53E578CE"/>
    <w:rsid w:val="541330F0"/>
    <w:rsid w:val="54272666"/>
    <w:rsid w:val="543B029D"/>
    <w:rsid w:val="54861779"/>
    <w:rsid w:val="552256E1"/>
    <w:rsid w:val="554E5773"/>
    <w:rsid w:val="555A3CBC"/>
    <w:rsid w:val="5582012B"/>
    <w:rsid w:val="558E4E05"/>
    <w:rsid w:val="55AE4859"/>
    <w:rsid w:val="55BE2E85"/>
    <w:rsid w:val="56530F5D"/>
    <w:rsid w:val="5660353E"/>
    <w:rsid w:val="567700D3"/>
    <w:rsid w:val="56C854A7"/>
    <w:rsid w:val="56FF7E9E"/>
    <w:rsid w:val="57671164"/>
    <w:rsid w:val="578867FC"/>
    <w:rsid w:val="5842572D"/>
    <w:rsid w:val="589F3AD4"/>
    <w:rsid w:val="58E77552"/>
    <w:rsid w:val="5A3B59D6"/>
    <w:rsid w:val="5AD134D8"/>
    <w:rsid w:val="5C1E782E"/>
    <w:rsid w:val="5C263CE4"/>
    <w:rsid w:val="5C5D2777"/>
    <w:rsid w:val="5CF66BF3"/>
    <w:rsid w:val="5D290C69"/>
    <w:rsid w:val="5E973B2A"/>
    <w:rsid w:val="5F2D4A41"/>
    <w:rsid w:val="5F4C0C3F"/>
    <w:rsid w:val="5FD86482"/>
    <w:rsid w:val="60453420"/>
    <w:rsid w:val="6056529D"/>
    <w:rsid w:val="607D6514"/>
    <w:rsid w:val="60C74F6C"/>
    <w:rsid w:val="60FE00E1"/>
    <w:rsid w:val="61025A59"/>
    <w:rsid w:val="613D5BBC"/>
    <w:rsid w:val="61536C39"/>
    <w:rsid w:val="61657B99"/>
    <w:rsid w:val="61A209C0"/>
    <w:rsid w:val="62944DD7"/>
    <w:rsid w:val="6319381F"/>
    <w:rsid w:val="63C25DC5"/>
    <w:rsid w:val="63C62057"/>
    <w:rsid w:val="64571EF5"/>
    <w:rsid w:val="64FB113D"/>
    <w:rsid w:val="656152C6"/>
    <w:rsid w:val="6587477F"/>
    <w:rsid w:val="658C3A08"/>
    <w:rsid w:val="65C031CA"/>
    <w:rsid w:val="65CE6852"/>
    <w:rsid w:val="66267C04"/>
    <w:rsid w:val="663F505A"/>
    <w:rsid w:val="668B0BC2"/>
    <w:rsid w:val="66EE5541"/>
    <w:rsid w:val="67924660"/>
    <w:rsid w:val="68407834"/>
    <w:rsid w:val="6883293E"/>
    <w:rsid w:val="688412AD"/>
    <w:rsid w:val="68EB1B71"/>
    <w:rsid w:val="68FD36D6"/>
    <w:rsid w:val="6AAD2300"/>
    <w:rsid w:val="6ACC544A"/>
    <w:rsid w:val="6B474EF5"/>
    <w:rsid w:val="6B9E7B18"/>
    <w:rsid w:val="6C560CAE"/>
    <w:rsid w:val="6C576495"/>
    <w:rsid w:val="6D903FF5"/>
    <w:rsid w:val="6DA955B8"/>
    <w:rsid w:val="6DD30EA9"/>
    <w:rsid w:val="6DE346AB"/>
    <w:rsid w:val="6DE5391A"/>
    <w:rsid w:val="6E296E91"/>
    <w:rsid w:val="6EFD1324"/>
    <w:rsid w:val="6F5A53AC"/>
    <w:rsid w:val="6FAC003D"/>
    <w:rsid w:val="6FE55E12"/>
    <w:rsid w:val="6FFB2E76"/>
    <w:rsid w:val="70107098"/>
    <w:rsid w:val="708F6F7F"/>
    <w:rsid w:val="70D94BD3"/>
    <w:rsid w:val="71C34D91"/>
    <w:rsid w:val="72DB435C"/>
    <w:rsid w:val="72E2613A"/>
    <w:rsid w:val="72F771F4"/>
    <w:rsid w:val="73934AD2"/>
    <w:rsid w:val="73A03DC2"/>
    <w:rsid w:val="750837F0"/>
    <w:rsid w:val="754758CF"/>
    <w:rsid w:val="75920D0E"/>
    <w:rsid w:val="764F62AB"/>
    <w:rsid w:val="765C45EC"/>
    <w:rsid w:val="768A7619"/>
    <w:rsid w:val="772E1EBA"/>
    <w:rsid w:val="77CF0ACA"/>
    <w:rsid w:val="780659D7"/>
    <w:rsid w:val="781926BC"/>
    <w:rsid w:val="796D60A4"/>
    <w:rsid w:val="79A031D5"/>
    <w:rsid w:val="7A1525F7"/>
    <w:rsid w:val="7B420052"/>
    <w:rsid w:val="7BD06A28"/>
    <w:rsid w:val="7C3A7C0B"/>
    <w:rsid w:val="7C5248E4"/>
    <w:rsid w:val="7C566698"/>
    <w:rsid w:val="7C5866A3"/>
    <w:rsid w:val="7D7406BB"/>
    <w:rsid w:val="7DE94331"/>
    <w:rsid w:val="7E027190"/>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2"/>
    <w:basedOn w:val="1"/>
    <w:unhideWhenUsed/>
    <w:qFormat/>
    <w:uiPriority w:val="0"/>
    <w:pPr>
      <w:spacing w:after="120" w:line="480" w:lineRule="auto"/>
    </w:p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List Paragraph"/>
    <w:qFormat/>
    <w:uiPriority w:val="99"/>
    <w:pPr>
      <w:ind w:firstLine="420" w:firstLineChars="200"/>
    </w:pPr>
    <w:rPr>
      <w:rFonts w:hint="default" w:ascii="宋体" w:hAnsi="宋体" w:eastAsia="宋体" w:cs="Times New Roman"/>
      <w:sz w:val="24"/>
      <w:szCs w:val="24"/>
      <w:lang w:val="en-US" w:eastAsia="zh-CN" w:bidi="ar-SA"/>
    </w:rPr>
  </w:style>
  <w:style w:type="paragraph" w:customStyle="1" w:styleId="15">
    <w:name w:val="Default"/>
    <w:next w:val="1"/>
    <w:qFormat/>
    <w:uiPriority w:val="0"/>
    <w:pPr>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7246</Words>
  <Characters>8659</Characters>
  <Lines>161</Lines>
  <Paragraphs>45</Paragraphs>
  <TotalTime>1</TotalTime>
  <ScaleCrop>false</ScaleCrop>
  <LinksUpToDate>false</LinksUpToDate>
  <CharactersWithSpaces>9648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dcterms:modified xsi:type="dcterms:W3CDTF">2026-08-24T03:18:29Z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7E41A94778C84255A4BD3283F2C2F732_13</vt:lpwstr>
  </property>
  <property fmtid="{D5CDD505-2E9C-101B-9397-08002B2CF9AE}" pid="4" name="KSOTemplateDocerSaveRecord">
    <vt:lpwstr>eyJoZGlkIjoiNjA3YTI5OTQ4YTU3MDBmY2QwYTdmZWRjNTMwNWNkYWEiLCJ1c2VySWQiOiIyNDUyOTA0NDUifQ==</vt:lpwstr>
  </property>
</Properties>
</file>