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黔江区</w:t>
      </w:r>
      <w:r>
        <w:rPr>
          <w:rFonts w:ascii="Times New Roman" w:hAnsi="Times New Roman" w:eastAsia="方正小标宋_GBK" w:cs="Times New Roman"/>
          <w:sz w:val="44"/>
          <w:szCs w:val="44"/>
        </w:rPr>
        <w:t>国有土地上房屋征收与补偿领域基层政务公开标准目录（202</w:t>
      </w:r>
      <w:r>
        <w:rPr>
          <w:rFonts w:hint="eastAsia" w:ascii="Times New Roman" w:hAnsi="Times New Roman" w:eastAsia="方正小标宋_GBK" w:cs="Times New Roman"/>
          <w:sz w:val="44"/>
          <w:szCs w:val="44"/>
          <w:lang w:val="en-US" w:eastAsia="zh-CN"/>
        </w:rPr>
        <w:t>4</w:t>
      </w:r>
      <w:bookmarkStart w:id="0" w:name="_GoBack"/>
      <w:bookmarkEnd w:id="0"/>
      <w:r>
        <w:rPr>
          <w:rFonts w:ascii="Times New Roman" w:hAnsi="Times New Roman" w:eastAsia="方正小标宋_GBK" w:cs="Times New Roman"/>
          <w:sz w:val="44"/>
          <w:szCs w:val="44"/>
        </w:rPr>
        <w:t>年版）</w:t>
      </w:r>
    </w:p>
    <w:tbl>
      <w:tblPr>
        <w:tblStyle w:val="5"/>
        <w:tblW w:w="14041" w:type="dxa"/>
        <w:jc w:val="center"/>
        <w:tblLayout w:type="fixed"/>
        <w:tblCellMar>
          <w:top w:w="0" w:type="dxa"/>
          <w:left w:w="108" w:type="dxa"/>
          <w:bottom w:w="0" w:type="dxa"/>
          <w:right w:w="108" w:type="dxa"/>
        </w:tblCellMar>
      </w:tblPr>
      <w:tblGrid>
        <w:gridCol w:w="397"/>
        <w:gridCol w:w="638"/>
        <w:gridCol w:w="640"/>
        <w:gridCol w:w="2002"/>
        <w:gridCol w:w="2670"/>
        <w:gridCol w:w="935"/>
        <w:gridCol w:w="876"/>
        <w:gridCol w:w="3007"/>
        <w:gridCol w:w="400"/>
        <w:gridCol w:w="499"/>
        <w:gridCol w:w="459"/>
        <w:gridCol w:w="518"/>
        <w:gridCol w:w="500"/>
        <w:gridCol w:w="500"/>
      </w:tblGrid>
      <w:tr>
        <w:tblPrEx>
          <w:tblCellMar>
            <w:top w:w="0" w:type="dxa"/>
            <w:left w:w="108" w:type="dxa"/>
            <w:bottom w:w="0" w:type="dxa"/>
            <w:right w:w="108" w:type="dxa"/>
          </w:tblCellMar>
        </w:tblPrEx>
        <w:trPr>
          <w:trHeight w:val="52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序号</w:t>
            </w: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公开事项</w:t>
            </w:r>
          </w:p>
        </w:tc>
        <w:tc>
          <w:tcPr>
            <w:tcW w:w="20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公开内容                     (要素）</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公开依据</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时限</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主体</w:t>
            </w:r>
          </w:p>
        </w:tc>
        <w:tc>
          <w:tcPr>
            <w:tcW w:w="30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公开渠道和载体</w:t>
            </w:r>
          </w:p>
        </w:tc>
        <w:tc>
          <w:tcPr>
            <w:tcW w:w="89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对象</w:t>
            </w:r>
          </w:p>
        </w:tc>
        <w:tc>
          <w:tcPr>
            <w:tcW w:w="97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公开方式</w:t>
            </w:r>
          </w:p>
        </w:tc>
        <w:tc>
          <w:tcPr>
            <w:tcW w:w="100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hint="eastAsia" w:ascii="Times New Roman" w:hAnsi="Times New Roman" w:cs="Times New Roman"/>
                <w:b/>
                <w:bCs/>
                <w:color w:val="000000" w:themeColor="text1"/>
                <w:kern w:val="0"/>
                <w:sz w:val="18"/>
                <w:szCs w:val="18"/>
              </w:rPr>
              <w:t>公开层级</w:t>
            </w:r>
          </w:p>
        </w:tc>
      </w:tr>
      <w:tr>
        <w:tblPrEx>
          <w:tblCellMar>
            <w:top w:w="0" w:type="dxa"/>
            <w:left w:w="108" w:type="dxa"/>
            <w:bottom w:w="0" w:type="dxa"/>
            <w:right w:w="108" w:type="dxa"/>
          </w:tblCellMar>
        </w:tblPrEx>
        <w:trPr>
          <w:trHeight w:val="854"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kern w:val="0"/>
                <w:sz w:val="18"/>
                <w:szCs w:val="18"/>
              </w:rPr>
            </w:pP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一级事项</w:t>
            </w:r>
          </w:p>
        </w:tc>
        <w:tc>
          <w:tcPr>
            <w:tcW w:w="6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二级事项</w:t>
            </w: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kern w:val="0"/>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kern w:val="0"/>
                <w:sz w:val="18"/>
                <w:szCs w:val="18"/>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kern w:val="0"/>
                <w:sz w:val="18"/>
                <w:szCs w:val="18"/>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kern w:val="0"/>
                <w:sz w:val="18"/>
                <w:szCs w:val="18"/>
              </w:rPr>
            </w:pPr>
          </w:p>
        </w:tc>
        <w:tc>
          <w:tcPr>
            <w:tcW w:w="3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全社会</w:t>
            </w:r>
          </w:p>
        </w:tc>
        <w:tc>
          <w:tcPr>
            <w:tcW w:w="49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特定群体</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主动公开</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依申请公开</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hint="eastAsia" w:ascii="Times New Roman" w:hAnsi="Times New Roman" w:cs="Times New Roman"/>
                <w:b/>
                <w:bCs/>
                <w:color w:val="000000" w:themeColor="text1"/>
                <w:kern w:val="0"/>
                <w:sz w:val="18"/>
                <w:szCs w:val="18"/>
              </w:rPr>
              <w:t>区</w:t>
            </w:r>
            <w:r>
              <w:rPr>
                <w:rFonts w:ascii="Times New Roman" w:hAnsi="Times New Roman" w:cs="Times New Roman"/>
                <w:b/>
                <w:bCs/>
                <w:color w:val="000000" w:themeColor="text1"/>
                <w:kern w:val="0"/>
                <w:sz w:val="18"/>
                <w:szCs w:val="18"/>
              </w:rPr>
              <w:t>县级</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乡级</w:t>
            </w:r>
          </w:p>
        </w:tc>
      </w:tr>
      <w:tr>
        <w:tblPrEx>
          <w:tblCellMar>
            <w:top w:w="0" w:type="dxa"/>
            <w:left w:w="108" w:type="dxa"/>
            <w:bottom w:w="0" w:type="dxa"/>
            <w:right w:w="108" w:type="dxa"/>
          </w:tblCellMar>
        </w:tblPrEx>
        <w:trPr>
          <w:trHeight w:val="47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63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国家层面法规政策</w:t>
            </w:r>
          </w:p>
        </w:tc>
        <w:tc>
          <w:tcPr>
            <w:tcW w:w="2002" w:type="dxa"/>
            <w:tcBorders>
              <w:top w:val="nil"/>
              <w:left w:val="single" w:color="auto" w:sz="4" w:space="0"/>
              <w:bottom w:val="single" w:color="000000" w:sz="4" w:space="0"/>
              <w:right w:val="single" w:color="auto" w:sz="4" w:space="0"/>
            </w:tcBorders>
            <w:vAlign w:val="center"/>
          </w:tcPr>
          <w:p>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1.《国有土地上房屋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2.《国有土地上房屋征收评估办法》;                     3.《关于推进国有土地上房屋征收与补偿信息公开工作的实施意见》；                  4.《关于进一步加强国有土地上房屋征收与补偿信息公开工作的通知》。</w:t>
            </w:r>
          </w:p>
        </w:tc>
        <w:tc>
          <w:tcPr>
            <w:tcW w:w="267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人民政府及房屋征收部门</w:t>
            </w:r>
          </w:p>
        </w:tc>
        <w:tc>
          <w:tcPr>
            <w:tcW w:w="3007" w:type="dxa"/>
            <w:tcBorders>
              <w:top w:val="nil"/>
              <w:left w:val="nil"/>
              <w:bottom w:val="single" w:color="auto" w:sz="4" w:space="0"/>
              <w:right w:val="single" w:color="auto" w:sz="4" w:space="0"/>
            </w:tcBorders>
            <w:vAlign w:val="center"/>
          </w:tcPr>
          <w:p>
            <w:pPr>
              <w:jc w:val="left"/>
              <w:rPr>
                <w:rFonts w:ascii="Times New Roman" w:hAnsi="Times New Roman" w:eastAsia="东文宋体"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p>
        </w:tc>
        <w:tc>
          <w:tcPr>
            <w:tcW w:w="459"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p>
        </w:tc>
        <w:tc>
          <w:tcPr>
            <w:tcW w:w="500" w:type="dxa"/>
            <w:tcBorders>
              <w:top w:val="nil"/>
              <w:left w:val="nil"/>
              <w:bottom w:val="single" w:color="auto" w:sz="4" w:space="0"/>
              <w:right w:val="single" w:color="auto" w:sz="4" w:space="0"/>
            </w:tcBorders>
            <w:noWrap/>
            <w:vAlign w:val="center"/>
          </w:tcPr>
          <w:p>
            <w:pPr>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themeColor="text1"/>
                <w:kern w:val="0"/>
                <w:sz w:val="24"/>
                <w:szCs w:val="24"/>
              </w:rPr>
            </w:pPr>
          </w:p>
        </w:tc>
      </w:tr>
      <w:tr>
        <w:tblPrEx>
          <w:tblCellMar>
            <w:top w:w="0" w:type="dxa"/>
            <w:left w:w="108" w:type="dxa"/>
            <w:bottom w:w="0" w:type="dxa"/>
            <w:right w:w="108" w:type="dxa"/>
          </w:tblCellMar>
        </w:tblPrEx>
        <w:trPr>
          <w:trHeight w:val="207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638" w:type="dxa"/>
            <w:vMerge w:val="restart"/>
            <w:tcBorders>
              <w:top w:val="nil"/>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vMerge w:val="restart"/>
            <w:tcBorders>
              <w:top w:val="nil"/>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地方层面法规政策</w:t>
            </w:r>
          </w:p>
        </w:tc>
        <w:tc>
          <w:tcPr>
            <w:tcW w:w="2002" w:type="dxa"/>
            <w:vMerge w:val="restart"/>
            <w:tcBorders>
              <w:top w:val="nil"/>
              <w:left w:val="single" w:color="auto" w:sz="4" w:space="0"/>
              <w:bottom w:val="single" w:color="000000" w:sz="4" w:space="0"/>
              <w:right w:val="single" w:color="auto" w:sz="4" w:space="0"/>
            </w:tcBorders>
            <w:vAlign w:val="center"/>
          </w:tcPr>
          <w:p>
            <w:pPr>
              <w:widowControl/>
              <w:numPr>
                <w:ilvl w:val="0"/>
                <w:numId w:val="1"/>
              </w:numPr>
              <w:spacing w:line="16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《重庆市国有土地上房屋征收与补偿条例》；                                   2.《重庆市人民政府关于印发重庆市国有土地上房屋征收与补偿条例实施细则的通知》；                   3.《重庆市住房和城乡建设委员会关于全市执行统一的国有土地上房屋征收补偿科目及单项最高限额标准制度的通知》；                         4.《重庆市住房和城乡建设委员会关于印发&lt;重庆市国有土地上房屋征收评估管理办法&gt;的通知》；     5.《重庆市住房和城乡建设委员会关于印发&lt;重庆市国有土地上房屋征收评估技术规范&gt;的通知》；</w:t>
            </w:r>
          </w:p>
          <w:p>
            <w:pPr>
              <w:widowControl/>
              <w:spacing w:line="16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r>
              <w:rPr>
                <w:rFonts w:ascii="Times New Roman" w:hAnsi="Times New Roman" w:cs="Times New Roman"/>
                <w:kern w:val="0"/>
                <w:sz w:val="18"/>
                <w:szCs w:val="18"/>
              </w:rPr>
              <w:t xml:space="preserve">《重庆市住房和城乡建设委员会 重庆市民政局关于印发&lt;重庆市跨行政区域国有土地上房屋征收与补偿管理办法&gt;的通知》。        </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vMerge w:val="restart"/>
            <w:tcBorders>
              <w:top w:val="single" w:color="auto" w:sz="4" w:space="0"/>
              <w:left w:val="nil"/>
              <w:right w:val="single" w:color="auto" w:sz="4" w:space="0"/>
            </w:tcBorders>
            <w:vAlign w:val="center"/>
          </w:tcPr>
          <w:p>
            <w:pPr>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人民政府及房屋征收部门</w:t>
            </w:r>
          </w:p>
        </w:tc>
        <w:tc>
          <w:tcPr>
            <w:tcW w:w="3007" w:type="dxa"/>
            <w:vMerge w:val="restart"/>
            <w:tcBorders>
              <w:top w:val="single" w:color="auto" w:sz="4" w:space="0"/>
              <w:left w:val="nil"/>
              <w:right w:val="single" w:color="auto" w:sz="4" w:space="0"/>
            </w:tcBorders>
            <w:vAlign w:val="center"/>
          </w:tcPr>
          <w:p>
            <w:pPr>
              <w:jc w:val="left"/>
              <w:rPr>
                <w:rFonts w:ascii="Times New Roman" w:hAnsi="Times New Roman" w:eastAsia="东文宋体"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vMerge w:val="restart"/>
            <w:tcBorders>
              <w:top w:val="single" w:color="auto" w:sz="4" w:space="0"/>
              <w:left w:val="nil"/>
              <w:right w:val="single" w:color="auto" w:sz="4" w:space="0"/>
            </w:tcBorders>
            <w:vAlign w:val="center"/>
          </w:tcPr>
          <w:p>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vMerge w:val="restart"/>
            <w:tcBorders>
              <w:top w:val="single" w:color="auto" w:sz="4" w:space="0"/>
              <w:left w:val="nil"/>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59" w:type="dxa"/>
            <w:vMerge w:val="restart"/>
            <w:tcBorders>
              <w:top w:val="single" w:color="auto" w:sz="4" w:space="0"/>
              <w:left w:val="nil"/>
              <w:right w:val="single" w:color="auto" w:sz="4" w:space="0"/>
            </w:tcBorders>
            <w:vAlign w:val="center"/>
          </w:tcPr>
          <w:p>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vMerge w:val="restart"/>
            <w:tcBorders>
              <w:top w:val="single" w:color="auto" w:sz="4" w:space="0"/>
              <w:left w:val="nil"/>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vMerge w:val="restart"/>
            <w:tcBorders>
              <w:top w:val="single" w:color="auto" w:sz="4" w:space="0"/>
              <w:left w:val="nil"/>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vMerge w:val="restart"/>
            <w:tcBorders>
              <w:top w:val="single" w:color="auto" w:sz="4" w:space="0"/>
              <w:left w:val="nil"/>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3255"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kern w:val="0"/>
                <w:sz w:val="18"/>
                <w:szCs w:val="18"/>
              </w:rPr>
            </w:pPr>
          </w:p>
        </w:tc>
        <w:tc>
          <w:tcPr>
            <w:tcW w:w="63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kern w:val="0"/>
                <w:sz w:val="18"/>
                <w:szCs w:val="18"/>
              </w:rPr>
            </w:pPr>
          </w:p>
        </w:tc>
        <w:tc>
          <w:tcPr>
            <w:tcW w:w="64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kern w:val="0"/>
                <w:sz w:val="18"/>
                <w:szCs w:val="18"/>
              </w:rPr>
            </w:pPr>
          </w:p>
        </w:tc>
        <w:tc>
          <w:tcPr>
            <w:tcW w:w="200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9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876" w:type="dxa"/>
            <w:vMerge w:val="continue"/>
            <w:tcBorders>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3007" w:type="dxa"/>
            <w:vMerge w:val="continue"/>
            <w:tcBorders>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400" w:type="dxa"/>
            <w:vMerge w:val="continue"/>
            <w:tcBorders>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p>
        </w:tc>
        <w:tc>
          <w:tcPr>
            <w:tcW w:w="499" w:type="dxa"/>
            <w:vMerge w:val="continue"/>
            <w:tcBorders>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p>
        </w:tc>
        <w:tc>
          <w:tcPr>
            <w:tcW w:w="459" w:type="dxa"/>
            <w:vMerge w:val="continue"/>
            <w:tcBorders>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p>
        </w:tc>
        <w:tc>
          <w:tcPr>
            <w:tcW w:w="518" w:type="dxa"/>
            <w:vMerge w:val="continue"/>
            <w:tcBorders>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p>
        </w:tc>
        <w:tc>
          <w:tcPr>
            <w:tcW w:w="500" w:type="dxa"/>
            <w:vMerge w:val="continue"/>
            <w:tcBorders>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p>
        </w:tc>
        <w:tc>
          <w:tcPr>
            <w:tcW w:w="500" w:type="dxa"/>
            <w:vMerge w:val="continue"/>
            <w:tcBorders>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p>
        </w:tc>
      </w:tr>
      <w:tr>
        <w:tblPrEx>
          <w:tblCellMar>
            <w:top w:w="0" w:type="dxa"/>
            <w:left w:w="108" w:type="dxa"/>
            <w:bottom w:w="0" w:type="dxa"/>
            <w:right w:w="108" w:type="dxa"/>
          </w:tblCellMar>
        </w:tblPrEx>
        <w:trPr>
          <w:trHeight w:val="202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启动要件</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征收项目符合公共利益的相关材料。</w:t>
            </w:r>
          </w:p>
        </w:tc>
        <w:tc>
          <w:tcPr>
            <w:tcW w:w="2670" w:type="dxa"/>
            <w:tcBorders>
              <w:top w:val="nil"/>
              <w:left w:val="nil"/>
              <w:bottom w:val="single" w:color="auto" w:sz="4" w:space="0"/>
              <w:right w:val="single" w:color="auto" w:sz="4" w:space="0"/>
            </w:tcBorders>
            <w:vAlign w:val="center"/>
          </w:tcPr>
          <w:p>
            <w:pPr>
              <w:widowControl/>
              <w:numPr>
                <w:ilvl w:val="0"/>
                <w:numId w:val="2"/>
              </w:num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《国有土地上房屋征收与补偿条例》；                      </w:t>
            </w:r>
          </w:p>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2.《重庆市国有土地上房屋征收与补偿条例》 ；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自收到申请之日起20个工作日内公开</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人民政府及相关部门</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□政府公报□两微一端      □发布会/听证会 □广播电视      □纸质媒体□公开查阅点    □政务服务中心□便民服务站    □入户/现场□社区/企事业单位/村公示栏（电子  屏）</w:t>
            </w:r>
          </w:p>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0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267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1.《国有土地上房屋征收与补偿条例》 ；                            2.《重庆市国有土地上房屋征收与补偿条例》 ；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人民政府及相关部门</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5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房屋调查登记</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1.入户调查通知；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2.调查结果；</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3.认定结果。</w:t>
            </w:r>
          </w:p>
        </w:tc>
        <w:tc>
          <w:tcPr>
            <w:tcW w:w="2670" w:type="dxa"/>
            <w:tcBorders>
              <w:top w:val="nil"/>
              <w:left w:val="nil"/>
              <w:bottom w:val="single" w:color="auto" w:sz="4" w:space="0"/>
              <w:right w:val="single" w:color="auto" w:sz="4" w:space="0"/>
            </w:tcBorders>
            <w:vAlign w:val="center"/>
          </w:tcPr>
          <w:p>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1.《国有土地上房屋征收与补偿条例》；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2.《国有土地上房屋征收评估办法》</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3.《关于推进国有土地上房屋征收与补偿信息公开工作的实施意见》；</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4.《关于进一步加强国有土地上房屋征收与补偿信息公开工作的通知》；                                      5.《重庆市国有土地上房屋征收与补偿条例》 ；                                  6.《重庆市人民政府关于印发重庆市国有土地上房屋征收与补偿条例实施细则的通知》。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人民政府及房屋征收部门</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44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房地产估价机构确定</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房地产估价机构选定或确定通知。</w:t>
            </w:r>
          </w:p>
        </w:tc>
        <w:tc>
          <w:tcPr>
            <w:tcW w:w="2670" w:type="dxa"/>
            <w:tcBorders>
              <w:top w:val="nil"/>
              <w:left w:val="nil"/>
              <w:bottom w:val="single" w:color="auto" w:sz="4" w:space="0"/>
              <w:right w:val="single" w:color="auto" w:sz="4" w:space="0"/>
            </w:tcBorders>
            <w:vAlign w:val="center"/>
          </w:tcPr>
          <w:p>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2.《国有土地上房屋征收评估办法》；</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3.《关于推进国有土地上房屋征收与补偿信息公开工作的实施意见》；</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4.《关于进一步加强国有土地上房屋征</w:t>
            </w:r>
            <w:r>
              <w:rPr>
                <w:rFonts w:ascii="Times New Roman" w:hAnsi="Times New Roman" w:cs="Times New Roman"/>
                <w:color w:val="000000" w:themeColor="text1"/>
                <w:spacing w:val="-6"/>
                <w:kern w:val="0"/>
                <w:sz w:val="18"/>
                <w:szCs w:val="18"/>
              </w:rPr>
              <w:t xml:space="preserve">收与补偿信息公开工作的通知》；   </w:t>
            </w:r>
            <w:r>
              <w:rPr>
                <w:rFonts w:ascii="Times New Roman" w:hAnsi="Times New Roman" w:cs="Times New Roman"/>
                <w:color w:val="000000" w:themeColor="text1"/>
                <w:kern w:val="0"/>
                <w:sz w:val="18"/>
                <w:szCs w:val="18"/>
              </w:rPr>
              <w:t xml:space="preserve">                                      5.《重庆市国有土地上房屋征收与补偿条例》；                                6.《重庆市人民政府关于印发重庆市国有土地上房屋征收与补偿条例实施细则的通知》。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房屋征收部门</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□社区/企事业单位/村公示栏（电子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pacing w:val="-17"/>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90"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房屋征收补偿方案拟订</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论证结论</w:t>
            </w:r>
          </w:p>
        </w:tc>
        <w:tc>
          <w:tcPr>
            <w:tcW w:w="2670" w:type="dxa"/>
            <w:vMerge w:val="restart"/>
            <w:tcBorders>
              <w:top w:val="nil"/>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spacing w:val="-6"/>
                <w:kern w:val="0"/>
                <w:sz w:val="18"/>
                <w:szCs w:val="18"/>
              </w:rPr>
              <w:t>国有土地上房屋征收与补偿条例》；</w:t>
            </w:r>
          </w:p>
          <w:p>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2.《关于推进国有土地上房屋征收与补偿信息公开工作的实施意见》；</w:t>
            </w:r>
          </w:p>
          <w:p>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spacing w:val="-6"/>
                <w:kern w:val="0"/>
                <w:sz w:val="18"/>
                <w:szCs w:val="18"/>
              </w:rPr>
              <w:t>《关于进一步加强国有土地上房屋征收与补偿信息公开工作的通知》 ；</w:t>
            </w:r>
            <w:r>
              <w:rPr>
                <w:rFonts w:ascii="Times New Roman" w:hAnsi="Times New Roman" w:cs="Times New Roman"/>
                <w:color w:val="000000" w:themeColor="text1"/>
                <w:kern w:val="0"/>
                <w:sz w:val="18"/>
                <w:szCs w:val="18"/>
              </w:rPr>
              <w:t xml:space="preserve">                                4.《重庆市国有土地上房屋征收与补偿条例》；                                 5.《重庆市人民政府关于印发重庆市国有土地上房屋征收与补偿条例实施细则的通知》；                      6.《重庆市住房和城乡建设委员会关于全市执行统一的国有土地上房屋征收补偿科目及单项最高限额标准制度的通知》。     </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自收到申请之日起20个工作日内公开</w:t>
            </w:r>
          </w:p>
        </w:tc>
        <w:tc>
          <w:tcPr>
            <w:tcW w:w="87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人民政府</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w:t>
            </w:r>
            <w:r>
              <w:rPr>
                <w:rFonts w:ascii="Times New Roman" w:hAnsi="Times New Roman" w:cs="Times New Roman"/>
                <w:color w:val="000000" w:themeColor="text1"/>
                <w:spacing w:val="23"/>
                <w:kern w:val="0"/>
                <w:sz w:val="18"/>
                <w:szCs w:val="18"/>
              </w:rPr>
              <w:t>政府公报□两微一端</w:t>
            </w:r>
            <w:r>
              <w:rPr>
                <w:rFonts w:ascii="Times New Roman" w:hAnsi="Times New Roman" w:cs="Times New Roman"/>
                <w:color w:val="000000" w:themeColor="text1"/>
                <w:kern w:val="0"/>
                <w:sz w:val="18"/>
                <w:szCs w:val="18"/>
              </w:rPr>
              <w:t xml:space="preserve">      □发布会/听证会 □广播电视      □纸质媒体□公开查阅点        □政务服务中心□便民服务站    □入户/现场</w:t>
            </w:r>
          </w:p>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□社区/企事业单位/村公示栏（电子  屏）</w:t>
            </w:r>
          </w:p>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356"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1.征求意见情况；</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2.根据公众意见修改情况。</w:t>
            </w:r>
          </w:p>
        </w:tc>
        <w:tc>
          <w:tcPr>
            <w:tcW w:w="26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935" w:type="dxa"/>
            <w:tcBorders>
              <w:top w:val="nil"/>
              <w:left w:val="nil"/>
              <w:bottom w:val="single" w:color="auto" w:sz="4" w:space="0"/>
              <w:right w:val="single" w:color="auto" w:sz="4" w:space="0"/>
            </w:tcBorders>
            <w:vAlign w:val="center"/>
          </w:tcPr>
          <w:p>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信息形成或者变更之日起20个工作日内予以公开；征求意见期限不得少于30日</w:t>
            </w: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kern w:val="0"/>
                <w:sz w:val="18"/>
                <w:szCs w:val="18"/>
              </w:rPr>
              <w:t>√</w:t>
            </w: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180" w:lineRule="exact"/>
              <w:jc w:val="center"/>
              <w:rPr>
                <w:rFonts w:ascii="Times New Roman" w:hAnsi="Times New Roman" w:cs="Times New Roman"/>
                <w:color w:val="000000" w:themeColor="text1"/>
                <w:kern w:val="0"/>
                <w:sz w:val="18"/>
                <w:szCs w:val="18"/>
              </w:rPr>
            </w:pP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18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8</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社会稳定风险评估结果。</w:t>
            </w:r>
          </w:p>
        </w:tc>
        <w:tc>
          <w:tcPr>
            <w:tcW w:w="267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spacing w:val="-6"/>
                <w:kern w:val="0"/>
                <w:sz w:val="18"/>
                <w:szCs w:val="18"/>
              </w:rPr>
              <w:t xml:space="preserve">国有土地上房屋征收与补偿条例》 ；   </w:t>
            </w:r>
            <w:r>
              <w:rPr>
                <w:rFonts w:ascii="Times New Roman" w:hAnsi="Times New Roman" w:cs="Times New Roman"/>
                <w:color w:val="000000" w:themeColor="text1"/>
                <w:kern w:val="0"/>
                <w:sz w:val="18"/>
                <w:szCs w:val="18"/>
              </w:rPr>
              <w:t xml:space="preserve">                        2.《重庆市国有土地上房屋征收与补偿条例》；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自收到申请之日起20个工作日内公开</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区人民政府</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31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9</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房屋征收决定公告（包括补偿方案和行政复议、行政诉讼权利等事项）。</w:t>
            </w:r>
          </w:p>
        </w:tc>
        <w:tc>
          <w:tcPr>
            <w:tcW w:w="2670" w:type="dxa"/>
            <w:tcBorders>
              <w:top w:val="nil"/>
              <w:left w:val="nil"/>
              <w:bottom w:val="single" w:color="auto" w:sz="4" w:space="0"/>
              <w:right w:val="single" w:color="auto" w:sz="4" w:space="0"/>
            </w:tcBorders>
            <w:vAlign w:val="center"/>
          </w:tcPr>
          <w:p>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2.《关于推进国有土地上房屋征收与补偿信息公开工作的实施意见》；</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3.《关于进一步加强国有土地上房屋</w:t>
            </w:r>
            <w:r>
              <w:rPr>
                <w:rFonts w:ascii="Times New Roman" w:hAnsi="Times New Roman" w:cs="Times New Roman"/>
                <w:color w:val="000000" w:themeColor="text1"/>
                <w:spacing w:val="-6"/>
                <w:kern w:val="0"/>
                <w:sz w:val="18"/>
                <w:szCs w:val="18"/>
              </w:rPr>
              <w:t xml:space="preserve">征收与补偿信息公开工作的通知》；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黔江区</w:t>
            </w:r>
            <w:r>
              <w:rPr>
                <w:rFonts w:ascii="Times New Roman" w:hAnsi="Times New Roman" w:cs="Times New Roman"/>
                <w:color w:val="000000" w:themeColor="text1"/>
                <w:kern w:val="0"/>
                <w:sz w:val="18"/>
                <w:szCs w:val="18"/>
              </w:rPr>
              <w:t>人民政府</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ascii="Times New Roman" w:hAnsi="Times New Roman" w:cs="Times New Roman"/>
                <w:color w:val="000000" w:themeColor="text1"/>
                <w:kern w:val="0"/>
                <w:sz w:val="18"/>
                <w:szCs w:val="18"/>
              </w:rPr>
            </w:pP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65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被征收房屋评估</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分户的初步评估结果。</w:t>
            </w:r>
          </w:p>
        </w:tc>
        <w:tc>
          <w:tcPr>
            <w:tcW w:w="2670" w:type="dxa"/>
            <w:tcBorders>
              <w:top w:val="nil"/>
              <w:left w:val="nil"/>
              <w:bottom w:val="single" w:color="auto" w:sz="4" w:space="0"/>
              <w:right w:val="single" w:color="auto" w:sz="4" w:space="0"/>
            </w:tcBorders>
            <w:vAlign w:val="center"/>
          </w:tcPr>
          <w:p>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1.《国有土地上房屋征收与补偿条例》；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2.《关于推进国有土地上房屋征收与补偿信息公开工作的实施意见》；</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3.《关于进一步加强国有土地上房屋征收与补偿信息公开工作的通知》；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w:t>
            </w:r>
            <w:r>
              <w:rPr>
                <w:rFonts w:ascii="Times New Roman" w:hAnsi="Times New Roman" w:cs="Times New Roman"/>
                <w:color w:val="000000" w:themeColor="text1"/>
                <w:kern w:val="0"/>
                <w:sz w:val="18"/>
                <w:szCs w:val="18"/>
              </w:rPr>
              <w:t>区房屋征收部门</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□政府公报□两微一端      □发布会/听证会 □广播电视      □纸质媒体□公开查阅点    □政务服务中心□便民服务站    ■入户/现场</w:t>
            </w:r>
          </w:p>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□社区/企事业单位/村公示栏（电子  屏）□精准推送□其他_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11</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产权调换房屋</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1.房源信息；</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2.选房办法；</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3.选房结果。</w:t>
            </w:r>
          </w:p>
        </w:tc>
        <w:tc>
          <w:tcPr>
            <w:tcW w:w="2670" w:type="dxa"/>
            <w:tcBorders>
              <w:top w:val="nil"/>
              <w:left w:val="nil"/>
              <w:bottom w:val="single" w:color="auto" w:sz="4" w:space="0"/>
              <w:right w:val="single" w:color="auto" w:sz="4" w:space="0"/>
            </w:tcBorders>
            <w:shd w:val="clear" w:color="auto" w:fill="auto"/>
            <w:vAlign w:val="center"/>
          </w:tcPr>
          <w:p>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1.《国有土地上房屋征收与补偿条例》；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2.《关于推进国有土地上房屋征收与补偿信息公开工作的实施意见》；</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3.《关于进一步加强国有土地上房屋征收与补偿信息公开工作的通知》；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4.《重庆市国有土地上房屋征收与补偿条例》；                                   5.《重庆市人民政府关于印发重庆市国有土地上房屋征收与补偿条例实施细则的通知》。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w:t>
            </w:r>
            <w:r>
              <w:rPr>
                <w:rFonts w:ascii="Times New Roman" w:hAnsi="Times New Roman" w:cs="Times New Roman"/>
                <w:color w:val="000000" w:themeColor="text1"/>
                <w:kern w:val="0"/>
                <w:sz w:val="18"/>
                <w:szCs w:val="18"/>
              </w:rPr>
              <w:t>区房屋征收部门</w:t>
            </w:r>
          </w:p>
        </w:tc>
        <w:tc>
          <w:tcPr>
            <w:tcW w:w="30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08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12</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分户补偿情况</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分户补偿结果。</w:t>
            </w:r>
          </w:p>
        </w:tc>
        <w:tc>
          <w:tcPr>
            <w:tcW w:w="2670" w:type="dxa"/>
            <w:tcBorders>
              <w:top w:val="nil"/>
              <w:left w:val="nil"/>
              <w:bottom w:val="single" w:color="auto" w:sz="4" w:space="0"/>
              <w:right w:val="single" w:color="auto" w:sz="4" w:space="0"/>
            </w:tcBorders>
            <w:vAlign w:val="center"/>
          </w:tcPr>
          <w:p>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1.《国有土地上房屋征收与补偿条例》；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2.《关于推进国有土地上房屋征收与补偿信息公开工作的实施意见》；</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3.《关于进一步加强国有土地上房屋征收与补偿信息公开工作的通知》；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w:t>
            </w:r>
            <w:r>
              <w:rPr>
                <w:rFonts w:ascii="Times New Roman" w:hAnsi="Times New Roman" w:cs="Times New Roman"/>
                <w:color w:val="000000" w:themeColor="text1"/>
                <w:kern w:val="0"/>
                <w:sz w:val="18"/>
                <w:szCs w:val="18"/>
              </w:rPr>
              <w:t>区房屋征收部门</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r>
        <w:tblPrEx>
          <w:tblCellMar>
            <w:top w:w="0" w:type="dxa"/>
            <w:left w:w="108" w:type="dxa"/>
            <w:bottom w:w="0" w:type="dxa"/>
            <w:right w:w="108" w:type="dxa"/>
          </w:tblCellMar>
        </w:tblPrEx>
        <w:trPr>
          <w:trHeight w:val="24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13</w:t>
            </w:r>
          </w:p>
        </w:tc>
        <w:tc>
          <w:tcPr>
            <w:tcW w:w="6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w:t>
            </w:r>
          </w:p>
        </w:tc>
        <w:tc>
          <w:tcPr>
            <w:tcW w:w="200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房屋征收补偿决定公告。</w:t>
            </w:r>
          </w:p>
        </w:tc>
        <w:tc>
          <w:tcPr>
            <w:tcW w:w="2670" w:type="dxa"/>
            <w:tcBorders>
              <w:top w:val="nil"/>
              <w:left w:val="nil"/>
              <w:bottom w:val="single" w:color="auto" w:sz="4" w:space="0"/>
              <w:right w:val="single" w:color="auto" w:sz="4" w:space="0"/>
            </w:tcBorders>
            <w:vAlign w:val="center"/>
          </w:tcPr>
          <w:p>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1.《国有土地上房屋征收与补偿条例》；</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2.《关于推进国有土地上房屋征收与补偿信息公开工作的实施意见》；</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3.《关于进一步加强国有土地上房屋征收与补偿信息公开工作的通知》；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黔江</w:t>
            </w:r>
            <w:r>
              <w:rPr>
                <w:rFonts w:ascii="Times New Roman" w:hAnsi="Times New Roman" w:cs="Times New Roman"/>
                <w:color w:val="000000" w:themeColor="text1"/>
                <w:kern w:val="0"/>
                <w:sz w:val="18"/>
                <w:szCs w:val="18"/>
              </w:rPr>
              <w:t>区人民政府</w:t>
            </w:r>
          </w:p>
        </w:tc>
        <w:tc>
          <w:tcPr>
            <w:tcW w:w="300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□政府网站      □政府公报</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□两微一端      □发布会/听证会 </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□广播电视      □纸质媒体</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□公开查阅点    □政务服务中心</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□便民服务站    ■入户/现场</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□社区/企事业单位/村公示栏（电子</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 xml:space="preserve">  屏）</w:t>
            </w:r>
            <w:r>
              <w:rPr>
                <w:rFonts w:ascii="Times New Roman" w:hAnsi="Times New Roman" w:cs="Times New Roman"/>
                <w:color w:val="000000" w:themeColor="text1"/>
                <w:kern w:val="0"/>
                <w:sz w:val="18"/>
                <w:szCs w:val="18"/>
              </w:rPr>
              <w:br w:type="textWrapping"/>
            </w:r>
            <w:r>
              <w:rPr>
                <w:rFonts w:ascii="Times New Roman" w:hAnsi="Times New Roman" w:cs="Times New Roman"/>
                <w:color w:val="000000" w:themeColor="text1"/>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w:t>
            </w:r>
          </w:p>
        </w:tc>
      </w:tr>
    </w:tbl>
    <w:p>
      <w:pPr>
        <w:adjustRightInd w:val="0"/>
        <w:snapToGrid w:val="0"/>
        <w:spacing w:line="600" w:lineRule="exact"/>
        <w:rPr>
          <w:rFonts w:ascii="Times New Roman" w:hAnsi="Times New Roman" w:eastAsia="方正小标宋_GBK" w:cs="Times New Roman"/>
          <w:sz w:val="44"/>
          <w:szCs w:val="44"/>
        </w:rPr>
        <w:sectPr>
          <w:footerReference r:id="rId3" w:type="default"/>
          <w:footerReference r:id="rId4" w:type="even"/>
          <w:pgSz w:w="16838" w:h="11906" w:orient="landscape"/>
          <w:pgMar w:top="1531" w:right="2098" w:bottom="1531" w:left="2098" w:header="851" w:footer="992" w:gutter="0"/>
          <w:pgNumType w:fmt="numberInDash"/>
          <w:cols w:space="720" w:num="1"/>
          <w:docGrid w:linePitch="312" w:charSpace="0"/>
        </w:sectPr>
      </w:pPr>
    </w:p>
    <w:p>
      <w:pPr>
        <w:pBdr>
          <w:top w:val="single" w:color="auto" w:sz="6" w:space="1"/>
          <w:bottom w:val="single" w:color="auto" w:sz="6" w:space="1"/>
        </w:pBdr>
        <w:tabs>
          <w:tab w:val="left" w:pos="9357"/>
        </w:tabs>
        <w:spacing w:line="360" w:lineRule="exact"/>
        <w:jc w:val="left"/>
        <w:rPr>
          <w:rFonts w:ascii="Times New Roman" w:hAnsi="Times New Roman" w:cs="Times New Roman"/>
          <w:u w:val="single"/>
        </w:rPr>
      </w:pPr>
      <w:r>
        <w:rPr>
          <w:rFonts w:hint="eastAsia" w:ascii="Times New Roman" w:hAnsi="Times New Roman" w:cs="Times New Roman"/>
          <w:u w:val="single"/>
        </w:rPr>
        <w:tab/>
      </w:r>
    </w:p>
    <w:sectPr>
      <w:pgSz w:w="16838" w:h="11906" w:orient="landscape"/>
      <w:pgMar w:top="1531" w:right="2098" w:bottom="1531" w:left="198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东文宋体">
    <w:altName w:val="方正书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Calibri"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836E7"/>
    <w:multiLevelType w:val="singleLevel"/>
    <w:tmpl w:val="FDC836E7"/>
    <w:lvl w:ilvl="0" w:tentative="0">
      <w:start w:val="1"/>
      <w:numFmt w:val="decimal"/>
      <w:lvlText w:val="%1."/>
      <w:lvlJc w:val="left"/>
      <w:pPr>
        <w:tabs>
          <w:tab w:val="left" w:pos="312"/>
        </w:tabs>
      </w:pPr>
    </w:lvl>
  </w:abstractNum>
  <w:abstractNum w:abstractNumId="1">
    <w:nsid w:val="7FBF1C81"/>
    <w:multiLevelType w:val="singleLevel"/>
    <w:tmpl w:val="7FBF1C8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C6699"/>
    <w:rsid w:val="0008566F"/>
    <w:rsid w:val="000C6699"/>
    <w:rsid w:val="001135F5"/>
    <w:rsid w:val="00127AD9"/>
    <w:rsid w:val="00155814"/>
    <w:rsid w:val="00353F3D"/>
    <w:rsid w:val="00394553"/>
    <w:rsid w:val="003E4E11"/>
    <w:rsid w:val="004035C7"/>
    <w:rsid w:val="0052445C"/>
    <w:rsid w:val="005D152E"/>
    <w:rsid w:val="00687854"/>
    <w:rsid w:val="00797E16"/>
    <w:rsid w:val="008015F4"/>
    <w:rsid w:val="00864424"/>
    <w:rsid w:val="008C18B6"/>
    <w:rsid w:val="008C571B"/>
    <w:rsid w:val="00AA73D3"/>
    <w:rsid w:val="00B1430B"/>
    <w:rsid w:val="00B56FCB"/>
    <w:rsid w:val="00B61E7C"/>
    <w:rsid w:val="00BD5F77"/>
    <w:rsid w:val="00DE2B9D"/>
    <w:rsid w:val="00F43C92"/>
    <w:rsid w:val="02897C4F"/>
    <w:rsid w:val="04DC5D07"/>
    <w:rsid w:val="070560D8"/>
    <w:rsid w:val="076407B6"/>
    <w:rsid w:val="0A434865"/>
    <w:rsid w:val="0E1F38BB"/>
    <w:rsid w:val="0E403DF0"/>
    <w:rsid w:val="11623C5C"/>
    <w:rsid w:val="11C64636"/>
    <w:rsid w:val="12392480"/>
    <w:rsid w:val="139748E4"/>
    <w:rsid w:val="17F760DF"/>
    <w:rsid w:val="189758E8"/>
    <w:rsid w:val="1A2767F1"/>
    <w:rsid w:val="1CD42B33"/>
    <w:rsid w:val="1D7C63EB"/>
    <w:rsid w:val="206E5844"/>
    <w:rsid w:val="218A5805"/>
    <w:rsid w:val="23395957"/>
    <w:rsid w:val="23F52A31"/>
    <w:rsid w:val="26EA14D3"/>
    <w:rsid w:val="2CAB0A9C"/>
    <w:rsid w:val="374CB23B"/>
    <w:rsid w:val="37ED5A34"/>
    <w:rsid w:val="393B54FE"/>
    <w:rsid w:val="39D20521"/>
    <w:rsid w:val="3BDD3851"/>
    <w:rsid w:val="3BE7B7FA"/>
    <w:rsid w:val="3E9704BE"/>
    <w:rsid w:val="3ED65F65"/>
    <w:rsid w:val="3F772F66"/>
    <w:rsid w:val="41B31B6A"/>
    <w:rsid w:val="43657EF5"/>
    <w:rsid w:val="46F96243"/>
    <w:rsid w:val="49A0165F"/>
    <w:rsid w:val="4B403918"/>
    <w:rsid w:val="4B7C3BB7"/>
    <w:rsid w:val="4D206899"/>
    <w:rsid w:val="4EB124A8"/>
    <w:rsid w:val="50A70564"/>
    <w:rsid w:val="53F41D4A"/>
    <w:rsid w:val="54563E63"/>
    <w:rsid w:val="54F20968"/>
    <w:rsid w:val="561447BE"/>
    <w:rsid w:val="56612828"/>
    <w:rsid w:val="57CC4919"/>
    <w:rsid w:val="58E51F5C"/>
    <w:rsid w:val="5B452BA2"/>
    <w:rsid w:val="5B79A480"/>
    <w:rsid w:val="5D6F32DB"/>
    <w:rsid w:val="5EBF23BA"/>
    <w:rsid w:val="5EEF0B71"/>
    <w:rsid w:val="5F21195C"/>
    <w:rsid w:val="5FFB3A4E"/>
    <w:rsid w:val="60F519C3"/>
    <w:rsid w:val="67623C6B"/>
    <w:rsid w:val="680A243E"/>
    <w:rsid w:val="68367986"/>
    <w:rsid w:val="6868145A"/>
    <w:rsid w:val="697775F6"/>
    <w:rsid w:val="6B7F6169"/>
    <w:rsid w:val="6CF5E483"/>
    <w:rsid w:val="730B464C"/>
    <w:rsid w:val="74996E7A"/>
    <w:rsid w:val="74F24448"/>
    <w:rsid w:val="7585F936"/>
    <w:rsid w:val="76B15747"/>
    <w:rsid w:val="77CC50D8"/>
    <w:rsid w:val="7C914632"/>
    <w:rsid w:val="7E53705D"/>
    <w:rsid w:val="7FE3F7B8"/>
    <w:rsid w:val="7FFEA7F4"/>
    <w:rsid w:val="9FFF860D"/>
    <w:rsid w:val="AFB971D0"/>
    <w:rsid w:val="B7BFF097"/>
    <w:rsid w:val="BFF7BE0A"/>
    <w:rsid w:val="DEFF2E48"/>
    <w:rsid w:val="EBFFA0A2"/>
    <w:rsid w:val="EFFAF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Theme="minorEastAsia"/>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日期 Char"/>
    <w:basedOn w:val="6"/>
    <w:qFormat/>
    <w:locked/>
    <w:uiPriority w:val="0"/>
    <w:rPr>
      <w:rFonts w:ascii="Calibri" w:hAnsi="Calibri" w:cs="Calibri"/>
      <w:szCs w:val="21"/>
    </w:rPr>
  </w:style>
  <w:style w:type="character" w:customStyle="1" w:styleId="10">
    <w:name w:val="页眉 Char1"/>
    <w:basedOn w:val="6"/>
    <w:semiHidden/>
    <w:qFormat/>
    <w:uiPriority w:val="0"/>
    <w:rPr>
      <w:rFonts w:ascii="Calibri" w:hAnsi="Calibri" w:cs="Calibri"/>
      <w:kern w:val="2"/>
      <w:sz w:val="18"/>
      <w:szCs w:val="18"/>
    </w:rPr>
  </w:style>
  <w:style w:type="character" w:customStyle="1" w:styleId="11">
    <w:name w:val="页脚 Char1"/>
    <w:basedOn w:val="6"/>
    <w:semiHidden/>
    <w:qFormat/>
    <w:uiPriority w:val="99"/>
    <w:rPr>
      <w:rFonts w:ascii="Calibri" w:hAnsi="Calibri" w:cs="Calibri"/>
      <w:kern w:val="2"/>
      <w:sz w:val="18"/>
      <w:szCs w:val="18"/>
    </w:rPr>
  </w:style>
  <w:style w:type="character" w:customStyle="1" w:styleId="12">
    <w:name w:val="日期 Char1"/>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876</Words>
  <Characters>4997</Characters>
  <Lines>41</Lines>
  <Paragraphs>11</Paragraphs>
  <TotalTime>194</TotalTime>
  <ScaleCrop>false</ScaleCrop>
  <LinksUpToDate>false</LinksUpToDate>
  <CharactersWithSpaces>5862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2023-10-30T17:02:00Z</dcterms:created>
  <dc:creator>微软用户</dc:creator>
  <cp:lastModifiedBy> </cp:lastModifiedBy>
  <cp:lastPrinted>2023-10-27T12:24:00Z</cp:lastPrinted>
  <dcterms:modified xsi:type="dcterms:W3CDTF">2024-01-31T10:25:10Z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524A87176CBE4EF7ACBD77770326134C</vt:lpwstr>
  </property>
</Properties>
</file>