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396D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黔江区市民广场</w:t>
      </w:r>
      <w:r>
        <w:rPr>
          <w:rFonts w:hint="eastAsia" w:ascii="Times New Roman" w:hAnsi="Times New Roman" w:eastAsia="方正小标宋_GBK" w:cs="Times New Roman"/>
          <w:sz w:val="44"/>
          <w:szCs w:val="44"/>
          <w:lang w:eastAsia="zh-CN"/>
        </w:rPr>
        <w:t>停车场及附属设施</w:t>
      </w: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项目</w:t>
      </w:r>
    </w:p>
    <w:p w14:paraId="23B9BD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outlineLvl w:val="9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招商公告</w:t>
      </w:r>
    </w:p>
    <w:p w14:paraId="31A2BF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right="0" w:rightChars="0" w:firstLine="640" w:firstLineChars="200"/>
        <w:jc w:val="left"/>
        <w:textAlignment w:val="auto"/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</w:pPr>
    </w:p>
    <w:p w14:paraId="11F1A6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jc w:val="left"/>
        <w:textAlignment w:val="auto"/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所属产业：公共服务</w:t>
      </w:r>
    </w:p>
    <w:p w14:paraId="0612B4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jc w:val="left"/>
        <w:textAlignment w:val="auto"/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投资规模：</w:t>
      </w:r>
      <w:r>
        <w:rPr>
          <w:rFonts w:hint="eastAsia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2.5</w:t>
      </w: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亿元</w:t>
      </w:r>
    </w:p>
    <w:p w14:paraId="32CDB8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jc w:val="left"/>
        <w:textAlignment w:val="auto"/>
        <w:rPr>
          <w:rFonts w:hint="eastAsia" w:ascii="Times New Roman" w:hAnsi="Times New Roman" w:eastAsia="方正楷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项目所在地：重庆市黔江区</w:t>
      </w:r>
      <w:r>
        <w:rPr>
          <w:rFonts w:hint="eastAsia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正阳街道</w:t>
      </w:r>
    </w:p>
    <w:p w14:paraId="44104B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jc w:val="left"/>
        <w:textAlignment w:val="auto"/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合作方式：政府和社会共同投资</w:t>
      </w:r>
    </w:p>
    <w:p w14:paraId="675490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jc w:val="left"/>
        <w:textAlignment w:val="auto"/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项目标签：区级重点</w:t>
      </w:r>
    </w:p>
    <w:p w14:paraId="51C721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jc w:val="left"/>
        <w:textAlignment w:val="auto"/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联系单位：重庆市黔江区城市管理局</w:t>
      </w:r>
    </w:p>
    <w:p w14:paraId="7CF5E2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jc w:val="left"/>
        <w:textAlignment w:val="auto"/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联系人及联系电话：李雪梅023-79226995</w:t>
      </w:r>
    </w:p>
    <w:p w14:paraId="1AC5C6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en-US"/>
        </w:rPr>
        <w:t>项目建设内容：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项目总体以“黔江新高度、活力新坐标”为主题，构建“一轴两区多节点”的空间结构，以东西向景观轴线串联市民广场与马鞍田水体两大功能区，实现上下空间互通、功能业态互连、景观资源互享。</w:t>
      </w:r>
    </w:p>
    <w:p w14:paraId="3BEEBA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楷体_GBK" w:cs="Times New Roman"/>
          <w:sz w:val="32"/>
          <w:szCs w:val="32"/>
          <w:lang w:eastAsia="zh-CN"/>
        </w:rPr>
        <w:t>（一）</w:t>
      </w:r>
      <w:r>
        <w:rPr>
          <w:rFonts w:hint="default" w:ascii="Times New Roman" w:hAnsi="Times New Roman" w:eastAsia="方正楷体_GBK" w:cs="Times New Roman"/>
          <w:sz w:val="32"/>
          <w:szCs w:val="32"/>
          <w:lang w:eastAsia="zh-CN"/>
        </w:rPr>
        <w:t>市民广场区域</w:t>
      </w:r>
      <w:r>
        <w:rPr>
          <w:rFonts w:hint="eastAsia" w:ascii="Times New Roman" w:hAnsi="Times New Roman" w:eastAsia="方正楷体_GBK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该区域主要建设内容包括公共停车场建设</w:t>
      </w:r>
      <w:r>
        <w:rPr>
          <w:rFonts w:hint="eastAsia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和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配套商业设施</w:t>
      </w:r>
      <w:r>
        <w:rPr>
          <w:rFonts w:hint="eastAsia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。</w:t>
      </w:r>
    </w:p>
    <w:p w14:paraId="09B341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公共停车场建设：利用场地约10米自然高差，打造“地面广场+半地下二层”复合空间，其中半地下空间规划约1460个停车位的全自动化机械停车场。采用全自动化机械停车设备，最大可实现4层停车，有效缓解区域停车压力。</w:t>
      </w:r>
    </w:p>
    <w:p w14:paraId="012DB4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配套商业设施：地下空间规划约3957平方米下沉式商业空间，可引入便民消费、特色餐饮等业态，与地面活动形成有机联动。建筑设计采用覆土绿化等绿色手法，优先利用自然采光，降低运维成本，并同步优化行政中心入口及周边景观细节。地面景观序列包括旗台、聚贤草坪、文化雕塑、升云广场、揽星台等，以乔草结合、树阵草坪为主，营造四季有景的多层次景观环境。</w:t>
      </w:r>
    </w:p>
    <w:p w14:paraId="55AD86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bookmarkStart w:id="0" w:name="OLE_LINK7"/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eastAsia="zh-CN"/>
        </w:rPr>
        <w:t>图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1：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eastAsia="zh-CN"/>
        </w:rPr>
        <w:t>市民广场区域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范围图（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约3.21公顷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）</w:t>
      </w:r>
      <w:bookmarkEnd w:id="0"/>
    </w:p>
    <w:p w14:paraId="2A8BFA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124460</wp:posOffset>
            </wp:positionV>
            <wp:extent cx="5975350" cy="2928620"/>
            <wp:effectExtent l="0" t="0" r="6350" b="5080"/>
            <wp:wrapNone/>
            <wp:docPr id="5" name="图片 5" descr="微信图片_20250721105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7211053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F52C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 w14:paraId="66E911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 w14:paraId="4E860F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 w14:paraId="1F8695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 w14:paraId="0E1492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 w14:paraId="4E5BF6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 w14:paraId="2D6C07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 w14:paraId="6A0700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 w14:paraId="5D0F516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eastAsia="zh-CN"/>
        </w:rPr>
        <w:t>马鞍田水体区域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该区域主要建设内容包括以准公益+市场化运营为主的体育场馆</w:t>
      </w:r>
      <w:r>
        <w:rPr>
          <w:rFonts w:hint="eastAsia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和体育公园。</w:t>
      </w:r>
    </w:p>
    <w:p w14:paraId="73E55E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以准公益+市场化运营为主的体育场馆：核心建筑为体育场馆，占地约5710平方米，总建筑面积约11244平方米。地下层以游泳功能为主，地上及室外集中布局篮球、羽毛球、匹克球、气排球、网球及健身房、轻餐饮等多种体育休闲业态。建筑通过螺旋坡道无缝衔接各功能，并高效连接周边道路，体现准公益与市场化结合的运营模式。</w:t>
      </w:r>
    </w:p>
    <w:p w14:paraId="60B9A1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体育公园：围绕水体生态与景观打造，恢复并治理河道，形成连贯水脉。双侧水体采用浅水区设计（控制水深约2.0米），结合现状排洪管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（底部标高496米，管径3.2米，顶部标高499.2米）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优化水体标高，打造“涌泉”“跌水”等自然水景，汛期可快速切换至行洪模式。水体通过建筑地下空间自然连通，引入建筑内部强化景观大气感。填土区域采用分层碾压处理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（碾压厚度6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7米）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，构造层次自上而下依次为土工布、夹铺防渗膜、土工布、防渗膜、土工布，底部铺洁净细石垫层保障水体清澈</w:t>
      </w:r>
      <w:r>
        <w:rPr>
          <w:rFonts w:hint="eastAsia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沿水岸跑道串联望波广场、1200㎡恐龙IP儿童游乐场（龙谷乐园）、水幕看台、照影亭、水韵汇芳等节点，公共艺术融入“恐龙之城”文化元素。下部填土增强巴楚大道与桐坪路交叉口转角水体区域的亲水性，调整底部标高优化体验，并论证水上运动可行性，明确安全亲水措施，保障市民活动安全。</w:t>
      </w:r>
    </w:p>
    <w:p w14:paraId="542359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eastAsia="zh-CN"/>
        </w:rPr>
        <w:t>图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2：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eastAsia="zh-CN"/>
        </w:rPr>
        <w:t>马鞍田水体区域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范围图（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约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8.2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公顷）</w:t>
      </w:r>
    </w:p>
    <w:p w14:paraId="1D6D86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168910</wp:posOffset>
            </wp:positionV>
            <wp:extent cx="5713730" cy="3626485"/>
            <wp:effectExtent l="0" t="0" r="1270" b="12065"/>
            <wp:wrapNone/>
            <wp:docPr id="4" name="图片 4" descr="12e38ffd88815e10ceabdd9f534a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e38ffd88815e10ceabdd9f534a8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77C6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4AE0DA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169713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5E3DFC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00E865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6BB5B2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758BF0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23C8ED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1A353FA2">
      <w:pPr>
        <w:keepNext w:val="0"/>
        <w:keepLines w:val="0"/>
        <w:pageBreakBefore w:val="0"/>
        <w:wordWrap/>
        <w:overflowPunct/>
        <w:topLinePunct w:val="0"/>
        <w:bidi w:val="0"/>
        <w:spacing w:line="594" w:lineRule="exact"/>
        <w:ind w:right="0" w:rightChars="0" w:firstLine="640" w:firstLineChars="200"/>
        <w:jc w:val="left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en-US"/>
        </w:rPr>
      </w:pPr>
    </w:p>
    <w:p w14:paraId="3EE0BBFF">
      <w:pPr>
        <w:keepNext w:val="0"/>
        <w:keepLines w:val="0"/>
        <w:pageBreakBefore w:val="0"/>
        <w:wordWrap/>
        <w:overflowPunct/>
        <w:topLinePunct w:val="0"/>
        <w:bidi w:val="0"/>
        <w:spacing w:line="594" w:lineRule="exact"/>
        <w:ind w:right="0" w:rightChars="0" w:firstLine="640" w:firstLineChars="200"/>
        <w:jc w:val="left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en-US"/>
        </w:rPr>
      </w:pPr>
    </w:p>
    <w:p w14:paraId="160D9D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en-US"/>
        </w:rPr>
        <w:t>建设周期及预期效益：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en-US"/>
        </w:rPr>
        <w:t>项目总投资约</w:t>
      </w:r>
      <w:r>
        <w:rPr>
          <w:rFonts w:hint="eastAsia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val="en-US" w:eastAsia="zh-CN"/>
        </w:rPr>
        <w:t>2.5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val="en-US" w:eastAsia="zh-CN"/>
        </w:rPr>
        <w:t>亿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en-US"/>
        </w:rPr>
        <w:t>元，具体建设周期及收益以各投资方测算结果为准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。</w:t>
      </w:r>
    </w:p>
    <w:p w14:paraId="04C99B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en-US"/>
        </w:rPr>
        <w:t>项目优势</w:t>
      </w: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方正仿宋_GBK" w:cs="Times New Roman"/>
          <w:b/>
          <w:bCs/>
          <w:snapToGrid w:val="0"/>
          <w:color w:val="auto"/>
          <w:kern w:val="0"/>
          <w:sz w:val="32"/>
          <w:szCs w:val="32"/>
          <w:lang w:eastAsia="en-US"/>
        </w:rPr>
        <w:t>一是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项目是黔江区委、区政府重点规划</w:t>
      </w:r>
      <w:bookmarkStart w:id="1" w:name="_GoBack"/>
      <w:bookmarkEnd w:id="1"/>
      <w:r>
        <w:rPr>
          <w:rFonts w:hint="default" w:ascii="Times New Roman" w:hAnsi="Times New Roman" w:eastAsia="方正仿宋_GBK" w:cs="Times New Roman"/>
          <w:sz w:val="32"/>
          <w:szCs w:val="32"/>
        </w:rPr>
        <w:t>建设的提升城市品质、完善公共服务配套的民生工程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紧扣黔江作为渝鄂湘黔边际区域中心城市的定位，旨在打造集行政服务、体育健身、休闲娱乐、生态景观于一体的城市核心公共空间。</w:t>
      </w:r>
      <w:r>
        <w:rPr>
          <w:rFonts w:hint="eastAsia" w:ascii="Times New Roman" w:hAnsi="Times New Roman" w:eastAsia="方正仿宋_GBK" w:cs="Times New Roman"/>
          <w:b/>
          <w:bCs/>
          <w:snapToGrid w:val="0"/>
          <w:color w:val="auto"/>
          <w:kern w:val="0"/>
          <w:sz w:val="32"/>
          <w:szCs w:val="32"/>
          <w:lang w:eastAsia="zh-CN"/>
        </w:rPr>
        <w:t>二是</w:t>
      </w:r>
      <w:r>
        <w:rPr>
          <w:rFonts w:hint="eastAsia" w:ascii="Times New Roman" w:hAnsi="Times New Roman" w:eastAsia="方正仿宋_GBK" w:cs="Times New Roman"/>
          <w:b w:val="0"/>
          <w:bCs w:val="0"/>
          <w:snapToGrid w:val="0"/>
          <w:color w:val="auto"/>
          <w:kern w:val="0"/>
          <w:sz w:val="32"/>
          <w:szCs w:val="32"/>
          <w:lang w:eastAsia="zh-CN"/>
        </w:rPr>
        <w:t>项目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en-US"/>
        </w:rPr>
        <w:t>毗邻黔江行政职能新中心，周边集聚医院、学校等多种公共服务设施，服务范围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涵盖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en-US"/>
        </w:rPr>
        <w:t>新老城区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，辐射带动武陵山片区各区县。</w:t>
      </w:r>
      <w:r>
        <w:rPr>
          <w:rFonts w:hint="eastAsia" w:ascii="Times New Roman" w:hAnsi="Times New Roman" w:eastAsia="方正仿宋_GBK" w:cs="Times New Roman"/>
          <w:b/>
          <w:bCs/>
          <w:snapToGrid w:val="0"/>
          <w:color w:val="auto"/>
          <w:kern w:val="0"/>
          <w:sz w:val="32"/>
          <w:szCs w:val="32"/>
          <w:lang w:eastAsia="zh-CN"/>
        </w:rPr>
        <w:t>三</w:t>
      </w:r>
      <w:r>
        <w:rPr>
          <w:rFonts w:hint="default" w:ascii="Times New Roman" w:hAnsi="Times New Roman" w:eastAsia="方正仿宋_GBK" w:cs="Times New Roman"/>
          <w:b/>
          <w:bCs/>
          <w:snapToGrid w:val="0"/>
          <w:color w:val="auto"/>
          <w:kern w:val="0"/>
          <w:sz w:val="32"/>
          <w:szCs w:val="32"/>
          <w:lang w:eastAsia="en-US"/>
        </w:rPr>
        <w:t>是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en-US"/>
        </w:rPr>
        <w:t>项目周边已建成大量居住区，聚集人口约5.7万人，居民对公园、休闲消费诉求强烈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方正仿宋_GBK" w:cs="Times New Roman"/>
          <w:b/>
          <w:bCs/>
          <w:snapToGrid w:val="0"/>
          <w:color w:val="auto"/>
          <w:kern w:val="0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方正仿宋_GBK" w:cs="Times New Roman"/>
          <w:b/>
          <w:bCs/>
          <w:snapToGrid w:val="0"/>
          <w:color w:val="auto"/>
          <w:kern w:val="0"/>
          <w:sz w:val="32"/>
          <w:szCs w:val="32"/>
          <w:lang w:eastAsia="en-US"/>
        </w:rPr>
        <w:t>是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en-US"/>
        </w:rPr>
        <w:t>项目将建设1个亲近自然的湖，周边预留可经营的公园配套建筑，形成低密度、高品质、高颜值的体验式商业空间，可引入草坪露营、音乐节、游玩、阅读交流、自然研学、城市展演、文艺演出、运动赛事、沉浸体验等多元功能活动，满足本地居民与外地游客的各类需求，形成可玩、可吃一站式的城市</w:t>
      </w:r>
      <w:r>
        <w:rPr>
          <w:rFonts w:hint="eastAsia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广场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方正仿宋_GBK" w:cs="Times New Roman"/>
          <w:b/>
          <w:bCs/>
          <w:snapToGrid w:val="0"/>
          <w:color w:val="auto"/>
          <w:kern w:val="0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方正仿宋_GBK" w:cs="Times New Roman"/>
          <w:b/>
          <w:bCs/>
          <w:snapToGrid w:val="0"/>
          <w:color w:val="auto"/>
          <w:kern w:val="0"/>
          <w:sz w:val="32"/>
          <w:szCs w:val="32"/>
          <w:lang w:eastAsia="en-US"/>
        </w:rPr>
        <w:t>是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en-US"/>
        </w:rPr>
        <w:t>周边道路已基本修建完善，交通便利。</w:t>
      </w:r>
    </w:p>
    <w:p w14:paraId="66764E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en-US"/>
        </w:rPr>
        <w:t>项目进展：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en-US"/>
        </w:rPr>
        <w:t>正在进行招商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。</w:t>
      </w:r>
    </w:p>
    <w:p w14:paraId="08FEB6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方正黑体_GBK" w:cs="Times New Roman"/>
          <w:color w:val="auto"/>
          <w:kern w:val="2"/>
          <w:sz w:val="32"/>
          <w:szCs w:val="32"/>
          <w:lang w:val="en-US" w:eastAsia="en-US" w:bidi="ar-SA"/>
        </w:rPr>
        <w:t>招商要求：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en-US"/>
        </w:rPr>
        <w:t>项目建设内容要符合黔江正阳新城控规用地控制指标，以及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黔江区市民广场</w:t>
      </w:r>
      <w:r>
        <w:rPr>
          <w:rFonts w:hint="eastAsia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停车场及附属设施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项目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en-US"/>
        </w:rPr>
        <w:t>设计方案的要求，资金实力强劲，具有类似项目投资管理</w:t>
      </w:r>
      <w:r>
        <w:rPr>
          <w:rFonts w:hint="eastAsia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经验。</w:t>
      </w:r>
    </w:p>
    <w:p w14:paraId="7154840A">
      <w:pPr>
        <w:keepNext w:val="0"/>
        <w:keepLines w:val="0"/>
        <w:pageBreakBefore w:val="0"/>
        <w:wordWrap/>
        <w:overflowPunct/>
        <w:topLinePunct w:val="0"/>
        <w:bidi w:val="0"/>
        <w:spacing w:line="594" w:lineRule="exact"/>
        <w:ind w:right="0" w:rightChars="0" w:firstLine="640" w:firstLineChars="200"/>
        <w:jc w:val="left"/>
        <w:rPr>
          <w:rFonts w:hint="eastAsia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</w:pPr>
    </w:p>
    <w:p w14:paraId="739F745A">
      <w:pPr>
        <w:keepNext w:val="0"/>
        <w:keepLines w:val="0"/>
        <w:pageBreakBefore w:val="0"/>
        <w:wordWrap/>
        <w:overflowPunct/>
        <w:topLinePunct w:val="0"/>
        <w:bidi w:val="0"/>
        <w:spacing w:line="594" w:lineRule="exact"/>
        <w:ind w:right="0" w:rightChars="0" w:firstLine="640" w:firstLineChars="200"/>
        <w:jc w:val="left"/>
        <w:rPr>
          <w:rFonts w:hint="eastAsia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</w:pPr>
    </w:p>
    <w:p w14:paraId="564DB235">
      <w:pPr>
        <w:keepNext w:val="0"/>
        <w:keepLines w:val="0"/>
        <w:pageBreakBefore w:val="0"/>
        <w:wordWrap/>
        <w:overflowPunct/>
        <w:topLinePunct w:val="0"/>
        <w:bidi w:val="0"/>
        <w:spacing w:line="594" w:lineRule="exact"/>
        <w:ind w:right="0" w:rightChars="0"/>
        <w:jc w:val="left"/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7594AC">
    <w:pPr>
      <w:pStyle w:val="3"/>
      <w:rPr>
        <w:rFonts w:hint="eastAsia" w:eastAsia="宋体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15781DE"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- 25 -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M6pebnPAAAABQEAAA8AAAAAAAAAAQAgAAAAIgAAAGRycy9kb3ducmV2&#10;LnhtbFBLAQIUABQAAAAIAIdO4kAXSZTlzAEAAKcDAAAOAAAAAAAAAAEAIAAAAB4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15781DE"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- 25 -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D620FA"/>
    <w:multiLevelType w:val="singleLevel"/>
    <w:tmpl w:val="5ED620FA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415D26"/>
    <w:rsid w:val="0D1150F2"/>
    <w:rsid w:val="0DF73A45"/>
    <w:rsid w:val="12C0739F"/>
    <w:rsid w:val="149E726C"/>
    <w:rsid w:val="16CB6789"/>
    <w:rsid w:val="18CA5B7E"/>
    <w:rsid w:val="1C5A616E"/>
    <w:rsid w:val="1FC2795F"/>
    <w:rsid w:val="213E63B9"/>
    <w:rsid w:val="21DE7835"/>
    <w:rsid w:val="24B85B6F"/>
    <w:rsid w:val="2593624D"/>
    <w:rsid w:val="281741C1"/>
    <w:rsid w:val="287405B8"/>
    <w:rsid w:val="29D92E39"/>
    <w:rsid w:val="2B083239"/>
    <w:rsid w:val="2C1D596B"/>
    <w:rsid w:val="2C996241"/>
    <w:rsid w:val="2CE90E48"/>
    <w:rsid w:val="300E12F2"/>
    <w:rsid w:val="30D060AE"/>
    <w:rsid w:val="35380BBF"/>
    <w:rsid w:val="3A323E2F"/>
    <w:rsid w:val="3C406CD7"/>
    <w:rsid w:val="3C7E15AD"/>
    <w:rsid w:val="3CB84BBF"/>
    <w:rsid w:val="3D762284"/>
    <w:rsid w:val="3E9A6720"/>
    <w:rsid w:val="3EFC4A0B"/>
    <w:rsid w:val="3F4E4B0B"/>
    <w:rsid w:val="3F7D5B4C"/>
    <w:rsid w:val="3F9B06C8"/>
    <w:rsid w:val="41A73277"/>
    <w:rsid w:val="423B584A"/>
    <w:rsid w:val="42750D5C"/>
    <w:rsid w:val="438C0A54"/>
    <w:rsid w:val="4616768B"/>
    <w:rsid w:val="47820F07"/>
    <w:rsid w:val="47A920C7"/>
    <w:rsid w:val="496B1A2F"/>
    <w:rsid w:val="497D499A"/>
    <w:rsid w:val="4A376CBA"/>
    <w:rsid w:val="4AA85719"/>
    <w:rsid w:val="569D43CC"/>
    <w:rsid w:val="57D04F5B"/>
    <w:rsid w:val="59592D2E"/>
    <w:rsid w:val="5A150993"/>
    <w:rsid w:val="5A8B5169"/>
    <w:rsid w:val="5C415D26"/>
    <w:rsid w:val="629848C7"/>
    <w:rsid w:val="64C907A4"/>
    <w:rsid w:val="6589499B"/>
    <w:rsid w:val="6AC927F3"/>
    <w:rsid w:val="6BF32433"/>
    <w:rsid w:val="6E0F1ED4"/>
    <w:rsid w:val="7314393A"/>
    <w:rsid w:val="73B057E9"/>
    <w:rsid w:val="73FA7195"/>
    <w:rsid w:val="7BCB1412"/>
    <w:rsid w:val="7E995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4621c561-a57f-4194-96db-556d2a65b03c</errorID>
      <errorWord>国市</errorWord>
      <group>L1_Word</group>
      <groupName>字词问题</groupName>
      <ability>L2_Typo</ability>
      <abilityName>字词错误</abilityName>
      <candidateList>
        <item>国家</item>
      </candidateList>
      <explain/>
      <paraID>28A777AB</paraID>
      <start>21</start>
      <end>23</end>
      <status>unmodified</status>
      <modifiedWord/>
      <trackRevisions>false</trackRevisions>
    </reviewItem>
    <reviewItem>
      <errorID>3e3eeb60-d156-4d53-aafd-fb87e20a5af5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 FEDF958</paraID>
      <start>318</start>
      <end>319</end>
      <status>modified</status>
      <modifiedWord>—</modifiedWord>
      <trackRevisions>false</trackRevisions>
    </reviewItem>
    <reviewItem>
      <errorID>7cfec75f-4d78-42ef-8cbc-cfeeea77232d</errorID>
      <errorWord>性结合</errorWord>
      <group>L1_Word</group>
      <groupName>字词问题</groupName>
      <ability>L2_Typo</ability>
      <abilityName>字词错误</abilityName>
      <candidateList>
        <item>相结合</item>
      </candidateList>
      <explain/>
      <paraID>1BE560BB</paraID>
      <start>54</start>
      <end>57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2e9220-6782-45e5-a81f-ecdeef3116c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1564</Words>
  <Characters>1620</Characters>
  <Lines>0</Lines>
  <Paragraphs>0</Paragraphs>
  <TotalTime>6</TotalTime>
  <ScaleCrop>false</ScaleCrop>
  <LinksUpToDate>false</LinksUpToDate>
  <CharactersWithSpaces>1620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2026-01-26T02:12:00Z</dcterms:created>
  <dc:creator>Administrator</dc:creator>
  <cp:lastModifiedBy>Administrator</cp:lastModifiedBy>
  <dcterms:modified xsi:type="dcterms:W3CDTF">2026-02-26T07:01:10Z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eyJoZGlkIjoiNTM5MDUwN2IzZTY2ZjYwZGVlZTMxMWMwMjI2YTU3MzQifQ==</vt:lpwstr>
  </property>
  <property fmtid="{D5CDD505-2E9C-101B-9397-08002B2CF9AE}" pid="4" name="ICV">
    <vt:lpwstr>8A4A524C63BB45719F48542D122359B9_13</vt:lpwstr>
  </property>
</Properties>
</file>