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3E9DE">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重庆市黔江区城东街道办事处社区文化服务中心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3B8844E1">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371F1FE7">
      <w:pPr>
        <w:pStyle w:val="5"/>
        <w:shd w:val="clear" w:color="auto" w:fill="FFFFFF"/>
        <w:ind w:firstLine="420"/>
        <w:rPr>
          <w:rStyle w:val="9"/>
          <w:rFonts w:hint="eastAsia" w:ascii="楷体" w:hAnsi="楷体" w:eastAsia="楷体" w:cs="楷体"/>
          <w:sz w:val="32"/>
          <w:szCs w:val="32"/>
          <w:shd w:val="clear" w:color="auto" w:fill="FFFFFF"/>
        </w:rPr>
      </w:pPr>
      <w:r>
        <w:rPr>
          <w:rStyle w:val="9"/>
          <w:rFonts w:hint="eastAsia" w:ascii="楷体" w:hAnsi="楷体" w:eastAsia="楷体" w:cs="楷体"/>
          <w:sz w:val="32"/>
          <w:szCs w:val="32"/>
          <w:shd w:val="clear" w:color="auto" w:fill="FFFFFF"/>
        </w:rPr>
        <w:t>（一）职能职责</w:t>
      </w:r>
    </w:p>
    <w:p w14:paraId="38A5171B">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东街道文化服务中心主要承担文明城市创建，乡村文化繁育；组织群众文体活动及文体基础设施建设，开展文艺演出活动；非物质文化遗产挖掘、传承、保护，文物保护和发展；农家书屋、文化电台等免费开放管理服务；建立健全公共文化设施网络，推动文化信息资源共享，公共文化资源配送和流动服务；数字文化信息服务，广播电视服务；体育健身；科普宣传教育，科技培训和青少年校外文体活动；区级重点旅游服务、乡村旅游服务工作；旅游规划建设项目申报及代办、协办服务；参与旅游项目建设与管理；旅游资源普查和相关保护工作；旅游资源、旅游政策咨询，旅游宣传营销；旅游便民惠民服务；旅游纠纷调处等工作。</w:t>
      </w:r>
    </w:p>
    <w:p w14:paraId="59838437">
      <w:pPr>
        <w:pStyle w:val="5"/>
        <w:shd w:val="clear" w:color="auto" w:fill="FFFFFF"/>
        <w:ind w:firstLine="643" w:firstLineChars="20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2C1327D5">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6BBEA77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99F9A44">
      <w:pPr>
        <w:pStyle w:val="5"/>
        <w:shd w:val="clear" w:color="auto" w:fill="FFFFFF"/>
        <w:ind w:firstLine="643" w:firstLineChars="200"/>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度收入总计87.82万元，支出总计</w:t>
      </w:r>
      <w:r>
        <w:rPr>
          <w:rFonts w:ascii="方正仿宋_GBK" w:hAnsi="方正仿宋_GBK" w:eastAsia="方正仿宋_GBK" w:cs="方正仿宋_GBK"/>
          <w:sz w:val="32"/>
          <w:szCs w:val="32"/>
        </w:rPr>
        <w:t>87.82</w:t>
      </w:r>
      <w:r>
        <w:rPr>
          <w:rFonts w:ascii="方正仿宋_GBK" w:hAnsi="方正仿宋_GBK" w:eastAsia="方正仿宋_GBK" w:cs="方正仿宋_GBK"/>
          <w:sz w:val="32"/>
          <w:szCs w:val="32"/>
          <w:shd w:val="clear" w:color="auto" w:fill="FFFFFF"/>
        </w:rPr>
        <w:t>万元。收、支与2023年度相比，增加21.90万元，增长33.2%，主要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收支增加。</w:t>
      </w:r>
    </w:p>
    <w:p w14:paraId="1C98DC6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87.82</w:t>
      </w:r>
      <w:r>
        <w:rPr>
          <w:rFonts w:ascii="方正仿宋_GBK" w:hAnsi="方正仿宋_GBK" w:eastAsia="方正仿宋_GBK" w:cs="方正仿宋_GBK"/>
          <w:sz w:val="32"/>
          <w:szCs w:val="32"/>
          <w:shd w:val="clear" w:color="auto" w:fill="FFFFFF"/>
        </w:rPr>
        <w:t>万元，与2023年度相比，增加21.90万元，增长33.2%，主要原因</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87.82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D46DA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87.82</w:t>
      </w:r>
      <w:r>
        <w:rPr>
          <w:rFonts w:ascii="方正仿宋_GBK" w:hAnsi="方正仿宋_GBK" w:eastAsia="方正仿宋_GBK" w:cs="方正仿宋_GBK"/>
          <w:sz w:val="32"/>
          <w:szCs w:val="32"/>
          <w:shd w:val="clear" w:color="auto" w:fill="FFFFFF"/>
        </w:rPr>
        <w:t>万元，与2023年度相比，增加21.90万元，增长33.2%，主要原因是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87.03</w:t>
      </w:r>
      <w:r>
        <w:rPr>
          <w:rFonts w:ascii="方正仿宋_GBK" w:hAnsi="方正仿宋_GBK" w:eastAsia="方正仿宋_GBK" w:cs="方正仿宋_GBK"/>
          <w:sz w:val="32"/>
          <w:szCs w:val="32"/>
          <w:shd w:val="clear" w:color="auto" w:fill="FFFFFF"/>
        </w:rPr>
        <w:t>万元，占99.10%；项目支出</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万元，占0.90%；经营支出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D9BA4C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7FE7E0F2">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0BA4DE2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87.82</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相比，财政拨款收、支总计各增加21.90万元，增长33.2%。主要原因是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收支增加。</w:t>
      </w:r>
    </w:p>
    <w:p w14:paraId="5E2B279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5EEAC2E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87.82</w:t>
      </w:r>
      <w:r>
        <w:rPr>
          <w:rFonts w:ascii="方正仿宋_GBK" w:hAnsi="方正仿宋_GBK" w:eastAsia="方正仿宋_GBK" w:cs="方正仿宋_GBK"/>
          <w:sz w:val="32"/>
          <w:szCs w:val="32"/>
          <w:shd w:val="clear" w:color="auto" w:fill="FFFFFF"/>
        </w:rPr>
        <w:t>万元，与2023年度相比，增加21.90万元，增长33.2%。主要原因是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收入增加。</w:t>
      </w:r>
      <w:r>
        <w:rPr>
          <w:rFonts w:ascii="方正仿宋_GBK" w:hAnsi="方正仿宋_GBK" w:eastAsia="方正仿宋_GBK" w:cs="方正仿宋_GBK"/>
          <w:sz w:val="32"/>
          <w:szCs w:val="32"/>
          <w:shd w:val="clear" w:color="auto" w:fill="FFFFFF"/>
        </w:rPr>
        <w:t>较年初预算数增加9.34万元，增长11.9%。主要原因是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395750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87.82</w:t>
      </w:r>
      <w:r>
        <w:rPr>
          <w:rFonts w:ascii="方正仿宋_GBK" w:hAnsi="方正仿宋_GBK" w:eastAsia="方正仿宋_GBK" w:cs="方正仿宋_GBK"/>
          <w:sz w:val="32"/>
          <w:szCs w:val="32"/>
          <w:shd w:val="clear" w:color="auto" w:fill="FFFFFF"/>
        </w:rPr>
        <w:t>万元，与2023年度相比，增加21.90万元，增长33.2%。主要原因是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较年初预算数增加9.34万元，增长11.9%。主要原因是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060A461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14C1F66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3D2001C">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76.21</w:t>
      </w:r>
      <w:r>
        <w:rPr>
          <w:rFonts w:ascii="方正仿宋_GBK" w:hAnsi="方正仿宋_GBK" w:eastAsia="方正仿宋_GBK" w:cs="方正仿宋_GBK"/>
          <w:sz w:val="32"/>
          <w:szCs w:val="32"/>
          <w:shd w:val="clear" w:color="auto" w:fill="FFFFFF"/>
        </w:rPr>
        <w:t>%，较年</w:t>
      </w:r>
      <w:r>
        <w:rPr>
          <w:rFonts w:ascii="方正仿宋_GBK" w:hAnsi="方正仿宋_GBK" w:eastAsia="方正仿宋_GBK" w:cs="方正仿宋_GBK"/>
          <w:color w:val="auto"/>
          <w:sz w:val="32"/>
          <w:szCs w:val="32"/>
          <w:shd w:val="clear" w:color="auto" w:fill="FFFFFF"/>
        </w:rPr>
        <w:t>初预算数增加4.69万元，增长7.5%，主要原因是</w:t>
      </w:r>
      <w:r>
        <w:rPr>
          <w:rFonts w:hint="eastAsia" w:ascii="方正仿宋_GBK" w:hAnsi="方正仿宋_GBK" w:eastAsia="方正仿宋_GBK" w:cs="方正仿宋_GBK"/>
          <w:color w:val="auto"/>
          <w:sz w:val="32"/>
          <w:szCs w:val="32"/>
          <w:shd w:val="clear" w:color="auto" w:fill="FFFFFF"/>
          <w:lang w:eastAsia="zh-CN"/>
        </w:rPr>
        <w:t>年中财政追加文化免费开放经费。</w:t>
      </w:r>
    </w:p>
    <w:p w14:paraId="1A43DB1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14.56</w:t>
      </w:r>
      <w:r>
        <w:rPr>
          <w:rFonts w:ascii="方正仿宋_GBK" w:hAnsi="方正仿宋_GBK" w:eastAsia="方正仿宋_GBK" w:cs="方正仿宋_GBK"/>
          <w:sz w:val="32"/>
          <w:szCs w:val="32"/>
          <w:shd w:val="clear" w:color="auto" w:fill="FFFFFF"/>
        </w:rPr>
        <w:t>%，较年初预算数增加4.82万元，增长60.5%，主要原因是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追加的事业人员超额绩效工资以及年末基本支出清算追加</w:t>
      </w:r>
      <w:r>
        <w:rPr>
          <w:rFonts w:hint="eastAsia" w:ascii="方正仿宋_GBK" w:hAnsi="方正仿宋_GBK" w:eastAsia="方正仿宋_GBK" w:cs="方正仿宋_GBK"/>
          <w:color w:val="auto"/>
          <w:sz w:val="32"/>
          <w:szCs w:val="32"/>
          <w:shd w:val="clear" w:color="auto" w:fill="FFFFFF"/>
          <w:lang w:eastAsia="zh-CN"/>
        </w:rPr>
        <w:t>。</w:t>
      </w:r>
    </w:p>
    <w:p w14:paraId="1388223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4.69</w:t>
      </w:r>
      <w:r>
        <w:rPr>
          <w:rFonts w:ascii="方正仿宋_GBK" w:hAnsi="方正仿宋_GBK" w:eastAsia="方正仿宋_GBK" w:cs="方正仿宋_GBK"/>
          <w:sz w:val="32"/>
          <w:szCs w:val="32"/>
          <w:shd w:val="clear" w:color="auto" w:fill="FFFFFF"/>
        </w:rPr>
        <w:t>%，较年初预算数减少0.16万元，下降3.7%，主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eastAsia="zh-CN"/>
        </w:rPr>
        <w:t>人员调动。</w:t>
      </w:r>
    </w:p>
    <w:p w14:paraId="4220CC70">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2DF6FAC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1CC85225">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87.03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81.21</w:t>
      </w:r>
      <w:r>
        <w:rPr>
          <w:rFonts w:ascii="方正仿宋_GBK" w:hAnsi="方正仿宋_GBK" w:eastAsia="方正仿宋_GBK" w:cs="方正仿宋_GBK"/>
          <w:sz w:val="32"/>
          <w:szCs w:val="32"/>
          <w:shd w:val="clear" w:color="auto" w:fill="FFFFFF"/>
        </w:rPr>
        <w:t>万元，与2023年度相比，增加25.38万元，增长45.5%，主要原因是</w:t>
      </w:r>
      <w:r>
        <w:rPr>
          <w:rFonts w:hint="eastAsia" w:ascii="方正仿宋_GBK" w:hAnsi="方正仿宋_GBK" w:eastAsia="方正仿宋_GBK" w:cs="方正仿宋_GBK"/>
          <w:color w:val="auto"/>
          <w:sz w:val="32"/>
          <w:szCs w:val="32"/>
          <w:shd w:val="clear" w:color="auto" w:fill="FFFFFF"/>
        </w:rPr>
        <w:t>增人增资和社保、工资标准变动等</w:t>
      </w:r>
      <w:r>
        <w:rPr>
          <w:rFonts w:hint="eastAsia" w:ascii="方正仿宋_GBK" w:hAnsi="方正仿宋_GBK" w:eastAsia="方正仿宋_GBK" w:cs="方正仿宋_GBK"/>
          <w:color w:val="auto"/>
          <w:sz w:val="32"/>
          <w:szCs w:val="32"/>
          <w:shd w:val="clear" w:color="auto" w:fill="FFFFFF"/>
          <w:lang w:eastAsia="zh-CN"/>
        </w:rPr>
        <w:t>导致</w:t>
      </w:r>
      <w:r>
        <w:rPr>
          <w:rFonts w:hint="eastAsia" w:ascii="方正仿宋_GBK" w:hAnsi="方正仿宋_GBK" w:eastAsia="方正仿宋_GBK" w:cs="方正仿宋_GBK"/>
          <w:color w:val="auto"/>
          <w:sz w:val="32"/>
          <w:szCs w:val="32"/>
          <w:shd w:val="clear" w:color="auto" w:fill="FFFFFF"/>
        </w:rPr>
        <w:t>人员类</w:t>
      </w:r>
      <w:r>
        <w:rPr>
          <w:rFonts w:hint="eastAsia" w:ascii="方正仿宋_GBK" w:hAnsi="方正仿宋_GBK" w:eastAsia="方正仿宋_GBK" w:cs="方正仿宋_GBK"/>
          <w:color w:val="auto"/>
          <w:sz w:val="32"/>
          <w:szCs w:val="32"/>
          <w:shd w:val="clear" w:color="auto" w:fill="FFFFFF"/>
          <w:lang w:eastAsia="zh-CN"/>
        </w:rPr>
        <w:t>支出增加。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基本工资、津贴补贴、奖金、年度考核奖、绩效工资、社会保障缴费、公积金缴费等。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5.81</w:t>
      </w:r>
      <w:r>
        <w:rPr>
          <w:rFonts w:ascii="方正仿宋_GBK" w:hAnsi="方正仿宋_GBK" w:eastAsia="方正仿宋_GBK" w:cs="方正仿宋_GBK"/>
          <w:sz w:val="32"/>
          <w:szCs w:val="32"/>
          <w:shd w:val="clear" w:color="auto" w:fill="FFFFFF"/>
        </w:rPr>
        <w:t>万元，与2023年度相比，减少0.95万元，下降14.1%，主要原因是</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3101144A">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007F9DA9">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0B861A3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03A4AF3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万元，与2023年度相比，无增减。本年度培训费支出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万元，与2023年度相比，增加0.50万元，增长100.0%，主要原因是</w:t>
      </w:r>
      <w:r>
        <w:rPr>
          <w:rFonts w:hint="eastAsia" w:ascii="方正仿宋_GBK" w:hAnsi="方正仿宋_GBK" w:eastAsia="方正仿宋_GBK" w:cs="方正仿宋_GBK"/>
          <w:sz w:val="32"/>
          <w:szCs w:val="32"/>
          <w:shd w:val="clear" w:color="auto" w:fill="FFFFFF"/>
        </w:rPr>
        <w:t>组织外出培训较上年增加</w:t>
      </w:r>
      <w:r>
        <w:rPr>
          <w:rFonts w:ascii="方正仿宋_GBK" w:hAnsi="方正仿宋_GBK" w:eastAsia="方正仿宋_GBK" w:cs="方正仿宋_GBK"/>
          <w:sz w:val="32"/>
          <w:szCs w:val="32"/>
          <w:shd w:val="clear" w:color="auto" w:fill="FFFFFF"/>
        </w:rPr>
        <w:t>。</w:t>
      </w:r>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13396A37">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6C6F6C3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5D89C7B4">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shd w:val="clear" w:color="auto" w:fill="FFFFFF"/>
          <w:lang w:val="en-US" w:eastAsia="zh-CN" w:bidi="ar"/>
        </w:rPr>
        <w:t>1</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bidi="ar"/>
        </w:rPr>
        <w:t>0.79</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32"/>
          <w:szCs w:val="32"/>
          <w:shd w:val="clear" w:color="auto" w:fill="FFFFFF"/>
          <w:lang w:eastAsia="zh-CN" w:bidi="ar"/>
        </w:rPr>
        <w:t>。</w:t>
      </w:r>
    </w:p>
    <w:p w14:paraId="12C1759F">
      <w:pPr>
        <w:pStyle w:val="11"/>
        <w:autoSpaceDE w:val="0"/>
        <w:spacing w:before="0" w:beforeAutospacing="0" w:line="600" w:lineRule="exact"/>
        <w:ind w:firstLine="643" w:firstLineChars="20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城东街道办事处2024年度项目支出绩效自评情况表（二级项目）</w:t>
      </w:r>
    </w:p>
    <w:tbl>
      <w:tblPr>
        <w:tblW w:w="9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9"/>
        <w:gridCol w:w="1107"/>
        <w:gridCol w:w="1705"/>
        <w:gridCol w:w="863"/>
        <w:gridCol w:w="701"/>
        <w:gridCol w:w="863"/>
        <w:gridCol w:w="863"/>
        <w:gridCol w:w="1025"/>
        <w:gridCol w:w="863"/>
        <w:gridCol w:w="539"/>
      </w:tblGrid>
      <w:tr w14:paraId="56D8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tcBorders>
              <w:top w:val="single" w:color="000000" w:sz="4" w:space="0"/>
              <w:left w:val="single" w:color="000000" w:sz="4" w:space="0"/>
              <w:bottom w:val="single" w:color="000000" w:sz="4" w:space="0"/>
              <w:right w:val="single" w:color="000000" w:sz="4" w:space="0"/>
            </w:tcBorders>
            <w:shd w:val="clear"/>
            <w:noWrap/>
            <w:vAlign w:val="center"/>
          </w:tcPr>
          <w:p w14:paraId="0DF1C5A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noWrap/>
            <w:vAlign w:val="center"/>
          </w:tcPr>
          <w:p w14:paraId="26C172D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项目名称</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0B26179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指标名称</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3E5D50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指标性质</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57941FA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指标值</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3C4FE9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计量单位</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4E90D9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指标权重</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1F5A7C5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全年完成值</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3D4D7AF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指标得分</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14:paraId="2425946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说明</w:t>
            </w:r>
          </w:p>
        </w:tc>
      </w:tr>
      <w:tr w14:paraId="53DC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1D807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11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17F43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2022年公共图书馆、美术馆、文化馆（站）免费开放补助资金-乡镇街道文化中心免费开放补助</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76F37D3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保障文化馆免费开放数</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29EC4D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678197B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9A5CC1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4DE7A93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5F899A6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336DC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4D6A73C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p>
        </w:tc>
      </w:tr>
      <w:tr w14:paraId="2B20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C7485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78BA9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5A62A474">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文化中心免费开放率</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66610A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bookmarkStart w:id="0" w:name="_GoBack"/>
            <w:bookmarkEnd w:id="0"/>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1FFDDEE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56BD1C2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6117E5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46477B5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541111A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21A07B72">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4496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6C42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D0C1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2DA1096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资金拨付及时率</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48035BD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0B46201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E000F7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2FFFA2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77CE5FB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B02C5A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349581CF">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2B41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AAE76A">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A9A63D">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3DBE1B44">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满足基层群众文化活动</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A132E7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76FF117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13101E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2A27E9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4923A6F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4FD7E8E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4B5D1DA3">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0850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D1357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CBAC78">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30E31273">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持续丰富群众文化知识需求</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5487369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1503642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好</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1375D76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76EE2DE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6C01244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6ED0F40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7B143FA3">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E11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B46ABA">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527343">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14:paraId="06551206">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群众满意度</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660FCB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1AA4173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05626E9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64CA06C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6EA9DF4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863" w:type="dxa"/>
            <w:tcBorders>
              <w:top w:val="single" w:color="000000" w:sz="4" w:space="0"/>
              <w:left w:val="single" w:color="000000" w:sz="4" w:space="0"/>
              <w:bottom w:val="single" w:color="000000" w:sz="4" w:space="0"/>
              <w:right w:val="single" w:color="000000" w:sz="4" w:space="0"/>
            </w:tcBorders>
            <w:shd w:val="clear"/>
            <w:noWrap/>
            <w:vAlign w:val="center"/>
          </w:tcPr>
          <w:p w14:paraId="2FBDB87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14:paraId="56B24A85">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bl>
    <w:p w14:paraId="3802FE1F">
      <w:pPr>
        <w:pStyle w:val="11"/>
        <w:autoSpaceDE w:val="0"/>
        <w:spacing w:before="0" w:beforeAutospacing="0" w:line="600" w:lineRule="exact"/>
        <w:jc w:val="both"/>
        <w:rPr>
          <w:rFonts w:hint="eastAsia" w:ascii="宋体" w:hAnsi="宋体" w:eastAsia="宋体" w:cs="宋体"/>
          <w:b/>
          <w:bCs/>
          <w:i w:val="0"/>
          <w:iCs w:val="0"/>
          <w:color w:val="000000"/>
          <w:kern w:val="0"/>
          <w:sz w:val="32"/>
          <w:szCs w:val="32"/>
          <w:u w:val="none"/>
          <w:lang w:val="en-US" w:eastAsia="zh-CN" w:bidi="ar"/>
        </w:rPr>
      </w:pPr>
    </w:p>
    <w:p w14:paraId="3A0A4DB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85CCC88">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74FBD43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46826C5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D6F03A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1018BC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971B3C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EDF4E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56A3F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020B6E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01BF5E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6135C9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B292E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67D40F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D57EE7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F76B8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1FD8DC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D72D50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E7552D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5606800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935DFA0">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1404E69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6C7EBB41">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0BE3096">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14B6BFD">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350C1E3">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5EA001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1EC63C6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79F5DBE">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D5EF473">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BAD7E2F">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281C63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451D60E3">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EAB97D8">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重庆市黔江区城东街道办事处社区文化服务中心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CDA5F2D">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FFE1D27">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95E7D4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F4954E8">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712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59E3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F00895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463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CBC6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89CFF">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D093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7D7F6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76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A3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7B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A2A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E0960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F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B2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BE7B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ECD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35A2F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8E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14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C2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DD3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DA10E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37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C1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A3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CDD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AE390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70E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E7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0E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162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0D07A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75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CB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5C5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E68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A5A33D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170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D6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1916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130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66.93</w:t>
            </w:r>
            <w:r>
              <w:rPr>
                <w:rFonts w:hint="eastAsia" w:cs="宋体"/>
                <w:b w:val="0"/>
                <w:bCs w:val="0"/>
                <w:color w:val="000000"/>
                <w:sz w:val="21"/>
                <w:szCs w:val="21"/>
                <w:lang w:val="en-US" w:eastAsia="zh-CN" w:bidi="ar"/>
              </w:rPr>
              <w:t xml:space="preserve"> </w:t>
            </w:r>
          </w:p>
        </w:tc>
      </w:tr>
      <w:tr w14:paraId="6F6DB5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1F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6A374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43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D2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12.79</w:t>
            </w:r>
            <w:r>
              <w:rPr>
                <w:rFonts w:hint="eastAsia" w:cs="宋体"/>
                <w:b w:val="0"/>
                <w:bCs w:val="0"/>
                <w:color w:val="000000"/>
                <w:sz w:val="21"/>
                <w:szCs w:val="21"/>
                <w:lang w:val="en-US" w:eastAsia="zh-CN" w:bidi="ar"/>
              </w:rPr>
              <w:t xml:space="preserve"> </w:t>
            </w:r>
          </w:p>
        </w:tc>
      </w:tr>
      <w:tr w14:paraId="527F050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A929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924B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39C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98E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4.12</w:t>
            </w:r>
            <w:r>
              <w:rPr>
                <w:rFonts w:hint="eastAsia" w:cs="宋体"/>
                <w:b w:val="0"/>
                <w:bCs w:val="0"/>
                <w:color w:val="000000"/>
                <w:sz w:val="21"/>
                <w:szCs w:val="21"/>
                <w:lang w:val="en-US" w:eastAsia="zh-CN" w:bidi="ar"/>
              </w:rPr>
              <w:t xml:space="preserve"> </w:t>
            </w:r>
          </w:p>
        </w:tc>
      </w:tr>
      <w:tr w14:paraId="36CD5D6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F022D">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8FC9F">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1BA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DDB5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6CC2E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AE68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37267">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ED7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F0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8F04B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0041F">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2102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807E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86A7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6776D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FF77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D34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BE3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9599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3E132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C0D9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173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B19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9E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344B3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4B19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8A7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3FE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26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9CE5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E438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1CE9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3D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9E1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01A4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8DFC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2E7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624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72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C54D8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68FE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B7CE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49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2E7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07199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B902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0804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166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5104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3.99</w:t>
            </w:r>
            <w:r>
              <w:rPr>
                <w:rFonts w:hint="eastAsia" w:cs="宋体"/>
                <w:b w:val="0"/>
                <w:bCs w:val="0"/>
                <w:color w:val="000000"/>
                <w:sz w:val="21"/>
                <w:szCs w:val="21"/>
                <w:lang w:val="en-US" w:eastAsia="zh-CN" w:bidi="ar"/>
              </w:rPr>
              <w:t xml:space="preserve"> </w:t>
            </w:r>
          </w:p>
        </w:tc>
      </w:tr>
      <w:tr w14:paraId="2E2611D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6F83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EC9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D5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CE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F29AB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14AA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6BD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D5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79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ACE89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06FE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EF7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C7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D6C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5B76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5328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A8E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BC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1F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A05D2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48D9C">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6C8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2D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8F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747F6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F3C6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990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E2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F48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D20CD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3715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DFFF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FA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CFC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F473D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08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ED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E75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D62F">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r>
      <w:tr w14:paraId="5DA3F2C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71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88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E9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85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39C77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90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DD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F81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01C1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C58394">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369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04B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169B3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E86A2">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r>
    </w:tbl>
    <w:p w14:paraId="6446696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4B076A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90DF7E9">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5C9E5A85">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156E7F3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5D690CBF">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D2E2B32">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重庆市黔江区城东街道办事处社区文化服务中心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F5095B8">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8A32AB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346B8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5F28B5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1FA88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EF59FD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0A1B580">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13D7E5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30966931">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EFC1E65">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EA4A67D">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5324E0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A3C53E0">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D0A676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ED179D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8763BE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BC433CF">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58DF4E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96CA940">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C22BA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2B9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0E7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EBB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45DD6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77F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498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A5A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2D298657">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BE3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2052A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26BDD">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ECC8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7D956">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40F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7BC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6A58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C72B5">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FDF29">
            <w:pPr>
              <w:jc w:val="center"/>
              <w:rPr>
                <w:rFonts w:hint="eastAsia" w:ascii="宋体" w:hAnsi="宋体" w:eastAsia="宋体" w:cs="宋体"/>
                <w:b/>
                <w:i w:val="0"/>
                <w:color w:val="000000"/>
                <w:sz w:val="22"/>
                <w:szCs w:val="22"/>
                <w:u w:val="none"/>
              </w:rPr>
            </w:pPr>
          </w:p>
        </w:tc>
      </w:tr>
      <w:tr w14:paraId="0F48A6B6">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F63E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4F4868">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211D8">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3F46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137A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E9FF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60B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4322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C08A3">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BAAA9">
            <w:pPr>
              <w:jc w:val="center"/>
              <w:rPr>
                <w:rFonts w:hint="eastAsia" w:ascii="宋体" w:hAnsi="宋体" w:eastAsia="宋体" w:cs="宋体"/>
                <w:b/>
                <w:i w:val="0"/>
                <w:color w:val="000000"/>
                <w:sz w:val="22"/>
                <w:szCs w:val="22"/>
                <w:u w:val="none"/>
              </w:rPr>
            </w:pPr>
          </w:p>
        </w:tc>
      </w:tr>
      <w:tr w14:paraId="648CDF17">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495A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372EC1">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E85CD">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7BFB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28FC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E8E0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9652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889B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ADE2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63037">
            <w:pPr>
              <w:jc w:val="center"/>
              <w:rPr>
                <w:rFonts w:hint="eastAsia" w:ascii="宋体" w:hAnsi="宋体" w:eastAsia="宋体" w:cs="宋体"/>
                <w:b/>
                <w:i w:val="0"/>
                <w:color w:val="000000"/>
                <w:sz w:val="22"/>
                <w:szCs w:val="22"/>
                <w:u w:val="none"/>
              </w:rPr>
            </w:pPr>
          </w:p>
        </w:tc>
      </w:tr>
      <w:tr w14:paraId="40B9FA9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AFD2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C60113">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A238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0273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9F77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193A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9236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79A1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1636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88298">
            <w:pPr>
              <w:jc w:val="center"/>
              <w:rPr>
                <w:rFonts w:hint="eastAsia" w:ascii="宋体" w:hAnsi="宋体" w:eastAsia="宋体" w:cs="宋体"/>
                <w:b/>
                <w:i w:val="0"/>
                <w:color w:val="000000"/>
                <w:sz w:val="22"/>
                <w:szCs w:val="22"/>
                <w:u w:val="none"/>
              </w:rPr>
            </w:pPr>
          </w:p>
        </w:tc>
      </w:tr>
      <w:tr w14:paraId="1A3D4A25">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466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7D3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87.82</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95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87.82</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CBD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BC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74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CD8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F1D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C2BB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E5091F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00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3C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C9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C4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5A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D3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61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80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87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D8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7E92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6E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248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56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5F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30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3D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BA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3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74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D1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32595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E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8CA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2F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66.14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1D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66.14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59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E6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14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96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DE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0A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0D60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47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91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89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5E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D9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99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93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52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2F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BB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35CCE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F03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928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99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D8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1D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E3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83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CA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C1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B8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79041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F3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4B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AD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9C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A8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9B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C7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84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BC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B7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F27FC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7F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0E6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91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DD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A6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76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82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E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05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C0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C001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475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97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84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D4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C7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1F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1B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39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71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D3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91811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EE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6F3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73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B5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97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85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E2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41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D7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B4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3F57A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DE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B7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CC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0A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C5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62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0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DA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AE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EF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EA1C6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13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4E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D3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09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FC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6E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07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25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AE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17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CF5D0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7A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FDE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51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B8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B5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19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FD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6C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84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DD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0676F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8D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21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FE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75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2C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F0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2E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15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C2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B5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66F8A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D6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EF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32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73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9A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79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28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4D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0A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08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0CA2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A6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0432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FE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0B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42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68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6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BA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A6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AD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9AF4017">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2E41174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D79A4A7">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4603BBD">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A73E34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476B49E9">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293B8B94">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重庆市黔江区城东街道办事处社区文化服务中心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4DC48B9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2F0033D">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AE339F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9914BD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0A1D447">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9BA763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575D984F">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F6B0A6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3F39DE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DFCBFD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29CEC2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4B569C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A2C308A">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DA9D11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98AB6A3">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A0E64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170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78A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51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EB5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188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D48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16E087C3">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2D2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00AE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02C3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3621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23A0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3ACD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C90E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34627">
            <w:pPr>
              <w:jc w:val="center"/>
              <w:rPr>
                <w:rFonts w:hint="eastAsia" w:ascii="宋体" w:hAnsi="宋体" w:eastAsia="宋体" w:cs="宋体"/>
                <w:b/>
                <w:i w:val="0"/>
                <w:color w:val="000000"/>
                <w:sz w:val="22"/>
                <w:szCs w:val="22"/>
                <w:u w:val="none"/>
              </w:rPr>
            </w:pPr>
          </w:p>
        </w:tc>
      </w:tr>
      <w:tr w14:paraId="54E9D07A">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2052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DD97C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7087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A536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76B4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2AD2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B5CE0">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BA99F">
            <w:pPr>
              <w:jc w:val="center"/>
              <w:rPr>
                <w:rFonts w:hint="eastAsia" w:ascii="宋体" w:hAnsi="宋体" w:eastAsia="宋体" w:cs="宋体"/>
                <w:b/>
                <w:i w:val="0"/>
                <w:color w:val="000000"/>
                <w:sz w:val="22"/>
                <w:szCs w:val="22"/>
                <w:u w:val="none"/>
              </w:rPr>
            </w:pPr>
          </w:p>
        </w:tc>
      </w:tr>
      <w:tr w14:paraId="5893A6A4">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B05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18469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12EB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0996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19DC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87F8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EA321">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DD823">
            <w:pPr>
              <w:jc w:val="center"/>
              <w:rPr>
                <w:rFonts w:hint="eastAsia" w:ascii="宋体" w:hAnsi="宋体" w:eastAsia="宋体" w:cs="宋体"/>
                <w:b/>
                <w:i w:val="0"/>
                <w:color w:val="000000"/>
                <w:sz w:val="22"/>
                <w:szCs w:val="22"/>
                <w:u w:val="none"/>
              </w:rPr>
            </w:pPr>
          </w:p>
        </w:tc>
      </w:tr>
      <w:tr w14:paraId="561A1A76">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6D18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A4368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74A2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D9A6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3267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0ECE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6E9AB">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E7554">
            <w:pPr>
              <w:jc w:val="center"/>
              <w:rPr>
                <w:rFonts w:hint="eastAsia" w:ascii="宋体" w:hAnsi="宋体" w:eastAsia="宋体" w:cs="宋体"/>
                <w:b/>
                <w:i w:val="0"/>
                <w:color w:val="000000"/>
                <w:sz w:val="22"/>
                <w:szCs w:val="22"/>
                <w:u w:val="none"/>
              </w:rPr>
            </w:pPr>
          </w:p>
        </w:tc>
      </w:tr>
      <w:tr w14:paraId="1138471E">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DC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5C7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87.82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E7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87.03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E8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0.79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E0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1A2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A68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009C81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52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01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4A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F6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66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07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70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6C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ADEC3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09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6F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37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3B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D3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C5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1D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6D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4F476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58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F1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CC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5CD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78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26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AB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02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0477E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67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C85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64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11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0E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EF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82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AD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5FE1D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3D0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0F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38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82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38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CD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AE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0B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A06D8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5FB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52C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CA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F6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2E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BC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DD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1D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84C53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BD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69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65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F1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43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78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3A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07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7B538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C6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C5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A2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5D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51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29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5B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81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58F22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5D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A4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35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A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BA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A3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6A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7F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53433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55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4F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7C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57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81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39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9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B8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45815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05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34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23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71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3.16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57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5C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9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FB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DC091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86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6FC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02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FC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CA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A9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F9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16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54B9A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E9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F6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44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F1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AC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5D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09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C3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49ABD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19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C96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54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63D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48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21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35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E2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76E3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A20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B4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D9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C1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30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59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E9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01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E19ED9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BFF7A97">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442717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33C82B3E">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6172B57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0F29F11B">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B971861">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649C6C93">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308ED86">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2E6397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4C45FC1">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A55C97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3725DB0A">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0AF002BB">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973C02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01495D">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AAEBCE0">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94A5866">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5A650E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FA8FD7D">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89B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89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1071BBDD">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7F2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074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3BAA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875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27C0645">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4EC2E">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5CDDF">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131A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CA9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2A1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596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F45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462FB4C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D7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00F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6E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12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C8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9D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AC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CE86B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2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C7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9F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F3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71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E1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DE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0F596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42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87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5E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08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CB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93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91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822DC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BBC5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F745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05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08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28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AB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91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79C1E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A394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0226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8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73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9B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C8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52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12D33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B7F3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3631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5C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BD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A2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0C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44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AF165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6503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6FEA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6FB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8D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73F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59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10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34F77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F2FF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40D4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01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052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6E4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13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88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72543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D18F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2CC5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3D6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9B1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692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30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48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36C12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9F6E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42F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B53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55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1F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D0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EF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E6F6F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4172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8D5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EA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E0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DC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EB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A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11463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4AC5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492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B6F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0D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F0A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12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DB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6167D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EFF0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095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E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44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26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47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E5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112DD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0DB2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56C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47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E0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60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24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F8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65644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E65B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619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0A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4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34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E7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6F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41302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E6C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0AF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81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21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9D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C9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43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E3E00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B678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C17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DF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0D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84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49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EB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FFAC0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69FB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8F9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5E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8C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51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AC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E9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B4412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5BBD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149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82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662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665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1F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B6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67023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2AB6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F43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CB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B3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58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9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7B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E7420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FD0C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839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9D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6B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85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E5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51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D07CB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99C2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FAB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AD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0D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63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EE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A1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C6CB7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CBE4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664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0C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81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A3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C9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6D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F7FF0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F9C791">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F790">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0D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23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9F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EE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93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0925E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6F687C">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156F">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F3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38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C2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4D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CC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6CE97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E45C81">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4F2B">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0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78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A3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81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F5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3F6FA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4B3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28B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4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A8B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70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34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C4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A287D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E0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6D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56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D5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A5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9C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15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C22C2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87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EB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E14847">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8BC5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313E3">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E257C2">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FF988">
            <w:pPr>
              <w:rPr>
                <w:rFonts w:hint="default" w:ascii="Arial" w:hAnsi="Arial" w:eastAsia="宋体" w:cs="Arial"/>
                <w:i w:val="0"/>
                <w:color w:val="000000"/>
                <w:sz w:val="20"/>
                <w:szCs w:val="20"/>
                <w:u w:val="none"/>
              </w:rPr>
            </w:pPr>
          </w:p>
        </w:tc>
      </w:tr>
      <w:tr w14:paraId="25B645B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E6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34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7DD5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B17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7B0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C45D">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B354">
            <w:pPr>
              <w:jc w:val="right"/>
              <w:rPr>
                <w:rFonts w:hint="eastAsia" w:ascii="宋体" w:hAnsi="宋体" w:eastAsia="宋体" w:cs="宋体"/>
                <w:i w:val="0"/>
                <w:color w:val="000000"/>
                <w:sz w:val="22"/>
                <w:szCs w:val="22"/>
                <w:u w:val="none"/>
              </w:rPr>
            </w:pPr>
          </w:p>
        </w:tc>
      </w:tr>
      <w:tr w14:paraId="53D06D6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60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70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8DA3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AFB7">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2534">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B7D7">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ED6A">
            <w:pPr>
              <w:jc w:val="right"/>
              <w:rPr>
                <w:rFonts w:hint="eastAsia" w:ascii="宋体" w:hAnsi="宋体" w:eastAsia="宋体" w:cs="宋体"/>
                <w:i w:val="0"/>
                <w:color w:val="000000"/>
                <w:sz w:val="22"/>
                <w:szCs w:val="22"/>
                <w:u w:val="none"/>
              </w:rPr>
            </w:pPr>
          </w:p>
        </w:tc>
      </w:tr>
      <w:tr w14:paraId="0C85289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F44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67B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016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FF87">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E8C4">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87.82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8B19">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1C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6896A3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7E4E17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78FC8111">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7172F4C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748FDE43">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1659C093">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60561B5">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3121F63">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4857E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3C3ED74F">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1CC956F2">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3EF882C">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134A631">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8892C9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BB0D217">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772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5A21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47B89A0">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637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80E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7E0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F99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05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19AFCEC">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8353E">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E31F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B729A">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31B3A">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D23AD">
            <w:pPr>
              <w:jc w:val="center"/>
              <w:rPr>
                <w:rFonts w:hint="eastAsia" w:ascii="宋体" w:hAnsi="宋体" w:eastAsia="宋体" w:cs="宋体"/>
                <w:b/>
                <w:i w:val="0"/>
                <w:color w:val="000000"/>
                <w:sz w:val="22"/>
                <w:szCs w:val="22"/>
                <w:u w:val="none"/>
              </w:rPr>
            </w:pPr>
          </w:p>
        </w:tc>
      </w:tr>
      <w:tr w14:paraId="6217E3E4">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924C9">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305DD9">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A654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AD79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52C8B">
            <w:pPr>
              <w:jc w:val="center"/>
              <w:rPr>
                <w:rFonts w:hint="eastAsia" w:ascii="宋体" w:hAnsi="宋体" w:eastAsia="宋体" w:cs="宋体"/>
                <w:b/>
                <w:i w:val="0"/>
                <w:color w:val="000000"/>
                <w:sz w:val="22"/>
                <w:szCs w:val="22"/>
                <w:u w:val="none"/>
              </w:rPr>
            </w:pPr>
          </w:p>
        </w:tc>
      </w:tr>
      <w:tr w14:paraId="140D2C14">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7CF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DD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87.82</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2A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87.03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512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0.79</w:t>
            </w:r>
            <w:r>
              <w:rPr>
                <w:rFonts w:hint="eastAsia" w:cs="宋体"/>
                <w:b/>
                <w:bCs/>
                <w:color w:val="000000"/>
                <w:sz w:val="21"/>
                <w:szCs w:val="21"/>
                <w:lang w:val="en-US" w:eastAsia="zh-CN" w:bidi="ar"/>
              </w:rPr>
              <w:t xml:space="preserve"> </w:t>
            </w:r>
          </w:p>
        </w:tc>
      </w:tr>
      <w:tr w14:paraId="13862AD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2E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80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F882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6963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B7D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0.79</w:t>
            </w:r>
            <w:r>
              <w:rPr>
                <w:rFonts w:hint="eastAsia" w:cs="宋体"/>
                <w:b/>
                <w:bCs w:val="0"/>
                <w:color w:val="000000"/>
                <w:sz w:val="21"/>
                <w:szCs w:val="21"/>
                <w:lang w:val="en-US" w:eastAsia="zh-CN" w:bidi="ar"/>
              </w:rPr>
              <w:t xml:space="preserve"> </w:t>
            </w:r>
          </w:p>
        </w:tc>
      </w:tr>
      <w:tr w14:paraId="5C9DD6F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C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1A0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5B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F0F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99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0.79</w:t>
            </w:r>
            <w:r>
              <w:rPr>
                <w:rFonts w:hint="eastAsia" w:cs="宋体"/>
                <w:b/>
                <w:bCs w:val="0"/>
                <w:color w:val="000000"/>
                <w:sz w:val="21"/>
                <w:szCs w:val="21"/>
                <w:lang w:val="en-US" w:eastAsia="zh-CN" w:bidi="ar"/>
              </w:rPr>
              <w:t xml:space="preserve"> </w:t>
            </w:r>
          </w:p>
        </w:tc>
      </w:tr>
      <w:tr w14:paraId="4B8BC4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78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CE5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31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66.14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58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66.14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DE7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4E0FC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A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557A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75E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EEC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E18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0.79</w:t>
            </w:r>
            <w:r>
              <w:rPr>
                <w:rFonts w:hint="eastAsia" w:cs="宋体"/>
                <w:b w:val="0"/>
                <w:bCs w:val="0"/>
                <w:color w:val="000000"/>
                <w:sz w:val="21"/>
                <w:szCs w:val="21"/>
                <w:lang w:val="en-US" w:eastAsia="zh-CN" w:bidi="ar"/>
              </w:rPr>
              <w:t xml:space="preserve"> </w:t>
            </w:r>
          </w:p>
        </w:tc>
      </w:tr>
      <w:tr w14:paraId="22FDFFE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64A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77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9CB8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397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B8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D09E0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B0F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0A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7B64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7A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15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D61CF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5C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90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2C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642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C32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A29A2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45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EE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7D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D52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84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0C1C7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C59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A7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E76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97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1ED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D12C2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50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88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AF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33F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F1C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C295F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2D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A3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6A1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BC3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3.16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C27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8E78E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16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D8F4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4F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8B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387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B2244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7E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26C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442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05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71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A58CDC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DA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4E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E3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F5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8F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EDDF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14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155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BC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3A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26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2E18BED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4973EB3">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8CF39CF">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A8823F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2C6299CC">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70A0FF4">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448ACFF0">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633CDEE">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AF5EB6A">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D238B27">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73174A0">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F400751">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0A9971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310F8330">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545CEE9F">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3BAED4B3">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FF1833F">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565A6EB">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707631B">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CA49D9B">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0BC9436B">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A98A59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964AA82">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7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111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2614FF02">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AD6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B8D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3FB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8EA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3F3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24F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346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99D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943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782B167E">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6C600">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CF2D4">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A6C96">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600CF">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AAB37">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3B5D0">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80538">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9FE0E">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E62FC">
            <w:pPr>
              <w:jc w:val="center"/>
              <w:rPr>
                <w:rFonts w:hint="eastAsia" w:ascii="宋体" w:hAnsi="宋体" w:eastAsia="宋体" w:cs="宋体"/>
                <w:b/>
                <w:i w:val="0"/>
                <w:color w:val="000000"/>
                <w:sz w:val="22"/>
                <w:szCs w:val="22"/>
                <w:u w:val="none"/>
              </w:rPr>
            </w:pPr>
          </w:p>
        </w:tc>
      </w:tr>
      <w:tr w14:paraId="5185E95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89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1F1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5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81.21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1D6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D2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687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3A7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F6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20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8607F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3F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94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477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21.47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68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E1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85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8E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1C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33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A6C43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D42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F1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240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CD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CB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BD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6D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E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8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5A26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FA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17F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41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68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20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C7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C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8C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8C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A326E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5F3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C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06D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E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3F9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A6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9B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23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3B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B42DD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0F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4C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99E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33.42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E3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7C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C1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FE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A82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A9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DA813B">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E4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A0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C89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8.27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53E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45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35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7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17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9E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A807F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8CF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F4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A26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C5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EC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BE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60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9B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54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2EEC01">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96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25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2D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E5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08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B6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7B0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B3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C1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49E39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F0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4B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B6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A1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3D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B8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BD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53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4E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B8B73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451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CC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B7C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7F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6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96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4D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CD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67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CA545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26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8A2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99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B7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78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9E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9A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4A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D7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A9BB2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847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60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75D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7DD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4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6B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4D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A3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E1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5C876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8C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269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5F4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26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FD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B8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3D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7B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50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C639B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42A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5F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F6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3A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13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81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C7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B8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98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010F3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CF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F0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0D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25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48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218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494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EF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62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6CB96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E2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1F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E8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5A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4BD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48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C0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F3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9D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7B610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3D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1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7A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28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89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2A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B1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D3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EC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47C83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85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E07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98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83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2D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C1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0F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AB7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DF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EBAA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F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E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C8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DC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86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FF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0F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80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0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044B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17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FA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FB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13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C5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F55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72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694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11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59951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0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6C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35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05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53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98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40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F3E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0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C71B0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3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4C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8B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2C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0B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F36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94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B41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D7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6BB82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DE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CB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49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56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AE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EB2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E8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5B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23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89C6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CF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2A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A8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6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FF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0A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65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3C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04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B8A9B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EB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746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59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E8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06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2A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9D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72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E7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C3EB2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42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35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BD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52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08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61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FD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CEB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3D7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45EA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D216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6BB1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A683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61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EE5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8B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0D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4F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474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995B7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EF2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9595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22B1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76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18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90F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03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0E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1D5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9978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BF05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E883F">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B920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6A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F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60D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20C6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1D51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1435">
            <w:pPr>
              <w:jc w:val="right"/>
              <w:rPr>
                <w:rFonts w:hint="eastAsia" w:ascii="宋体" w:hAnsi="宋体" w:eastAsia="宋体" w:cs="宋体"/>
                <w:i w:val="0"/>
                <w:color w:val="000000"/>
                <w:sz w:val="22"/>
                <w:szCs w:val="22"/>
                <w:u w:val="none"/>
              </w:rPr>
            </w:pPr>
          </w:p>
        </w:tc>
      </w:tr>
      <w:tr w14:paraId="6E99777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E4E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13A3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C0557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EA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F6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76C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5F3B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1B69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043E">
            <w:pPr>
              <w:jc w:val="right"/>
              <w:rPr>
                <w:rFonts w:hint="eastAsia" w:ascii="宋体" w:hAnsi="宋体" w:eastAsia="宋体" w:cs="宋体"/>
                <w:i w:val="0"/>
                <w:color w:val="000000"/>
                <w:sz w:val="22"/>
                <w:szCs w:val="22"/>
                <w:u w:val="none"/>
              </w:rPr>
            </w:pPr>
          </w:p>
        </w:tc>
      </w:tr>
      <w:tr w14:paraId="6581353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F0FD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B19E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7AB9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5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FCB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1ED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B625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0BF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721E">
            <w:pPr>
              <w:jc w:val="right"/>
              <w:rPr>
                <w:rFonts w:hint="eastAsia" w:ascii="宋体" w:hAnsi="宋体" w:eastAsia="宋体" w:cs="宋体"/>
                <w:i w:val="0"/>
                <w:color w:val="000000"/>
                <w:sz w:val="22"/>
                <w:szCs w:val="22"/>
                <w:u w:val="none"/>
              </w:rPr>
            </w:pPr>
          </w:p>
        </w:tc>
      </w:tr>
      <w:tr w14:paraId="568F507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4206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0DB4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DA1F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3B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A48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8A5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DE0E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982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406A">
            <w:pPr>
              <w:jc w:val="right"/>
              <w:rPr>
                <w:rFonts w:hint="eastAsia" w:ascii="宋体" w:hAnsi="宋体" w:eastAsia="宋体" w:cs="宋体"/>
                <w:i w:val="0"/>
                <w:color w:val="000000"/>
                <w:sz w:val="22"/>
                <w:szCs w:val="22"/>
                <w:u w:val="none"/>
              </w:rPr>
            </w:pPr>
          </w:p>
        </w:tc>
      </w:tr>
      <w:tr w14:paraId="5982ABEE">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A77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48458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81.21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A855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D75B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5.81</w:t>
            </w:r>
            <w:r>
              <w:rPr>
                <w:rFonts w:hint="eastAsia" w:cs="宋体"/>
                <w:color w:val="000000"/>
                <w:sz w:val="21"/>
                <w:szCs w:val="21"/>
                <w:lang w:val="en-US" w:eastAsia="zh-CN" w:bidi="ar"/>
              </w:rPr>
              <w:t xml:space="preserve"> </w:t>
            </w:r>
          </w:p>
        </w:tc>
      </w:tr>
    </w:tbl>
    <w:p w14:paraId="7B1A990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3BAF22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502BED6">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40BE002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3EE4ACE">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5F163967">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FC20759">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3468180">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02579D6">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A8B03E2">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527C607">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717A2E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274A8E32">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2D98604">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3742F67">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DC67FE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1532D2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DDDD5BF">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3E44C42">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E4767F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ED65DB4">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C90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C12C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870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AAEC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562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9456064">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006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61C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1DD09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2F009">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71F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C39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BBA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0F272">
            <w:pPr>
              <w:jc w:val="center"/>
              <w:rPr>
                <w:rFonts w:hint="eastAsia" w:ascii="宋体" w:hAnsi="宋体" w:eastAsia="宋体" w:cs="宋体"/>
                <w:b/>
                <w:i w:val="0"/>
                <w:color w:val="000000"/>
                <w:sz w:val="22"/>
                <w:szCs w:val="22"/>
                <w:u w:val="none"/>
              </w:rPr>
            </w:pPr>
          </w:p>
        </w:tc>
      </w:tr>
      <w:tr w14:paraId="5093F0B9">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CFFE2">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870F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6DF7C1">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66E7D">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7EAA8">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9D602">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2F558">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93EB0">
            <w:pPr>
              <w:jc w:val="center"/>
              <w:rPr>
                <w:rFonts w:hint="eastAsia" w:ascii="宋体" w:hAnsi="宋体" w:eastAsia="宋体" w:cs="宋体"/>
                <w:b/>
                <w:i w:val="0"/>
                <w:color w:val="000000"/>
                <w:sz w:val="22"/>
                <w:szCs w:val="22"/>
                <w:u w:val="none"/>
              </w:rPr>
            </w:pPr>
          </w:p>
        </w:tc>
      </w:tr>
      <w:tr w14:paraId="5A16884B">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E4005">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B3E48">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1E1678">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6112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F5FC5">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1C930">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7E124">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8BB0E">
            <w:pPr>
              <w:jc w:val="center"/>
              <w:rPr>
                <w:rFonts w:hint="eastAsia" w:ascii="宋体" w:hAnsi="宋体" w:eastAsia="宋体" w:cs="宋体"/>
                <w:b/>
                <w:i w:val="0"/>
                <w:color w:val="000000"/>
                <w:sz w:val="22"/>
                <w:szCs w:val="22"/>
                <w:u w:val="none"/>
              </w:rPr>
            </w:pPr>
          </w:p>
        </w:tc>
      </w:tr>
      <w:tr w14:paraId="3BD5FC92">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4A1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A6A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78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58A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EED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166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F53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5BFF2EE">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E4A7">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996A">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9CA4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EB2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CF20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D74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66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CAF4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168ECB8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A61C8F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D7C0EB8">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32530E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3E76D866">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EAB09C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85AC95A">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59685DB">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19F0279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A96F798">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6B40078E">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74F7909C">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410E82BB">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369421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35DAA7C">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878AC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4FEF2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5172676">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D2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F9C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817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F2B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C2F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339B176">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C6EA8">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3D4D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2EDA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1D800">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C33B1">
            <w:pPr>
              <w:jc w:val="center"/>
              <w:rPr>
                <w:rFonts w:hint="eastAsia" w:ascii="宋体" w:hAnsi="宋体" w:eastAsia="宋体" w:cs="宋体"/>
                <w:b/>
                <w:i w:val="0"/>
                <w:color w:val="000000"/>
                <w:sz w:val="22"/>
                <w:szCs w:val="22"/>
                <w:u w:val="none"/>
              </w:rPr>
            </w:pPr>
          </w:p>
        </w:tc>
      </w:tr>
      <w:tr w14:paraId="50EF0F11">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41B9">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A03A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1654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1DC22">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0FCF8">
            <w:pPr>
              <w:jc w:val="center"/>
              <w:rPr>
                <w:rFonts w:hint="eastAsia" w:ascii="宋体" w:hAnsi="宋体" w:eastAsia="宋体" w:cs="宋体"/>
                <w:b/>
                <w:i w:val="0"/>
                <w:color w:val="000000"/>
                <w:sz w:val="22"/>
                <w:szCs w:val="22"/>
                <w:u w:val="none"/>
              </w:rPr>
            </w:pPr>
          </w:p>
        </w:tc>
      </w:tr>
      <w:tr w14:paraId="1351B9FB">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0702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CA59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D8FA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B442F">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40437">
            <w:pPr>
              <w:jc w:val="center"/>
              <w:rPr>
                <w:rFonts w:hint="eastAsia" w:ascii="宋体" w:hAnsi="宋体" w:eastAsia="宋体" w:cs="宋体"/>
                <w:b/>
                <w:i w:val="0"/>
                <w:color w:val="000000"/>
                <w:sz w:val="22"/>
                <w:szCs w:val="22"/>
                <w:u w:val="none"/>
              </w:rPr>
            </w:pPr>
          </w:p>
        </w:tc>
      </w:tr>
      <w:tr w14:paraId="4121A137">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647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17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61D7">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70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92F71F4">
        <w:tblPrEx>
          <w:shd w:val="clear" w:color="auto" w:fill="auto"/>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4E0A">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1FB4">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9C3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C7776">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03BE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3A2BB3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1A7158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9B60F60">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024D4DF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029118F8">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DFC06CB">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41C971E6">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C41FD19">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2A3E63D">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98295D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2C36C9E5">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C2FC1E6">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重庆市黔江区城东街道办事处社区文化服务中心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5DEA9A1C">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2485F3A">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3760699">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9FF9E8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48ADA55">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CA0FD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2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9D27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58A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3134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A65FE3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1CFB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7CE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CF42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F6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F544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2EC6A6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5D83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41108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D63FA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BBEB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05D0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839708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DECC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F1F3D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EBB0D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92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CD14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131B4E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C30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B5AD20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06EB8D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A1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E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659B45B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2F1B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4CE02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2BBB6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47F2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6ED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DF0CD9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3384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F53A1C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A70589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23A0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AFB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DC831B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5381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A7FCE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51F96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6919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E49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DDB265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0565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E1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FEDC3B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237E5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E7C5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93C581E">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7911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D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F1B52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9535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024E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A49E1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FF37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0C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ED975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EAC3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1059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B71D67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6B9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BF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E91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051D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98F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82A483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9588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9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52E9F9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36DE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011B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C4E877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33FA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BF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C668CC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0E8F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6B15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B04EF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9A14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F5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D2797A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461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334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56D497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E5ED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24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0C187F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0C4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5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203E65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56F1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8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E07BB4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480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D783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4C9C7F3">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2E94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2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E3A8DB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863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FBF7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F3648A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3F78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2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C6155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0BB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EBD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C3E36F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F64C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00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8D52DA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B8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EDD3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1939FB5">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ABD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4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67063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68B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6586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AE7775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7E2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F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EBDA38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0A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3B3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89B3D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7080CF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8AA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F800DE">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1149AEE1">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331BA">
            <w:pPr>
              <w:jc w:val="right"/>
              <w:rPr>
                <w:rFonts w:hint="default" w:ascii="Arial" w:hAnsi="Arial" w:eastAsia="宋体" w:cs="Arial"/>
                <w:i w:val="0"/>
                <w:color w:val="000000"/>
                <w:sz w:val="20"/>
                <w:szCs w:val="20"/>
                <w:u w:val="none"/>
              </w:rPr>
            </w:pPr>
          </w:p>
        </w:tc>
      </w:tr>
      <w:tr w14:paraId="5B24CDA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2C892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4DB4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2C84DFF7">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0.50</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33F4D">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2ED64331">
            <w:pPr>
              <w:jc w:val="right"/>
              <w:rPr>
                <w:rFonts w:hint="default" w:ascii="Arial" w:hAnsi="Arial" w:eastAsia="宋体" w:cs="Arial"/>
                <w:i w:val="0"/>
                <w:color w:val="000000"/>
                <w:sz w:val="20"/>
                <w:szCs w:val="20"/>
                <w:u w:val="none"/>
              </w:rPr>
            </w:pPr>
          </w:p>
        </w:tc>
      </w:tr>
      <w:tr w14:paraId="5758E30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511BF74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4D4E2FF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7E59F27A">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F4FBD9">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550622B7">
            <w:pPr>
              <w:jc w:val="right"/>
              <w:rPr>
                <w:rFonts w:hint="default" w:ascii="Arial" w:hAnsi="Arial" w:eastAsia="宋体" w:cs="Arial"/>
                <w:i w:val="0"/>
                <w:color w:val="000000"/>
                <w:sz w:val="20"/>
                <w:szCs w:val="20"/>
                <w:u w:val="none"/>
              </w:rPr>
            </w:pPr>
          </w:p>
        </w:tc>
      </w:tr>
    </w:tbl>
    <w:p w14:paraId="5169994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CBE36F0">
      <w:pPr>
        <w:rPr>
          <w:rFonts w:hint="eastAsia" w:ascii="宋体" w:hAnsi="宋体" w:eastAsia="宋体" w:cs="宋体"/>
          <w:color w:val="000000"/>
          <w:sz w:val="21"/>
          <w:szCs w:val="21"/>
          <w:lang w:bidi="ar"/>
        </w:rPr>
      </w:pPr>
    </w:p>
    <w:p w14:paraId="72C1BDFE">
      <w:pPr>
        <w:rPr>
          <w:rFonts w:hint="eastAsia" w:ascii="宋体" w:hAnsi="宋体" w:eastAsia="宋体" w:cs="宋体"/>
          <w:color w:val="000000"/>
          <w:sz w:val="21"/>
          <w:szCs w:val="21"/>
          <w:lang w:bidi="ar"/>
        </w:rPr>
      </w:pPr>
    </w:p>
    <w:p w14:paraId="20D8DB43">
      <w:pPr>
        <w:rPr>
          <w:rFonts w:hint="eastAsia" w:ascii="宋体" w:hAnsi="宋体" w:eastAsia="宋体" w:cs="宋体"/>
          <w:color w:val="000000"/>
          <w:sz w:val="21"/>
          <w:szCs w:val="21"/>
          <w:lang w:bidi="ar"/>
        </w:rPr>
      </w:pPr>
    </w:p>
    <w:p w14:paraId="007BCEFC">
      <w:pPr>
        <w:rPr>
          <w:rFonts w:hint="eastAsia" w:ascii="宋体" w:hAnsi="宋体" w:eastAsia="宋体" w:cs="宋体"/>
          <w:color w:val="000000"/>
          <w:sz w:val="21"/>
          <w:szCs w:val="21"/>
          <w:lang w:bidi="ar"/>
        </w:rPr>
      </w:pPr>
    </w:p>
    <w:p w14:paraId="20F5D294">
      <w:pPr>
        <w:rPr>
          <w:rFonts w:hint="eastAsia" w:ascii="宋体" w:hAnsi="宋体" w:eastAsia="宋体" w:cs="宋体"/>
          <w:color w:val="000000"/>
          <w:sz w:val="21"/>
          <w:szCs w:val="21"/>
          <w:lang w:bidi="ar"/>
        </w:rPr>
      </w:pPr>
    </w:p>
    <w:p w14:paraId="40FF840A">
      <w:pPr>
        <w:rPr>
          <w:rFonts w:hint="eastAsia" w:ascii="宋体" w:hAnsi="宋体" w:eastAsia="宋体" w:cs="宋体"/>
          <w:color w:val="000000"/>
          <w:sz w:val="21"/>
          <w:szCs w:val="21"/>
          <w:lang w:bidi="ar"/>
        </w:rPr>
      </w:pPr>
    </w:p>
    <w:p w14:paraId="1962E815">
      <w:pPr>
        <w:rPr>
          <w:rFonts w:hint="eastAsia" w:ascii="宋体" w:hAnsi="宋体" w:eastAsia="宋体" w:cs="宋体"/>
          <w:color w:val="000000"/>
          <w:sz w:val="21"/>
          <w:szCs w:val="21"/>
          <w:lang w:bidi="ar"/>
        </w:rPr>
      </w:pPr>
    </w:p>
    <w:p w14:paraId="6CD5FDDA">
      <w:pPr>
        <w:rPr>
          <w:rFonts w:hint="eastAsia" w:ascii="宋体" w:hAnsi="宋体" w:eastAsia="宋体" w:cs="宋体"/>
          <w:color w:val="000000"/>
          <w:sz w:val="21"/>
          <w:szCs w:val="21"/>
          <w:lang w:bidi="ar"/>
        </w:rPr>
      </w:pPr>
    </w:p>
    <w:p w14:paraId="04E16143">
      <w:pPr>
        <w:rPr>
          <w:rFonts w:hint="eastAsia" w:ascii="宋体" w:hAnsi="宋体" w:eastAsia="宋体" w:cs="宋体"/>
          <w:color w:val="000000"/>
          <w:sz w:val="21"/>
          <w:szCs w:val="21"/>
          <w:lang w:bidi="ar"/>
        </w:rPr>
      </w:pPr>
    </w:p>
    <w:p w14:paraId="650DD03F">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196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F8E4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AF8E4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01B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CF16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DACF16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DC4C7F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DC4C7F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543B">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A942639"/>
    <w:rsid w:val="2B026E33"/>
    <w:rsid w:val="2B167953"/>
    <w:rsid w:val="2B200583"/>
    <w:rsid w:val="2B8209DE"/>
    <w:rsid w:val="2C6762A3"/>
    <w:rsid w:val="2FCA4B37"/>
    <w:rsid w:val="2FE029D7"/>
    <w:rsid w:val="2FF06E00"/>
    <w:rsid w:val="30586FEC"/>
    <w:rsid w:val="315F0B22"/>
    <w:rsid w:val="31D84415"/>
    <w:rsid w:val="31E43B9B"/>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262F4C"/>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2C4156"/>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C87A95"/>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5685334"/>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8221</Words>
  <Characters>9625</Characters>
  <Lines>161</Lines>
  <Paragraphs>45</Paragraphs>
  <TotalTime>2</TotalTime>
  <ScaleCrop>false</ScaleCrop>
  <LinksUpToDate>false</LinksUpToDate>
  <CharactersWithSpaces>10139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2025-09-04T09:20:49Z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