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5C4B72">
      <w:pPr>
        <w:pStyle w:val="5"/>
        <w:spacing w:before="0" w:beforeAutospacing="0"/>
        <w:jc w:val="center"/>
        <w:rPr>
          <w:rFonts w:hint="default" w:ascii="方正小标宋_GBK" w:hAnsi="方正小标宋_GBK" w:eastAsia="方正小标宋_GBK" w:cs="方正小标宋_GBK"/>
          <w:sz w:val="36"/>
          <w:szCs w:val="36"/>
          <w:shd w:val="clear" w:color="auto" w:fill="FFFFFF"/>
        </w:rPr>
      </w:pPr>
      <w:r>
        <w:rPr>
          <w:rFonts w:ascii="方正小标宋_GBK" w:hAnsi="方正小标宋_GBK" w:eastAsia="方正小标宋_GBK" w:cs="方正小标宋_GBK"/>
          <w:sz w:val="36"/>
          <w:szCs w:val="36"/>
        </w:rPr>
        <w:t>黔江区城东街道社区事务服务中心</w:t>
      </w:r>
      <w:r>
        <w:rPr>
          <w:rFonts w:hint="eastAsia" w:ascii="方正小标宋_GBK" w:hAnsi="方正小标宋_GBK" w:eastAsia="方正小标宋_GBK" w:cs="方正小标宋_GBK"/>
          <w:sz w:val="36"/>
          <w:szCs w:val="36"/>
          <w:shd w:val="clear" w:color="auto" w:fill="FFFFFF"/>
          <w:lang w:eastAsia="zh-CN"/>
        </w:rPr>
        <w:t>2025年</w:t>
      </w:r>
      <w:r>
        <w:rPr>
          <w:rFonts w:ascii="方正小标宋_GBK" w:hAnsi="方正小标宋_GBK" w:eastAsia="方正小标宋_GBK" w:cs="方正小标宋_GBK"/>
          <w:sz w:val="36"/>
          <w:szCs w:val="36"/>
          <w:shd w:val="clear" w:color="auto" w:fill="FFFFFF"/>
        </w:rPr>
        <w:t>度决算</w:t>
      </w:r>
      <w:r>
        <w:rPr>
          <w:rFonts w:hint="eastAsia" w:ascii="方正小标宋_GBK" w:hAnsi="方正小标宋_GBK" w:eastAsia="方正小标宋_GBK" w:cs="方正小标宋_GBK"/>
          <w:sz w:val="36"/>
          <w:szCs w:val="36"/>
          <w:shd w:val="clear" w:color="auto" w:fill="FFFFFF"/>
          <w:lang w:eastAsia="zh-CN"/>
        </w:rPr>
        <w:t>公开</w:t>
      </w:r>
      <w:r>
        <w:rPr>
          <w:rFonts w:ascii="方正小标宋_GBK" w:hAnsi="方正小标宋_GBK" w:eastAsia="方正小标宋_GBK" w:cs="方正小标宋_GBK"/>
          <w:sz w:val="36"/>
          <w:szCs w:val="36"/>
          <w:shd w:val="clear" w:color="auto" w:fill="FFFFFF"/>
        </w:rPr>
        <w:t>说明</w:t>
      </w:r>
    </w:p>
    <w:p w14:paraId="60743C9C">
      <w:pPr>
        <w:pStyle w:val="5"/>
        <w:shd w:val="clear" w:color="auto" w:fill="FFFFFF"/>
        <w:rPr>
          <w:rFonts w:hint="eastAsia" w:ascii="黑体" w:hAnsi="黑体" w:eastAsia="黑体" w:cs="黑体"/>
          <w:sz w:val="32"/>
          <w:szCs w:val="32"/>
        </w:rPr>
      </w:pPr>
      <w:r>
        <w:rPr>
          <w:rStyle w:val="9"/>
          <w:rFonts w:hint="eastAsia" w:ascii="黑体" w:hAnsi="黑体" w:eastAsia="黑体" w:cs="黑体"/>
          <w:sz w:val="32"/>
          <w:szCs w:val="32"/>
          <w:shd w:val="clear" w:color="auto" w:fill="FFFFFF"/>
        </w:rPr>
        <w:t>一、部门基本情况</w:t>
      </w:r>
    </w:p>
    <w:p w14:paraId="45EC85ED">
      <w:pPr>
        <w:pStyle w:val="5"/>
        <w:shd w:val="clear" w:color="auto" w:fill="FFFFFF"/>
        <w:ind w:firstLine="420"/>
        <w:rPr>
          <w:rFonts w:hint="default" w:ascii="方正仿宋_GBK" w:hAnsi="方正仿宋_GBK" w:eastAsia="方正仿宋_GBK" w:cs="方正仿宋_GBK"/>
          <w:sz w:val="32"/>
          <w:szCs w:val="32"/>
        </w:rPr>
      </w:pPr>
      <w:r>
        <w:rPr>
          <w:rStyle w:val="9"/>
          <w:rFonts w:hint="eastAsia" w:ascii="楷体" w:hAnsi="楷体" w:eastAsia="楷体" w:cs="楷体"/>
          <w:sz w:val="32"/>
          <w:szCs w:val="32"/>
          <w:shd w:val="clear" w:color="auto" w:fill="FFFFFF"/>
        </w:rPr>
        <w:t>（一）职能职责</w:t>
      </w:r>
    </w:p>
    <w:p w14:paraId="1A8191C4">
      <w:pPr>
        <w:pStyle w:val="5"/>
        <w:shd w:val="clear" w:color="auto" w:fill="FFFFFF"/>
        <w:ind w:firstLine="420"/>
        <w:rPr>
          <w:rFonts w:hint="eastAsia" w:ascii="方正仿宋_GBK" w:hAnsi="方正仿宋_GBK" w:eastAsia="方正仿宋_GBK" w:cs="方正仿宋_GBK"/>
          <w:color w:val="auto"/>
          <w:sz w:val="32"/>
          <w:szCs w:val="32"/>
          <w:shd w:val="clear" w:color="auto" w:fill="FFFFFF"/>
        </w:rPr>
      </w:pPr>
      <w:r>
        <w:rPr>
          <w:rFonts w:hint="eastAsia" w:ascii="方正仿宋_GBK" w:hAnsi="方正仿宋_GBK" w:eastAsia="方正仿宋_GBK" w:cs="方正仿宋_GBK"/>
          <w:color w:val="auto"/>
          <w:sz w:val="32"/>
          <w:szCs w:val="32"/>
          <w:shd w:val="clear" w:color="auto" w:fill="FFFFFF"/>
        </w:rPr>
        <w:t>承担社区事务、社区建设等事务性工作。主要承担为城镇居民提供便民利民的综合公共服务，协调有关社会服务机构组织公益活动，指导各社区服务；规划自然资源，美丽城镇建设，城镇规划、城镇环境综合整治、市容环卫服务；招商引资，基础设施建设项目的综合管理、服务、协调；征地拆迁；指导监督检查业主大会、业主委员会依法履职，指导监督检查本辖区内物业管理活动，协调物业管理纠纷调处等工作。</w:t>
      </w:r>
    </w:p>
    <w:p w14:paraId="162FBD19">
      <w:pPr>
        <w:pStyle w:val="5"/>
        <w:shd w:val="clear" w:color="auto" w:fill="FFFFFF"/>
        <w:ind w:firstLine="420"/>
        <w:rPr>
          <w:rFonts w:hint="eastAsia" w:ascii="楷体" w:hAnsi="楷体" w:eastAsia="楷体" w:cs="楷体"/>
          <w:sz w:val="32"/>
          <w:szCs w:val="32"/>
        </w:rPr>
      </w:pPr>
      <w:r>
        <w:rPr>
          <w:rStyle w:val="9"/>
          <w:rFonts w:hint="eastAsia" w:ascii="楷体" w:hAnsi="楷体" w:eastAsia="楷体" w:cs="楷体"/>
          <w:sz w:val="32"/>
          <w:szCs w:val="32"/>
          <w:shd w:val="clear" w:color="auto" w:fill="FFFFFF"/>
        </w:rPr>
        <w:t>（二）机构设置</w:t>
      </w:r>
    </w:p>
    <w:p w14:paraId="232C3AF3">
      <w:pPr>
        <w:pStyle w:val="5"/>
        <w:shd w:val="clear" w:color="auto" w:fill="FFFFFF"/>
        <w:ind w:firstLine="640" w:firstLineChars="200"/>
        <w:rPr>
          <w:rFonts w:hint="eastAsia" w:ascii="方正仿宋_GBK" w:hAnsi="方正仿宋_GBK" w:eastAsia="方正仿宋_GBK" w:cs="方正仿宋_GBK"/>
          <w:color w:val="auto"/>
          <w:sz w:val="32"/>
          <w:szCs w:val="32"/>
          <w:shd w:val="clear" w:color="auto" w:fill="FFFFFF"/>
        </w:rPr>
      </w:pPr>
      <w:r>
        <w:rPr>
          <w:rFonts w:hint="eastAsia" w:ascii="方正仿宋_GBK" w:hAnsi="方正仿宋_GBK" w:eastAsia="方正仿宋_GBK" w:cs="方正仿宋_GBK"/>
          <w:color w:val="auto"/>
          <w:sz w:val="32"/>
          <w:szCs w:val="32"/>
          <w:shd w:val="clear" w:color="auto" w:fill="FFFFFF"/>
        </w:rPr>
        <w:t>2025年，我单位纳入部门决算编报范围独立核算单位1个，无下属内设机构。</w:t>
      </w:r>
    </w:p>
    <w:p w14:paraId="27EA38A2">
      <w:pPr>
        <w:pStyle w:val="5"/>
        <w:shd w:val="clear" w:color="auto" w:fill="FFFFFF"/>
        <w:rPr>
          <w:rStyle w:val="9"/>
          <w:rFonts w:hint="eastAsia" w:ascii="黑体" w:hAnsi="黑体" w:eastAsia="黑体" w:cs="黑体"/>
          <w:sz w:val="32"/>
          <w:szCs w:val="32"/>
          <w:shd w:val="clear" w:color="auto" w:fill="FFFFFF"/>
        </w:rPr>
      </w:pPr>
      <w:r>
        <w:rPr>
          <w:rStyle w:val="9"/>
          <w:rFonts w:hint="eastAsia" w:ascii="黑体" w:hAnsi="黑体" w:eastAsia="黑体" w:cs="黑体"/>
          <w:sz w:val="32"/>
          <w:szCs w:val="32"/>
          <w:shd w:val="clear" w:color="auto" w:fill="FFFFFF"/>
        </w:rPr>
        <w:t>二、部门决算情况说明</w:t>
      </w:r>
    </w:p>
    <w:p w14:paraId="0F587901">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（一）收入支出决算总体情况说明。</w:t>
      </w:r>
    </w:p>
    <w:p w14:paraId="55B5EE7D">
      <w:pPr>
        <w:pStyle w:val="5"/>
        <w:shd w:val="clear" w:color="auto" w:fill="FFFFFF"/>
        <w:ind w:firstLine="643" w:firstLineChars="200"/>
        <w:rPr>
          <w:rFonts w:hint="default" w:ascii="方正仿宋_GBK" w:hAnsi="方正仿宋_GBK" w:eastAsia="方正仿宋_GBK" w:cs="方正仿宋_GBK"/>
          <w:sz w:val="32"/>
          <w:szCs w:val="32"/>
        </w:rPr>
      </w:pPr>
      <w:r>
        <w:rPr>
          <w:rStyle w:val="9"/>
          <w:rFonts w:ascii="方正仿宋_GBK" w:hAnsi="方正仿宋_GBK" w:eastAsia="方正仿宋_GBK" w:cs="方正仿宋_GBK"/>
          <w:sz w:val="32"/>
          <w:szCs w:val="32"/>
          <w:shd w:val="clear" w:color="auto" w:fill="FFFFFF"/>
        </w:rPr>
        <w:t>1.总体情况。</w:t>
      </w:r>
      <w:r>
        <w:rPr>
          <w:rFonts w:hint="eastAsia" w:ascii="方正仿宋_GBK" w:hAnsi="方正仿宋_GBK" w:eastAsia="方正仿宋_GBK" w:cs="方正仿宋_GBK"/>
          <w:sz w:val="32"/>
          <w:szCs w:val="32"/>
          <w:shd w:val="clear" w:color="auto" w:fill="FFFFFF"/>
          <w:lang w:eastAsia="zh-CN"/>
        </w:rPr>
        <w:t>2025年</w:t>
      </w:r>
      <w:r>
        <w:rPr>
          <w:rFonts w:ascii="方正仿宋_GBK" w:hAnsi="方正仿宋_GBK" w:eastAsia="方正仿宋_GBK" w:cs="方正仿宋_GBK"/>
          <w:sz w:val="32"/>
          <w:szCs w:val="32"/>
          <w:shd w:val="clear" w:color="auto" w:fill="FFFFFF"/>
        </w:rPr>
        <w:t>度收入总计123.68万元，支出总计</w:t>
      </w:r>
      <w:r>
        <w:rPr>
          <w:rFonts w:ascii="方正仿宋_GBK" w:hAnsi="方正仿宋_GBK" w:eastAsia="方正仿宋_GBK" w:cs="方正仿宋_GBK"/>
          <w:sz w:val="32"/>
          <w:szCs w:val="32"/>
        </w:rPr>
        <w:t>123.68</w:t>
      </w:r>
      <w:r>
        <w:rPr>
          <w:rFonts w:ascii="方正仿宋_GBK" w:hAnsi="方正仿宋_GBK" w:eastAsia="方正仿宋_GBK" w:cs="方正仿宋_GBK"/>
          <w:sz w:val="32"/>
          <w:szCs w:val="32"/>
          <w:shd w:val="clear" w:color="auto" w:fill="FFFFFF"/>
        </w:rPr>
        <w:t>万元。较上年增加73.07万元，增长144.38%，主要原因是</w:t>
      </w:r>
      <w:r>
        <w:rPr>
          <w:rFonts w:hint="eastAsia" w:ascii="方正仿宋_GBK" w:hAnsi="方正仿宋_GBK" w:eastAsia="方正仿宋_GBK" w:cs="方正仿宋_GBK"/>
          <w:color w:val="auto"/>
          <w:sz w:val="32"/>
          <w:szCs w:val="32"/>
          <w:shd w:val="clear" w:color="auto" w:fill="FFFFFF"/>
        </w:rPr>
        <w:t>机构调整，事业站数量由7个变为5个，本单位人员数量增加，本年</w:t>
      </w:r>
      <w:r>
        <w:rPr>
          <w:rFonts w:hint="eastAsia" w:ascii="方正仿宋_GBK" w:hAnsi="方正仿宋_GBK" w:eastAsia="方正仿宋_GBK" w:cs="方正仿宋_GBK"/>
          <w:color w:val="auto"/>
          <w:sz w:val="32"/>
          <w:szCs w:val="32"/>
          <w:shd w:val="clear" w:color="auto" w:fill="FFFFFF"/>
          <w:lang w:val="en-US" w:eastAsia="zh-CN"/>
        </w:rPr>
        <w:t>收支</w:t>
      </w:r>
      <w:r>
        <w:rPr>
          <w:rFonts w:hint="eastAsia" w:ascii="方正仿宋_GBK" w:hAnsi="方正仿宋_GBK" w:eastAsia="方正仿宋_GBK" w:cs="方正仿宋_GBK"/>
          <w:color w:val="auto"/>
          <w:sz w:val="32"/>
          <w:szCs w:val="32"/>
          <w:shd w:val="clear" w:color="auto" w:fill="FFFFFF"/>
        </w:rPr>
        <w:t>增加。</w:t>
      </w:r>
    </w:p>
    <w:p w14:paraId="7D4FAAAF">
      <w:pPr>
        <w:pStyle w:val="5"/>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shd w:val="clear" w:color="auto" w:fill="FFFFFF"/>
        </w:rPr>
      </w:pPr>
      <w:r>
        <w:rPr>
          <w:rStyle w:val="9"/>
          <w:rFonts w:ascii="方正仿宋_GBK" w:hAnsi="方正仿宋_GBK" w:eastAsia="方正仿宋_GBK" w:cs="方正仿宋_GBK"/>
          <w:sz w:val="32"/>
          <w:szCs w:val="32"/>
          <w:shd w:val="clear" w:color="auto" w:fill="FFFFFF"/>
        </w:rPr>
        <w:t>2.收入情况。</w:t>
      </w:r>
      <w:r>
        <w:rPr>
          <w:rFonts w:hint="eastAsia" w:ascii="方正仿宋_GBK" w:hAnsi="方正仿宋_GBK" w:eastAsia="方正仿宋_GBK" w:cs="方正仿宋_GBK"/>
          <w:sz w:val="32"/>
          <w:szCs w:val="32"/>
          <w:shd w:val="clear" w:color="auto" w:fill="FFFFFF"/>
          <w:lang w:eastAsia="zh-CN"/>
        </w:rPr>
        <w:t>2025年</w:t>
      </w:r>
      <w:r>
        <w:rPr>
          <w:rFonts w:ascii="方正仿宋_GBK" w:hAnsi="方正仿宋_GBK" w:eastAsia="方正仿宋_GBK" w:cs="方正仿宋_GBK"/>
          <w:sz w:val="32"/>
          <w:szCs w:val="32"/>
          <w:shd w:val="clear" w:color="auto" w:fill="FFFFFF"/>
        </w:rPr>
        <w:t>度收入合计</w:t>
      </w:r>
      <w:r>
        <w:rPr>
          <w:rFonts w:hint="eastAsia" w:ascii="方正仿宋_GBK" w:hAnsi="方正仿宋_GBK" w:eastAsia="方正仿宋_GBK" w:cs="方正仿宋_GBK"/>
          <w:sz w:val="32"/>
          <w:szCs w:val="32"/>
          <w:shd w:val="clear" w:color="auto" w:fill="FFFFFF"/>
        </w:rPr>
        <w:t>123.68</w:t>
      </w:r>
      <w:r>
        <w:rPr>
          <w:rFonts w:ascii="方正仿宋_GBK" w:hAnsi="方正仿宋_GBK" w:eastAsia="方正仿宋_GBK" w:cs="方正仿宋_GBK"/>
          <w:sz w:val="32"/>
          <w:szCs w:val="32"/>
          <w:shd w:val="clear" w:color="auto" w:fill="FFFFFF"/>
        </w:rPr>
        <w:t>万元，较上年增加73.07万元，增长144.38%，主要原因是</w:t>
      </w:r>
      <w:r>
        <w:rPr>
          <w:rFonts w:hint="eastAsia" w:ascii="方正仿宋_GBK" w:hAnsi="方正仿宋_GBK" w:eastAsia="方正仿宋_GBK" w:cs="方正仿宋_GBK"/>
          <w:color w:val="auto"/>
          <w:sz w:val="32"/>
          <w:szCs w:val="32"/>
          <w:shd w:val="clear" w:color="auto" w:fill="FFFFFF"/>
        </w:rPr>
        <w:t>机构调整，事业站数量由7个变为5个，本单位人员数量增加，本年收</w:t>
      </w:r>
      <w:r>
        <w:rPr>
          <w:rFonts w:hint="eastAsia" w:ascii="方正仿宋_GBK" w:hAnsi="方正仿宋_GBK" w:eastAsia="方正仿宋_GBK" w:cs="方正仿宋_GBK"/>
          <w:color w:val="auto"/>
          <w:sz w:val="32"/>
          <w:szCs w:val="32"/>
          <w:shd w:val="clear" w:color="auto" w:fill="FFFFFF"/>
          <w:lang w:val="en-US" w:eastAsia="zh-CN"/>
        </w:rPr>
        <w:t>入</w:t>
      </w:r>
      <w:r>
        <w:rPr>
          <w:rFonts w:hint="eastAsia" w:ascii="方正仿宋_GBK" w:hAnsi="方正仿宋_GBK" w:eastAsia="方正仿宋_GBK" w:cs="方正仿宋_GBK"/>
          <w:color w:val="auto"/>
          <w:sz w:val="32"/>
          <w:szCs w:val="32"/>
          <w:shd w:val="clear" w:color="auto" w:fill="FFFFFF"/>
        </w:rPr>
        <w:t>增加。</w:t>
      </w:r>
      <w:r>
        <w:rPr>
          <w:rFonts w:ascii="方正仿宋_GBK" w:hAnsi="方正仿宋_GBK" w:eastAsia="方正仿宋_GBK" w:cs="方正仿宋_GBK"/>
          <w:sz w:val="32"/>
          <w:szCs w:val="32"/>
          <w:shd w:val="clear" w:color="auto" w:fill="FFFFFF"/>
        </w:rPr>
        <w:t>其中：财政拨款收入</w:t>
      </w:r>
      <w:r>
        <w:rPr>
          <w:rFonts w:ascii="方正仿宋_GBK" w:hAnsi="方正仿宋_GBK" w:eastAsia="方正仿宋_GBK" w:cs="方正仿宋_GBK"/>
          <w:sz w:val="32"/>
          <w:szCs w:val="32"/>
        </w:rPr>
        <w:t>123.68</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100.00</w:t>
      </w:r>
      <w:r>
        <w:rPr>
          <w:rFonts w:ascii="方正仿宋_GBK" w:hAnsi="方正仿宋_GBK" w:eastAsia="方正仿宋_GBK" w:cs="方正仿宋_GBK"/>
          <w:sz w:val="32"/>
          <w:szCs w:val="32"/>
          <w:shd w:val="clear" w:color="auto" w:fill="FFFFFF"/>
        </w:rPr>
        <w:t>%；事业收入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万元，占0.00%；经营收入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万元，占0.00%；其他收入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万元，占0.00%。此外，使用非财政拨款结余和专用结余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万元，年初结转和结余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14:paraId="7BBC93A1">
      <w:pPr>
        <w:pStyle w:val="5"/>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shd w:val="clear" w:color="auto" w:fill="FFFFFF"/>
        </w:rPr>
      </w:pPr>
      <w:r>
        <w:rPr>
          <w:rStyle w:val="9"/>
          <w:rFonts w:ascii="方正仿宋_GBK" w:hAnsi="方正仿宋_GBK" w:eastAsia="方正仿宋_GBK" w:cs="方正仿宋_GBK"/>
          <w:sz w:val="32"/>
          <w:szCs w:val="32"/>
          <w:shd w:val="clear" w:color="auto" w:fill="FFFFFF"/>
        </w:rPr>
        <w:t>3.支出情况。</w:t>
      </w:r>
      <w:r>
        <w:rPr>
          <w:rFonts w:hint="eastAsia" w:ascii="方正仿宋_GBK" w:hAnsi="方正仿宋_GBK" w:eastAsia="方正仿宋_GBK" w:cs="方正仿宋_GBK"/>
          <w:sz w:val="32"/>
          <w:szCs w:val="32"/>
          <w:shd w:val="clear" w:color="auto" w:fill="FFFFFF"/>
          <w:lang w:eastAsia="zh-CN"/>
        </w:rPr>
        <w:t>2025年</w:t>
      </w:r>
      <w:r>
        <w:rPr>
          <w:rFonts w:ascii="方正仿宋_GBK" w:hAnsi="方正仿宋_GBK" w:eastAsia="方正仿宋_GBK" w:cs="方正仿宋_GBK"/>
          <w:sz w:val="32"/>
          <w:szCs w:val="32"/>
          <w:shd w:val="clear" w:color="auto" w:fill="FFFFFF"/>
        </w:rPr>
        <w:t>度支出合计</w:t>
      </w:r>
      <w:r>
        <w:rPr>
          <w:rFonts w:ascii="方正仿宋_GBK" w:hAnsi="方正仿宋_GBK" w:eastAsia="方正仿宋_GBK" w:cs="方正仿宋_GBK"/>
          <w:sz w:val="32"/>
          <w:szCs w:val="32"/>
        </w:rPr>
        <w:t>123.68</w:t>
      </w:r>
      <w:r>
        <w:rPr>
          <w:rFonts w:ascii="方正仿宋_GBK" w:hAnsi="方正仿宋_GBK" w:eastAsia="方正仿宋_GBK" w:cs="方正仿宋_GBK"/>
          <w:sz w:val="32"/>
          <w:szCs w:val="32"/>
          <w:shd w:val="clear" w:color="auto" w:fill="FFFFFF"/>
        </w:rPr>
        <w:t>万元，较上年增加73.07万元，增长144.38%，主要原因是</w:t>
      </w:r>
      <w:r>
        <w:rPr>
          <w:rFonts w:hint="eastAsia" w:ascii="方正仿宋_GBK" w:hAnsi="方正仿宋_GBK" w:eastAsia="方正仿宋_GBK" w:cs="方正仿宋_GBK"/>
          <w:color w:val="auto"/>
          <w:sz w:val="32"/>
          <w:szCs w:val="32"/>
          <w:shd w:val="clear" w:color="auto" w:fill="FFFFFF"/>
        </w:rPr>
        <w:t>机构调整，事业站数量由7个变为5个，本单位人员数量增加，本年</w:t>
      </w:r>
      <w:r>
        <w:rPr>
          <w:rFonts w:hint="eastAsia" w:ascii="方正仿宋_GBK" w:hAnsi="方正仿宋_GBK" w:eastAsia="方正仿宋_GBK" w:cs="方正仿宋_GBK"/>
          <w:color w:val="auto"/>
          <w:sz w:val="32"/>
          <w:szCs w:val="32"/>
          <w:shd w:val="clear" w:color="auto" w:fill="FFFFFF"/>
          <w:lang w:val="en-US" w:eastAsia="zh-CN"/>
        </w:rPr>
        <w:t>支出</w:t>
      </w:r>
      <w:r>
        <w:rPr>
          <w:rFonts w:hint="eastAsia" w:ascii="方正仿宋_GBK" w:hAnsi="方正仿宋_GBK" w:eastAsia="方正仿宋_GBK" w:cs="方正仿宋_GBK"/>
          <w:color w:val="auto"/>
          <w:sz w:val="32"/>
          <w:szCs w:val="32"/>
          <w:shd w:val="clear" w:color="auto" w:fill="FFFFFF"/>
        </w:rPr>
        <w:t>增加。</w:t>
      </w:r>
      <w:r>
        <w:rPr>
          <w:rFonts w:ascii="方正仿宋_GBK" w:hAnsi="方正仿宋_GBK" w:eastAsia="方正仿宋_GBK" w:cs="方正仿宋_GBK"/>
          <w:sz w:val="32"/>
          <w:szCs w:val="32"/>
          <w:shd w:val="clear" w:color="auto" w:fill="FFFFFF"/>
        </w:rPr>
        <w:t>其中：基本支出</w:t>
      </w:r>
      <w:r>
        <w:rPr>
          <w:rFonts w:ascii="方正仿宋_GBK" w:hAnsi="方正仿宋_GBK" w:eastAsia="方正仿宋_GBK" w:cs="方正仿宋_GBK"/>
          <w:sz w:val="32"/>
          <w:szCs w:val="32"/>
        </w:rPr>
        <w:t>123.68</w:t>
      </w:r>
      <w:r>
        <w:rPr>
          <w:rFonts w:ascii="方正仿宋_GBK" w:hAnsi="方正仿宋_GBK" w:eastAsia="方正仿宋_GBK" w:cs="方正仿宋_GBK"/>
          <w:sz w:val="32"/>
          <w:szCs w:val="32"/>
          <w:shd w:val="clear" w:color="auto" w:fill="FFFFFF"/>
        </w:rPr>
        <w:t>万元，占100.00%；项目支出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万元，占0.00%；经营支出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万元，占0.00%。此外，结余分配</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14:paraId="534DD5DE">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lang w:eastAsia="zh-CN"/>
        </w:rPr>
      </w:pPr>
      <w:r>
        <w:rPr>
          <w:rStyle w:val="9"/>
          <w:rFonts w:ascii="方正仿宋_GBK" w:hAnsi="方正仿宋_GBK" w:eastAsia="方正仿宋_GBK" w:cs="方正仿宋_GBK"/>
          <w:sz w:val="32"/>
          <w:szCs w:val="32"/>
          <w:shd w:val="clear" w:color="auto" w:fill="FFFFFF"/>
        </w:rPr>
        <w:t>4.结转结余情况。</w:t>
      </w:r>
      <w:r>
        <w:rPr>
          <w:rFonts w:hint="eastAsia" w:ascii="方正仿宋_GBK" w:hAnsi="方正仿宋_GBK" w:eastAsia="方正仿宋_GBK" w:cs="方正仿宋_GBK"/>
          <w:sz w:val="32"/>
          <w:szCs w:val="32"/>
          <w:shd w:val="clear" w:color="auto" w:fill="FFFFFF"/>
          <w:lang w:eastAsia="zh-CN"/>
        </w:rPr>
        <w:t>2025年</w:t>
      </w:r>
      <w:r>
        <w:rPr>
          <w:rFonts w:ascii="方正仿宋_GBK" w:hAnsi="方正仿宋_GBK" w:eastAsia="方正仿宋_GBK" w:cs="方正仿宋_GBK"/>
          <w:sz w:val="32"/>
          <w:szCs w:val="32"/>
          <w:shd w:val="clear" w:color="auto" w:fill="FFFFFF"/>
        </w:rPr>
        <w:t>度年末结转和结余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万元，较上年无增减</w:t>
      </w:r>
      <w:r>
        <w:rPr>
          <w:rFonts w:hint="eastAsia" w:ascii="方正仿宋_GBK" w:hAnsi="方正仿宋_GBK" w:eastAsia="方正仿宋_GBK" w:cs="方正仿宋_GBK"/>
          <w:sz w:val="32"/>
          <w:szCs w:val="32"/>
          <w:shd w:val="clear" w:color="auto" w:fill="FFFFFF"/>
          <w:lang w:eastAsia="zh-CN"/>
        </w:rPr>
        <w:t>。</w:t>
      </w:r>
    </w:p>
    <w:p w14:paraId="2D1724A7">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（二）财政拨款收入支出决算总体情况说明</w:t>
      </w:r>
    </w:p>
    <w:p w14:paraId="5843A000">
      <w:pPr>
        <w:pStyle w:val="5"/>
        <w:shd w:val="clear" w:color="auto" w:fill="FFFFFF"/>
        <w:ind w:firstLine="640" w:firstLineChars="200"/>
        <w:rPr>
          <w:rFonts w:hint="default"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eastAsia="zh-CN"/>
        </w:rPr>
        <w:t>2025年</w:t>
      </w:r>
      <w:r>
        <w:rPr>
          <w:rFonts w:ascii="方正仿宋_GBK" w:hAnsi="方正仿宋_GBK" w:eastAsia="方正仿宋_GBK" w:cs="方正仿宋_GBK"/>
          <w:sz w:val="32"/>
          <w:szCs w:val="32"/>
          <w:shd w:val="clear" w:color="auto" w:fill="FFFFFF"/>
        </w:rPr>
        <w:t>度财政拨款收、支总计</w:t>
      </w:r>
      <w:r>
        <w:rPr>
          <w:rFonts w:hint="eastAsia" w:ascii="方正仿宋_GBK" w:hAnsi="方正仿宋_GBK" w:eastAsia="方正仿宋_GBK" w:cs="方正仿宋_GBK"/>
          <w:sz w:val="32"/>
          <w:szCs w:val="32"/>
          <w:shd w:val="clear" w:color="auto" w:fill="FFFFFF"/>
        </w:rPr>
        <w:t>123.68</w:t>
      </w:r>
      <w:r>
        <w:rPr>
          <w:rFonts w:ascii="方正仿宋_GBK" w:hAnsi="方正仿宋_GBK" w:eastAsia="方正仿宋_GBK" w:cs="方正仿宋_GBK"/>
          <w:sz w:val="32"/>
          <w:szCs w:val="32"/>
          <w:shd w:val="clear" w:color="auto" w:fill="FFFFFF"/>
        </w:rPr>
        <w:t>万元。与</w:t>
      </w:r>
      <w:r>
        <w:rPr>
          <w:rFonts w:hint="eastAsia" w:ascii="方正仿宋_GBK" w:hAnsi="方正仿宋_GBK" w:eastAsia="方正仿宋_GBK" w:cs="方正仿宋_GBK"/>
          <w:sz w:val="32"/>
          <w:szCs w:val="32"/>
          <w:shd w:val="clear" w:color="auto" w:fill="FFFFFF"/>
          <w:lang w:eastAsia="zh-CN"/>
        </w:rPr>
        <w:t>2023年</w:t>
      </w:r>
      <w:r>
        <w:rPr>
          <w:rFonts w:ascii="方正仿宋_GBK" w:hAnsi="方正仿宋_GBK" w:eastAsia="方正仿宋_GBK" w:cs="方正仿宋_GBK"/>
          <w:sz w:val="32"/>
          <w:szCs w:val="32"/>
          <w:shd w:val="clear" w:color="auto" w:fill="FFFFFF"/>
        </w:rPr>
        <w:t>相比，较上年增加73.07万元，增长144.38%。主要原因是</w:t>
      </w:r>
      <w:r>
        <w:rPr>
          <w:rFonts w:hint="eastAsia" w:ascii="方正仿宋_GBK" w:hAnsi="方正仿宋_GBK" w:eastAsia="方正仿宋_GBK" w:cs="方正仿宋_GBK"/>
          <w:color w:val="auto"/>
          <w:sz w:val="32"/>
          <w:szCs w:val="32"/>
          <w:shd w:val="clear" w:color="auto" w:fill="FFFFFF"/>
        </w:rPr>
        <w:t>机构调整，事业站数量由7个变为5个，本单位人员数量增加，本年</w:t>
      </w:r>
      <w:r>
        <w:rPr>
          <w:rFonts w:hint="eastAsia" w:ascii="方正仿宋_GBK" w:hAnsi="方正仿宋_GBK" w:eastAsia="方正仿宋_GBK" w:cs="方正仿宋_GBK"/>
          <w:color w:val="auto"/>
          <w:sz w:val="32"/>
          <w:szCs w:val="32"/>
          <w:shd w:val="clear" w:color="auto" w:fill="FFFFFF"/>
          <w:lang w:val="en-US" w:eastAsia="zh-CN"/>
        </w:rPr>
        <w:t>收支</w:t>
      </w:r>
      <w:r>
        <w:rPr>
          <w:rFonts w:hint="eastAsia" w:ascii="方正仿宋_GBK" w:hAnsi="方正仿宋_GBK" w:eastAsia="方正仿宋_GBK" w:cs="方正仿宋_GBK"/>
          <w:color w:val="auto"/>
          <w:sz w:val="32"/>
          <w:szCs w:val="32"/>
          <w:shd w:val="clear" w:color="auto" w:fill="FFFFFF"/>
        </w:rPr>
        <w:t>增加。</w:t>
      </w:r>
    </w:p>
    <w:p w14:paraId="58C6DD8A">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（三）一般公共预算财政拨款收入支出决算情况说明</w:t>
      </w:r>
    </w:p>
    <w:p w14:paraId="68DE0E76">
      <w:pPr>
        <w:pStyle w:val="5"/>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9"/>
          <w:rFonts w:ascii="方正仿宋_GBK" w:hAnsi="方正仿宋_GBK" w:eastAsia="方正仿宋_GBK" w:cs="方正仿宋_GBK"/>
          <w:sz w:val="32"/>
          <w:szCs w:val="32"/>
          <w:shd w:val="clear" w:color="auto" w:fill="FFFFFF"/>
        </w:rPr>
        <w:t>1.收入情况。</w:t>
      </w:r>
      <w:r>
        <w:rPr>
          <w:rFonts w:hint="eastAsia" w:ascii="方正仿宋_GBK" w:hAnsi="方正仿宋_GBK" w:eastAsia="方正仿宋_GBK" w:cs="方正仿宋_GBK"/>
          <w:sz w:val="32"/>
          <w:szCs w:val="32"/>
          <w:shd w:val="clear" w:color="auto" w:fill="FFFFFF"/>
          <w:lang w:eastAsia="zh-CN"/>
        </w:rPr>
        <w:t>2025年</w:t>
      </w:r>
      <w:r>
        <w:rPr>
          <w:rFonts w:ascii="方正仿宋_GBK" w:hAnsi="方正仿宋_GBK" w:eastAsia="方正仿宋_GBK" w:cs="方正仿宋_GBK"/>
          <w:sz w:val="32"/>
          <w:szCs w:val="32"/>
          <w:shd w:val="clear" w:color="auto" w:fill="FFFFFF"/>
        </w:rPr>
        <w:t>度一般公共预算财政拨款收入</w:t>
      </w:r>
      <w:r>
        <w:rPr>
          <w:rFonts w:ascii="方正仿宋_GBK" w:hAnsi="方正仿宋_GBK" w:eastAsia="方正仿宋_GBK" w:cs="方正仿宋_GBK"/>
          <w:sz w:val="32"/>
          <w:szCs w:val="32"/>
        </w:rPr>
        <w:t>123.68</w:t>
      </w:r>
      <w:r>
        <w:rPr>
          <w:rFonts w:ascii="方正仿宋_GBK" w:hAnsi="方正仿宋_GBK" w:eastAsia="方正仿宋_GBK" w:cs="方正仿宋_GBK"/>
          <w:sz w:val="32"/>
          <w:szCs w:val="32"/>
          <w:shd w:val="clear" w:color="auto" w:fill="FFFFFF"/>
        </w:rPr>
        <w:t>万元，较上年增加73.07万元，增长144.38%。主要原因是</w:t>
      </w:r>
      <w:r>
        <w:rPr>
          <w:rFonts w:hint="eastAsia" w:ascii="方正仿宋_GBK" w:hAnsi="方正仿宋_GBK" w:eastAsia="方正仿宋_GBK" w:cs="方正仿宋_GBK"/>
          <w:color w:val="auto"/>
          <w:sz w:val="32"/>
          <w:szCs w:val="32"/>
          <w:shd w:val="clear" w:color="auto" w:fill="FFFFFF"/>
        </w:rPr>
        <w:t>机构调整，事业站数量由7个变为5个，本单位人员数量增加，本年收</w:t>
      </w:r>
      <w:r>
        <w:rPr>
          <w:rFonts w:hint="eastAsia" w:ascii="方正仿宋_GBK" w:hAnsi="方正仿宋_GBK" w:eastAsia="方正仿宋_GBK" w:cs="方正仿宋_GBK"/>
          <w:color w:val="auto"/>
          <w:sz w:val="32"/>
          <w:szCs w:val="32"/>
          <w:shd w:val="clear" w:color="auto" w:fill="FFFFFF"/>
          <w:lang w:val="en-US" w:eastAsia="zh-CN"/>
        </w:rPr>
        <w:t>入</w:t>
      </w:r>
      <w:r>
        <w:rPr>
          <w:rFonts w:hint="eastAsia" w:ascii="方正仿宋_GBK" w:hAnsi="方正仿宋_GBK" w:eastAsia="方正仿宋_GBK" w:cs="方正仿宋_GBK"/>
          <w:color w:val="auto"/>
          <w:sz w:val="32"/>
          <w:szCs w:val="32"/>
          <w:shd w:val="clear" w:color="auto" w:fill="FFFFFF"/>
        </w:rPr>
        <w:t>增加。</w:t>
      </w:r>
      <w:r>
        <w:rPr>
          <w:rFonts w:ascii="方正仿宋_GBK" w:hAnsi="方正仿宋_GBK" w:eastAsia="方正仿宋_GBK" w:cs="方正仿宋_GBK"/>
          <w:sz w:val="32"/>
          <w:szCs w:val="32"/>
          <w:shd w:val="clear" w:color="auto" w:fill="FFFFFF"/>
        </w:rPr>
        <w:t>较年初预算数增加4.24万元，增长3.55%。主要原因是</w:t>
      </w:r>
      <w:r>
        <w:rPr>
          <w:rFonts w:hint="eastAsia" w:ascii="方正仿宋_GBK" w:hAnsi="方正仿宋_GBK" w:eastAsia="方正仿宋_GBK" w:cs="方正仿宋_GBK"/>
          <w:color w:val="auto"/>
          <w:sz w:val="32"/>
          <w:szCs w:val="32"/>
          <w:shd w:val="clear" w:color="auto" w:fill="FFFFFF"/>
        </w:rPr>
        <w:t>年中追加的事业人员基本支出清算</w:t>
      </w:r>
      <w:r>
        <w:rPr>
          <w:rFonts w:hint="eastAsia" w:ascii="方正仿宋_GBK" w:hAnsi="方正仿宋_GBK" w:eastAsia="方正仿宋_GBK" w:cs="方正仿宋_GBK"/>
          <w:color w:val="auto"/>
          <w:sz w:val="32"/>
          <w:szCs w:val="32"/>
          <w:shd w:val="clear" w:color="auto" w:fill="FFFFFF"/>
          <w:lang w:eastAsia="zh-CN"/>
        </w:rPr>
        <w:t>。</w:t>
      </w:r>
      <w:r>
        <w:rPr>
          <w:rFonts w:ascii="方正仿宋_GBK" w:hAnsi="方正仿宋_GBK" w:eastAsia="方正仿宋_GBK" w:cs="方正仿宋_GBK"/>
          <w:sz w:val="32"/>
          <w:szCs w:val="32"/>
          <w:shd w:val="clear" w:color="auto" w:fill="FFFFFF"/>
        </w:rPr>
        <w:t>此外，年初财政拨款结转和结余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14:paraId="1C1BA380">
      <w:pPr>
        <w:pStyle w:val="5"/>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9"/>
          <w:rFonts w:ascii="方正仿宋_GBK" w:hAnsi="方正仿宋_GBK" w:eastAsia="方正仿宋_GBK" w:cs="方正仿宋_GBK"/>
          <w:sz w:val="32"/>
          <w:szCs w:val="32"/>
          <w:shd w:val="clear" w:color="auto" w:fill="FFFFFF"/>
        </w:rPr>
        <w:t>2.支出情况。</w:t>
      </w:r>
      <w:r>
        <w:rPr>
          <w:rFonts w:hint="eastAsia" w:ascii="方正仿宋_GBK" w:hAnsi="方正仿宋_GBK" w:eastAsia="方正仿宋_GBK" w:cs="方正仿宋_GBK"/>
          <w:sz w:val="32"/>
          <w:szCs w:val="32"/>
          <w:shd w:val="clear" w:color="auto" w:fill="FFFFFF"/>
          <w:lang w:eastAsia="zh-CN"/>
        </w:rPr>
        <w:t>2025年</w:t>
      </w:r>
      <w:r>
        <w:rPr>
          <w:rFonts w:ascii="方正仿宋_GBK" w:hAnsi="方正仿宋_GBK" w:eastAsia="方正仿宋_GBK" w:cs="方正仿宋_GBK"/>
          <w:sz w:val="32"/>
          <w:szCs w:val="32"/>
          <w:shd w:val="clear" w:color="auto" w:fill="FFFFFF"/>
        </w:rPr>
        <w:t>度一般公共预算财政拨款支出</w:t>
      </w:r>
      <w:r>
        <w:rPr>
          <w:rFonts w:ascii="方正仿宋_GBK" w:hAnsi="方正仿宋_GBK" w:eastAsia="方正仿宋_GBK" w:cs="方正仿宋_GBK"/>
          <w:sz w:val="32"/>
          <w:szCs w:val="32"/>
        </w:rPr>
        <w:t>123.68</w:t>
      </w:r>
      <w:r>
        <w:rPr>
          <w:rFonts w:ascii="方正仿宋_GBK" w:hAnsi="方正仿宋_GBK" w:eastAsia="方正仿宋_GBK" w:cs="方正仿宋_GBK"/>
          <w:sz w:val="32"/>
          <w:szCs w:val="32"/>
          <w:shd w:val="clear" w:color="auto" w:fill="FFFFFF"/>
        </w:rPr>
        <w:t>万元，较上年增加73.07万元，增长144.38%。主要原因是</w:t>
      </w:r>
      <w:r>
        <w:rPr>
          <w:rFonts w:hint="eastAsia" w:ascii="方正仿宋_GBK" w:hAnsi="方正仿宋_GBK" w:eastAsia="方正仿宋_GBK" w:cs="方正仿宋_GBK"/>
          <w:color w:val="auto"/>
          <w:sz w:val="32"/>
          <w:szCs w:val="32"/>
          <w:shd w:val="clear" w:color="auto" w:fill="FFFFFF"/>
        </w:rPr>
        <w:t>机构调整，事业站数量由7个变为5个，本单位人员数量增加，本年</w:t>
      </w:r>
      <w:r>
        <w:rPr>
          <w:rFonts w:hint="eastAsia" w:ascii="方正仿宋_GBK" w:hAnsi="方正仿宋_GBK" w:eastAsia="方正仿宋_GBK" w:cs="方正仿宋_GBK"/>
          <w:color w:val="auto"/>
          <w:sz w:val="32"/>
          <w:szCs w:val="32"/>
          <w:shd w:val="clear" w:color="auto" w:fill="FFFFFF"/>
          <w:lang w:val="en-US" w:eastAsia="zh-CN"/>
        </w:rPr>
        <w:t>支出</w:t>
      </w:r>
      <w:r>
        <w:rPr>
          <w:rFonts w:hint="eastAsia" w:ascii="方正仿宋_GBK" w:hAnsi="方正仿宋_GBK" w:eastAsia="方正仿宋_GBK" w:cs="方正仿宋_GBK"/>
          <w:color w:val="auto"/>
          <w:sz w:val="32"/>
          <w:szCs w:val="32"/>
          <w:shd w:val="clear" w:color="auto" w:fill="FFFFFF"/>
        </w:rPr>
        <w:t>增加。</w:t>
      </w:r>
      <w:r>
        <w:rPr>
          <w:rFonts w:ascii="方正仿宋_GBK" w:hAnsi="方正仿宋_GBK" w:eastAsia="方正仿宋_GBK" w:cs="方正仿宋_GBK"/>
          <w:sz w:val="32"/>
          <w:szCs w:val="32"/>
          <w:shd w:val="clear" w:color="auto" w:fill="FFFFFF"/>
        </w:rPr>
        <w:t>较年初预算数增加4.24万元，增长3.55%。主要原因是</w:t>
      </w:r>
      <w:r>
        <w:rPr>
          <w:rFonts w:hint="eastAsia" w:ascii="方正仿宋_GBK" w:hAnsi="方正仿宋_GBK" w:eastAsia="方正仿宋_GBK" w:cs="方正仿宋_GBK"/>
          <w:color w:val="auto"/>
          <w:sz w:val="32"/>
          <w:szCs w:val="32"/>
          <w:shd w:val="clear" w:color="auto" w:fill="FFFFFF"/>
        </w:rPr>
        <w:t>年中追加的事业人员基本支出清算</w:t>
      </w:r>
      <w:r>
        <w:rPr>
          <w:rFonts w:hint="eastAsia" w:ascii="方正仿宋_GBK" w:hAnsi="方正仿宋_GBK" w:eastAsia="方正仿宋_GBK" w:cs="方正仿宋_GBK"/>
          <w:color w:val="auto"/>
          <w:sz w:val="32"/>
          <w:szCs w:val="32"/>
          <w:shd w:val="clear" w:color="auto" w:fill="FFFFFF"/>
          <w:lang w:eastAsia="zh-CN"/>
        </w:rPr>
        <w:t>。</w:t>
      </w:r>
    </w:p>
    <w:p w14:paraId="6923708F">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shd w:val="clear" w:color="auto" w:fill="FFFFFF"/>
          <w:lang w:eastAsia="zh-CN"/>
        </w:rPr>
      </w:pPr>
      <w:r>
        <w:rPr>
          <w:rStyle w:val="9"/>
          <w:rFonts w:ascii="方正仿宋_GBK" w:hAnsi="方正仿宋_GBK" w:eastAsia="方正仿宋_GBK" w:cs="方正仿宋_GBK"/>
          <w:sz w:val="32"/>
          <w:szCs w:val="32"/>
          <w:shd w:val="clear" w:color="auto" w:fill="FFFFFF"/>
        </w:rPr>
        <w:t>3.结转结余情况。</w:t>
      </w:r>
      <w:r>
        <w:rPr>
          <w:rFonts w:hint="eastAsia" w:ascii="方正仿宋_GBK" w:hAnsi="方正仿宋_GBK" w:eastAsia="方正仿宋_GBK" w:cs="方正仿宋_GBK"/>
          <w:sz w:val="32"/>
          <w:szCs w:val="32"/>
          <w:shd w:val="clear" w:color="auto" w:fill="FFFFFF"/>
          <w:lang w:eastAsia="zh-CN"/>
        </w:rPr>
        <w:t>2025年</w:t>
      </w:r>
      <w:r>
        <w:rPr>
          <w:rFonts w:ascii="方正仿宋_GBK" w:hAnsi="方正仿宋_GBK" w:eastAsia="方正仿宋_GBK" w:cs="方正仿宋_GBK"/>
          <w:sz w:val="32"/>
          <w:szCs w:val="32"/>
          <w:shd w:val="clear" w:color="auto" w:fill="FFFFFF"/>
        </w:rPr>
        <w:t>度年末一般公共预算财政拨款结转和结余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万元，较上年无增减</w:t>
      </w:r>
      <w:r>
        <w:rPr>
          <w:rFonts w:hint="eastAsia" w:ascii="方正仿宋_GBK" w:hAnsi="方正仿宋_GBK" w:eastAsia="方正仿宋_GBK" w:cs="方正仿宋_GBK"/>
          <w:sz w:val="32"/>
          <w:szCs w:val="32"/>
          <w:shd w:val="clear" w:color="auto" w:fill="FFFFFF"/>
          <w:lang w:eastAsia="zh-CN"/>
        </w:rPr>
        <w:t>。</w:t>
      </w:r>
    </w:p>
    <w:p w14:paraId="477934F9">
      <w:pPr>
        <w:pStyle w:val="5"/>
        <w:snapToGrid w:val="0"/>
        <w:spacing w:before="0" w:beforeAutospacing="0" w:after="0" w:afterAutospacing="0" w:line="600" w:lineRule="exact"/>
        <w:ind w:firstLine="643" w:firstLineChars="200"/>
        <w:jc w:val="both"/>
        <w:rPr>
          <w:rFonts w:hint="default" w:ascii="方正仿宋_GBK" w:hAnsi="方正仿宋_GBK" w:eastAsia="方正仿宋_GBK" w:cs="方正仿宋_GBK"/>
          <w:color w:val="FF0000"/>
          <w:sz w:val="32"/>
          <w:szCs w:val="32"/>
          <w:highlight w:val="cyan"/>
          <w:shd w:val="clear" w:color="auto" w:fill="FFFFFF"/>
        </w:rPr>
      </w:pPr>
      <w:r>
        <w:rPr>
          <w:rStyle w:val="9"/>
          <w:rFonts w:ascii="方正仿宋_GBK" w:hAnsi="方正仿宋_GBK" w:eastAsia="方正仿宋_GBK" w:cs="方正仿宋_GBK"/>
          <w:sz w:val="32"/>
          <w:szCs w:val="32"/>
          <w:shd w:val="clear" w:color="auto" w:fill="FFFFFF"/>
        </w:rPr>
        <w:t xml:space="preserve"> 4.比较情况。</w:t>
      </w:r>
      <w:r>
        <w:rPr>
          <w:rFonts w:ascii="方正仿宋_GBK" w:hAnsi="方正仿宋_GBK" w:eastAsia="方正仿宋_GBK" w:cs="方正仿宋_GBK"/>
          <w:sz w:val="32"/>
          <w:szCs w:val="32"/>
          <w:shd w:val="clear" w:color="auto" w:fill="FFFFFF"/>
        </w:rPr>
        <w:t>本部门</w:t>
      </w:r>
      <w:r>
        <w:rPr>
          <w:rFonts w:hint="eastAsia" w:ascii="方正仿宋_GBK" w:hAnsi="方正仿宋_GBK" w:eastAsia="方正仿宋_GBK" w:cs="方正仿宋_GBK"/>
          <w:sz w:val="32"/>
          <w:szCs w:val="32"/>
          <w:shd w:val="clear" w:color="auto" w:fill="FFFFFF"/>
          <w:lang w:eastAsia="zh-CN"/>
        </w:rPr>
        <w:t>2025年</w:t>
      </w:r>
      <w:r>
        <w:rPr>
          <w:rFonts w:ascii="方正仿宋_GBK" w:hAnsi="方正仿宋_GBK" w:eastAsia="方正仿宋_GBK" w:cs="方正仿宋_GBK"/>
          <w:sz w:val="32"/>
          <w:szCs w:val="32"/>
          <w:shd w:val="clear" w:color="auto" w:fill="FFFFFF"/>
        </w:rPr>
        <w:t>度一般公共预算财政拨款支出主要用于以下几个方面：</w:t>
      </w:r>
    </w:p>
    <w:p w14:paraId="56BBC9AF">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（1）一般公共服务支出</w:t>
      </w:r>
      <w:r>
        <w:rPr>
          <w:rFonts w:ascii="方正仿宋_GBK" w:hAnsi="方正仿宋_GBK" w:eastAsia="方正仿宋_GBK" w:cs="方正仿宋_GBK"/>
          <w:sz w:val="32"/>
          <w:szCs w:val="32"/>
        </w:rPr>
        <w:t>95.08</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76.87</w:t>
      </w:r>
      <w:r>
        <w:rPr>
          <w:rFonts w:ascii="方正仿宋_GBK" w:hAnsi="方正仿宋_GBK" w:eastAsia="方正仿宋_GBK" w:cs="方正仿宋_GBK"/>
          <w:sz w:val="32"/>
          <w:szCs w:val="32"/>
          <w:shd w:val="clear" w:color="auto" w:fill="FFFFFF"/>
        </w:rPr>
        <w:t>%，完成年初预算数的104.67%，主要原因是</w:t>
      </w:r>
      <w:r>
        <w:rPr>
          <w:rFonts w:hint="eastAsia" w:ascii="方正仿宋_GBK" w:hAnsi="方正仿宋_GBK" w:eastAsia="方正仿宋_GBK" w:cs="方正仿宋_GBK"/>
          <w:color w:val="auto"/>
          <w:sz w:val="32"/>
          <w:szCs w:val="32"/>
          <w:shd w:val="clear" w:color="auto" w:fill="FFFFFF"/>
          <w:lang w:val="en-US" w:eastAsia="zh-CN"/>
        </w:rPr>
        <w:t>增人增资、社保工资标准变化等。</w:t>
      </w:r>
    </w:p>
    <w:p w14:paraId="0C59F231">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2</w:t>
      </w:r>
      <w:r>
        <w:rPr>
          <w:rFonts w:ascii="方正仿宋_GBK" w:hAnsi="方正仿宋_GBK" w:eastAsia="方正仿宋_GBK" w:cs="方正仿宋_GBK"/>
          <w:sz w:val="32"/>
          <w:szCs w:val="32"/>
          <w:shd w:val="clear" w:color="auto" w:fill="FFFFFF"/>
        </w:rPr>
        <w:t>）社会保障与就业支出</w:t>
      </w:r>
      <w:r>
        <w:rPr>
          <w:rFonts w:ascii="方正仿宋_GBK" w:hAnsi="方正仿宋_GBK" w:eastAsia="方正仿宋_GBK" w:cs="方正仿宋_GBK"/>
          <w:sz w:val="32"/>
          <w:szCs w:val="32"/>
        </w:rPr>
        <w:t>16.83</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13.61</w:t>
      </w:r>
      <w:r>
        <w:rPr>
          <w:rFonts w:ascii="方正仿宋_GBK" w:hAnsi="方正仿宋_GBK" w:eastAsia="方正仿宋_GBK" w:cs="方正仿宋_GBK"/>
          <w:sz w:val="32"/>
          <w:szCs w:val="32"/>
          <w:shd w:val="clear" w:color="auto" w:fill="FFFFFF"/>
        </w:rPr>
        <w:t>%，完成年初预算数的100.00%，较年初预算数无增减</w:t>
      </w:r>
      <w:r>
        <w:rPr>
          <w:rFonts w:hint="eastAsia" w:ascii="方正仿宋_GBK" w:hAnsi="方正仿宋_GBK" w:eastAsia="方正仿宋_GBK" w:cs="方正仿宋_GBK"/>
          <w:sz w:val="32"/>
          <w:szCs w:val="32"/>
          <w:shd w:val="clear" w:color="auto" w:fill="FFFFFF"/>
          <w:lang w:eastAsia="zh-CN"/>
        </w:rPr>
        <w:t>。</w:t>
      </w:r>
    </w:p>
    <w:p w14:paraId="3D0486C0">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）卫生健康支出</w:t>
      </w:r>
      <w:r>
        <w:rPr>
          <w:rFonts w:ascii="方正仿宋_GBK" w:hAnsi="方正仿宋_GBK" w:eastAsia="方正仿宋_GBK" w:cs="方正仿宋_GBK"/>
          <w:sz w:val="32"/>
          <w:szCs w:val="32"/>
        </w:rPr>
        <w:t>6.14</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4.96</w:t>
      </w:r>
      <w:r>
        <w:rPr>
          <w:rFonts w:ascii="方正仿宋_GBK" w:hAnsi="方正仿宋_GBK" w:eastAsia="方正仿宋_GBK" w:cs="方正仿宋_GBK"/>
          <w:sz w:val="32"/>
          <w:szCs w:val="32"/>
          <w:shd w:val="clear" w:color="auto" w:fill="FFFFFF"/>
        </w:rPr>
        <w:t>%，完成年初预算数的100.00%，较年初预算数无增减</w:t>
      </w:r>
      <w:r>
        <w:rPr>
          <w:rFonts w:hint="eastAsia" w:ascii="方正仿宋_GBK" w:hAnsi="方正仿宋_GBK" w:eastAsia="方正仿宋_GBK" w:cs="方正仿宋_GBK"/>
          <w:sz w:val="32"/>
          <w:szCs w:val="32"/>
          <w:shd w:val="clear" w:color="auto" w:fill="FFFFFF"/>
          <w:lang w:eastAsia="zh-CN"/>
        </w:rPr>
        <w:t>。</w:t>
      </w:r>
    </w:p>
    <w:p w14:paraId="4E6CA8ED">
      <w:pPr>
        <w:ind w:firstLine="640" w:firstLineChars="200"/>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住房保障支出5.64</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4.56</w:t>
      </w:r>
      <w:r>
        <w:rPr>
          <w:rFonts w:ascii="方正仿宋_GBK" w:hAnsi="方正仿宋_GBK" w:eastAsia="方正仿宋_GBK" w:cs="方正仿宋_GBK"/>
          <w:sz w:val="32"/>
          <w:szCs w:val="32"/>
          <w:shd w:val="clear" w:color="auto" w:fill="FFFFFF"/>
        </w:rPr>
        <w:t>%，完成年初预算数的100.00%，较年初预算数无增减</w:t>
      </w:r>
      <w:r>
        <w:rPr>
          <w:rFonts w:hint="eastAsia" w:ascii="方正仿宋_GBK" w:hAnsi="方正仿宋_GBK" w:eastAsia="方正仿宋_GBK" w:cs="方正仿宋_GBK"/>
          <w:sz w:val="32"/>
          <w:szCs w:val="32"/>
          <w:shd w:val="clear" w:color="auto" w:fill="FFFFFF"/>
          <w:lang w:eastAsia="zh-CN"/>
        </w:rPr>
        <w:t>。</w:t>
      </w:r>
    </w:p>
    <w:p w14:paraId="333E4059">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（四）一般公共预算财政拨款基本支出决算情况说明</w:t>
      </w:r>
    </w:p>
    <w:p w14:paraId="122633EE">
      <w:pPr>
        <w:pStyle w:val="10"/>
        <w:widowControl/>
        <w:autoSpaceDE w:val="0"/>
        <w:ind w:firstLine="640"/>
        <w:jc w:val="left"/>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w:t>
      </w:r>
      <w:r>
        <w:rPr>
          <w:rFonts w:hint="eastAsia" w:ascii="方正仿宋_GBK" w:hAnsi="方正仿宋_GBK" w:eastAsia="方正仿宋_GBK" w:cs="方正仿宋_GBK"/>
          <w:sz w:val="32"/>
          <w:szCs w:val="32"/>
          <w:shd w:val="clear" w:color="auto" w:fill="FFFFFF"/>
          <w:lang w:eastAsia="zh-CN"/>
        </w:rPr>
        <w:t>2025年</w:t>
      </w:r>
      <w:r>
        <w:rPr>
          <w:rFonts w:ascii="方正仿宋_GBK" w:hAnsi="方正仿宋_GBK" w:eastAsia="方正仿宋_GBK" w:cs="方正仿宋_GBK"/>
          <w:sz w:val="32"/>
          <w:szCs w:val="32"/>
          <w:shd w:val="clear" w:color="auto" w:fill="FFFFFF"/>
        </w:rPr>
        <w:t>度一般公共财政拨款基本支出</w:t>
      </w:r>
      <w:r>
        <w:rPr>
          <w:rFonts w:ascii="方正仿宋_GBK" w:hAnsi="方正仿宋_GBK" w:eastAsia="方正仿宋_GBK" w:cs="方正仿宋_GBK"/>
          <w:sz w:val="32"/>
          <w:szCs w:val="32"/>
        </w:rPr>
        <w:t>123.68</w:t>
      </w:r>
      <w:r>
        <w:rPr>
          <w:rFonts w:ascii="方正仿宋_GBK" w:hAnsi="方正仿宋_GBK" w:eastAsia="方正仿宋_GBK" w:cs="方正仿宋_GBK"/>
          <w:sz w:val="32"/>
          <w:szCs w:val="32"/>
          <w:shd w:val="clear" w:color="auto" w:fill="FFFFFF"/>
        </w:rPr>
        <w:t>万元。其中：人员经费</w:t>
      </w:r>
      <w:r>
        <w:rPr>
          <w:rFonts w:ascii="方正仿宋_GBK" w:hAnsi="方正仿宋_GBK" w:eastAsia="方正仿宋_GBK" w:cs="方正仿宋_GBK"/>
          <w:sz w:val="32"/>
          <w:szCs w:val="32"/>
        </w:rPr>
        <w:t>116.85</w:t>
      </w:r>
      <w:r>
        <w:rPr>
          <w:rFonts w:ascii="方正仿宋_GBK" w:hAnsi="方正仿宋_GBK" w:eastAsia="方正仿宋_GBK" w:cs="方正仿宋_GBK"/>
          <w:sz w:val="32"/>
          <w:szCs w:val="32"/>
          <w:shd w:val="clear" w:color="auto" w:fill="FFFFFF"/>
        </w:rPr>
        <w:t>万元，较上年增加67.73万元，增长137.89%，主要原因是</w:t>
      </w:r>
      <w:r>
        <w:rPr>
          <w:rFonts w:hint="eastAsia" w:ascii="方正仿宋_GBK" w:hAnsi="方正仿宋_GBK" w:eastAsia="方正仿宋_GBK" w:cs="方正仿宋_GBK"/>
          <w:color w:val="auto"/>
          <w:sz w:val="32"/>
          <w:szCs w:val="32"/>
          <w:shd w:val="clear" w:color="auto" w:fill="FFFFFF"/>
        </w:rPr>
        <w:t>机构调整，事业站数量由7个变为5个，本单位人员数量增加，</w:t>
      </w:r>
      <w:r>
        <w:rPr>
          <w:rFonts w:hint="eastAsia" w:ascii="方正仿宋_GBK" w:hAnsi="方正仿宋_GBK" w:eastAsia="方正仿宋_GBK" w:cs="方正仿宋_GBK"/>
          <w:color w:val="auto"/>
          <w:sz w:val="32"/>
          <w:szCs w:val="32"/>
          <w:shd w:val="clear" w:color="auto" w:fill="FFFFFF"/>
          <w:lang w:val="en-US" w:eastAsia="zh-CN"/>
        </w:rPr>
        <w:t>人员支出</w:t>
      </w:r>
      <w:r>
        <w:rPr>
          <w:rFonts w:hint="eastAsia" w:ascii="方正仿宋_GBK" w:hAnsi="方正仿宋_GBK" w:eastAsia="方正仿宋_GBK" w:cs="方正仿宋_GBK"/>
          <w:color w:val="auto"/>
          <w:sz w:val="32"/>
          <w:szCs w:val="32"/>
          <w:shd w:val="clear" w:color="auto" w:fill="FFFFFF"/>
        </w:rPr>
        <w:t>增加。</w:t>
      </w:r>
      <w:r>
        <w:rPr>
          <w:rFonts w:ascii="方正仿宋_GBK" w:hAnsi="方正仿宋_GBK" w:eastAsia="方正仿宋_GBK" w:cs="方正仿宋_GBK"/>
          <w:sz w:val="32"/>
          <w:szCs w:val="32"/>
          <w:shd w:val="clear" w:color="auto" w:fill="FFFFFF"/>
        </w:rPr>
        <w:t>人员经费用途主要包括</w:t>
      </w:r>
      <w:r>
        <w:rPr>
          <w:rFonts w:hint="eastAsia" w:ascii="方正仿宋_GBK" w:hAnsi="方正仿宋_GBK" w:eastAsia="方正仿宋_GBK" w:cs="方正仿宋_GBK"/>
          <w:color w:val="auto"/>
          <w:sz w:val="32"/>
          <w:szCs w:val="32"/>
          <w:shd w:val="clear" w:color="auto" w:fill="FFFFFF"/>
        </w:rPr>
        <w:t>基本工资、津贴补贴、奖金、年度考核奖、绩效工资、社会保障缴费、公积金缴费等。</w:t>
      </w:r>
      <w:r>
        <w:rPr>
          <w:rFonts w:ascii="方正仿宋_GBK" w:hAnsi="方正仿宋_GBK" w:eastAsia="方正仿宋_GBK" w:cs="方正仿宋_GBK"/>
          <w:sz w:val="32"/>
          <w:szCs w:val="32"/>
          <w:shd w:val="clear" w:color="auto" w:fill="FFFFFF"/>
        </w:rPr>
        <w:t>公用经费</w:t>
      </w:r>
      <w:r>
        <w:rPr>
          <w:rFonts w:ascii="方正仿宋_GBK" w:hAnsi="方正仿宋_GBK" w:eastAsia="方正仿宋_GBK" w:cs="方正仿宋_GBK"/>
          <w:sz w:val="32"/>
          <w:szCs w:val="32"/>
        </w:rPr>
        <w:t>6.83</w:t>
      </w:r>
      <w:r>
        <w:rPr>
          <w:rFonts w:ascii="方正仿宋_GBK" w:hAnsi="方正仿宋_GBK" w:eastAsia="方正仿宋_GBK" w:cs="方正仿宋_GBK"/>
          <w:sz w:val="32"/>
          <w:szCs w:val="32"/>
          <w:shd w:val="clear" w:color="auto" w:fill="FFFFFF"/>
        </w:rPr>
        <w:t>万元，较上年增加5.34万元，增长358.39%，主要原因是</w:t>
      </w:r>
      <w:r>
        <w:rPr>
          <w:rFonts w:hint="eastAsia" w:ascii="方正仿宋_GBK" w:hAnsi="方正仿宋_GBK" w:eastAsia="方正仿宋_GBK" w:cs="方正仿宋_GBK"/>
          <w:color w:val="auto"/>
          <w:sz w:val="32"/>
          <w:szCs w:val="32"/>
          <w:shd w:val="clear" w:color="auto" w:fill="FFFFFF"/>
        </w:rPr>
        <w:t>机构调整，事业站数量由7个变为5个，本单位人员数量增加，</w:t>
      </w:r>
      <w:r>
        <w:rPr>
          <w:rFonts w:hint="eastAsia" w:ascii="方正仿宋_GBK" w:hAnsi="方正仿宋_GBK" w:eastAsia="方正仿宋_GBK" w:cs="方正仿宋_GBK"/>
          <w:color w:val="auto"/>
          <w:sz w:val="32"/>
          <w:szCs w:val="32"/>
          <w:shd w:val="clear" w:color="auto" w:fill="FFFFFF"/>
          <w:lang w:val="en-US" w:eastAsia="zh-CN"/>
        </w:rPr>
        <w:t>公用经费</w:t>
      </w:r>
      <w:r>
        <w:rPr>
          <w:rFonts w:hint="eastAsia" w:ascii="方正仿宋_GBK" w:hAnsi="方正仿宋_GBK" w:eastAsia="方正仿宋_GBK" w:cs="方正仿宋_GBK"/>
          <w:color w:val="auto"/>
          <w:sz w:val="32"/>
          <w:szCs w:val="32"/>
          <w:shd w:val="clear" w:color="auto" w:fill="FFFFFF"/>
        </w:rPr>
        <w:t>增加。</w:t>
      </w:r>
      <w:r>
        <w:rPr>
          <w:rFonts w:ascii="方正仿宋_GBK" w:hAnsi="方正仿宋_GBK" w:eastAsia="方正仿宋_GBK" w:cs="方正仿宋_GBK"/>
          <w:sz w:val="32"/>
          <w:szCs w:val="32"/>
          <w:shd w:val="clear" w:color="auto" w:fill="FFFFFF"/>
        </w:rPr>
        <w:t>公用经费用途主要包括</w:t>
      </w:r>
      <w:r>
        <w:rPr>
          <w:rFonts w:hint="eastAsia" w:ascii="方正仿宋_GBK" w:hAnsi="方正仿宋_GBK" w:eastAsia="方正仿宋_GBK" w:cs="方正仿宋_GBK"/>
          <w:color w:val="auto"/>
          <w:kern w:val="0"/>
          <w:sz w:val="32"/>
          <w:szCs w:val="32"/>
          <w:shd w:val="clear" w:color="auto" w:fill="FFFFFF"/>
          <w:lang w:val="en-US" w:eastAsia="zh-CN" w:bidi="ar-SA"/>
        </w:rPr>
        <w:t>办公费、印刷费、水电费、邮电费、公务接待费、公务用车运行维护费、劳务费、物业管理费、维修费等</w:t>
      </w:r>
      <w:r>
        <w:rPr>
          <w:rFonts w:ascii="方正仿宋_GBK" w:hAnsi="方正仿宋_GBK" w:eastAsia="方正仿宋_GBK" w:cs="方正仿宋_GBK"/>
          <w:color w:val="auto"/>
          <w:kern w:val="0"/>
          <w:sz w:val="32"/>
          <w:szCs w:val="32"/>
          <w:shd w:val="clear" w:color="auto" w:fill="FFFFFF"/>
          <w:lang w:val="en-US" w:eastAsia="zh-CN" w:bidi="ar-SA"/>
        </w:rPr>
        <w:t>。</w:t>
      </w:r>
    </w:p>
    <w:p w14:paraId="6E935B76">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（五）政府性基金预算收支决算情况说明</w:t>
      </w:r>
    </w:p>
    <w:p w14:paraId="1F679DF9">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auto"/>
          <w:kern w:val="0"/>
          <w:sz w:val="32"/>
          <w:szCs w:val="32"/>
          <w:shd w:val="clear" w:color="auto" w:fill="FFFFFF"/>
          <w:lang w:val="en-US" w:eastAsia="zh-CN" w:bidi="ar-SA"/>
        </w:rPr>
      </w:pPr>
      <w:r>
        <w:rPr>
          <w:rFonts w:hint="eastAsia" w:ascii="方正仿宋_GBK" w:hAnsi="方正仿宋_GBK" w:eastAsia="方正仿宋_GBK" w:cs="方正仿宋_GBK"/>
          <w:color w:val="auto"/>
          <w:kern w:val="0"/>
          <w:sz w:val="32"/>
          <w:szCs w:val="32"/>
          <w:shd w:val="clear" w:color="auto" w:fill="FFFFFF"/>
          <w:lang w:val="en-US" w:eastAsia="zh-CN" w:bidi="ar-SA"/>
        </w:rPr>
        <w:t>本单位2025年度无政府性基金预算财政拨款收支。</w:t>
      </w:r>
    </w:p>
    <w:p w14:paraId="40B61EFC">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（六）国有资本经营预算财政拨款支出决算情况说明</w:t>
      </w:r>
    </w:p>
    <w:p w14:paraId="6F8EF2EC">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auto"/>
          <w:kern w:val="0"/>
          <w:sz w:val="32"/>
          <w:szCs w:val="32"/>
          <w:shd w:val="clear" w:color="auto" w:fill="FFFFFF"/>
          <w:lang w:val="en-US" w:eastAsia="zh-CN" w:bidi="ar-SA"/>
        </w:rPr>
      </w:pPr>
      <w:r>
        <w:rPr>
          <w:rFonts w:hint="eastAsia" w:ascii="方正仿宋_GBK" w:hAnsi="方正仿宋_GBK" w:eastAsia="方正仿宋_GBK" w:cs="方正仿宋_GBK"/>
          <w:color w:val="auto"/>
          <w:kern w:val="0"/>
          <w:sz w:val="32"/>
          <w:szCs w:val="32"/>
          <w:shd w:val="clear" w:color="auto" w:fill="FFFFFF"/>
          <w:lang w:val="en-US" w:eastAsia="zh-CN" w:bidi="ar-SA"/>
        </w:rPr>
        <w:t>本单位2025年度无国有资本经营预算财政拨款支出。</w:t>
      </w:r>
    </w:p>
    <w:p w14:paraId="1CDDB549">
      <w:pPr>
        <w:pStyle w:val="5"/>
        <w:shd w:val="clear" w:color="auto" w:fill="FFFFFF"/>
        <w:rPr>
          <w:rStyle w:val="9"/>
          <w:rFonts w:hint="eastAsia" w:ascii="黑体" w:hAnsi="黑体" w:eastAsia="黑体" w:cs="黑体"/>
          <w:sz w:val="32"/>
          <w:szCs w:val="32"/>
          <w:shd w:val="clear" w:color="auto" w:fill="FFFFFF"/>
        </w:rPr>
      </w:pPr>
      <w:r>
        <w:rPr>
          <w:rStyle w:val="9"/>
          <w:rFonts w:hint="eastAsia" w:ascii="黑体" w:hAnsi="黑体" w:eastAsia="黑体" w:cs="黑体"/>
          <w:sz w:val="32"/>
          <w:szCs w:val="32"/>
          <w:shd w:val="clear" w:color="auto" w:fill="FFFFFF"/>
        </w:rPr>
        <w:t>三、“三公”经费情况说明</w:t>
      </w:r>
    </w:p>
    <w:p w14:paraId="41EFDD32">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（一）“三公”经费支出总体情况说明</w:t>
      </w:r>
    </w:p>
    <w:p w14:paraId="6BBAF33E">
      <w:pPr>
        <w:pStyle w:val="10"/>
        <w:autoSpaceDE w:val="0"/>
        <w:ind w:firstLine="640"/>
        <w:rPr>
          <w:rFonts w:hint="eastAsia" w:ascii="方正仿宋_GBK" w:hAnsi="方正仿宋_GBK" w:eastAsia="方正仿宋_GBK" w:cs="方正仿宋_GBK"/>
          <w:sz w:val="32"/>
          <w:szCs w:val="32"/>
          <w:shd w:val="clear" w:color="auto" w:fill="FFFFFF"/>
          <w:lang w:eastAsia="zh-CN"/>
        </w:rPr>
      </w:pPr>
      <w:r>
        <w:rPr>
          <w:rFonts w:hint="eastAsia" w:ascii="方正仿宋_GBK" w:hAnsi="方正仿宋_GBK" w:eastAsia="方正仿宋_GBK" w:cs="方正仿宋_GBK"/>
          <w:sz w:val="32"/>
          <w:szCs w:val="32"/>
          <w:shd w:val="clear" w:color="auto" w:fill="FFFFFF"/>
          <w:lang w:eastAsia="zh-CN"/>
        </w:rPr>
        <w:t>本单位与街道办事处本级合并办公，三公经费开支由街道本级统一预算，统一审批开支，故本单位无三公经费支出情况。</w:t>
      </w:r>
    </w:p>
    <w:p w14:paraId="1EA48F40">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（二）“三公”经费分项支出情况</w:t>
      </w:r>
    </w:p>
    <w:p w14:paraId="322D21BD">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hint="eastAsia" w:ascii="方正仿宋_GBK" w:hAnsi="方正仿宋_GBK" w:eastAsia="方正仿宋_GBK" w:cs="方正仿宋_GBK"/>
          <w:sz w:val="32"/>
          <w:szCs w:val="32"/>
          <w:shd w:val="clear" w:color="auto" w:fill="FFFFFF"/>
          <w:lang w:eastAsia="zh-CN"/>
        </w:rPr>
        <w:t>本单位202</w:t>
      </w:r>
      <w:r>
        <w:rPr>
          <w:rFonts w:hint="eastAsia" w:ascii="方正仿宋_GBK" w:hAnsi="方正仿宋_GBK" w:eastAsia="方正仿宋_GBK" w:cs="方正仿宋_GBK"/>
          <w:sz w:val="32"/>
          <w:szCs w:val="32"/>
          <w:shd w:val="clear" w:color="auto" w:fill="FFFFFF"/>
          <w:lang w:val="en-US" w:eastAsia="zh-CN"/>
        </w:rPr>
        <w:t>5</w:t>
      </w:r>
      <w:r>
        <w:rPr>
          <w:rFonts w:hint="eastAsia" w:ascii="方正仿宋_GBK" w:hAnsi="方正仿宋_GBK" w:eastAsia="方正仿宋_GBK" w:cs="方正仿宋_GBK"/>
          <w:sz w:val="32"/>
          <w:szCs w:val="32"/>
          <w:shd w:val="clear" w:color="auto" w:fill="FFFFFF"/>
          <w:lang w:eastAsia="zh-CN"/>
        </w:rPr>
        <w:t>年度未产生因公出国（境）费用、公务车购置费用、公务车运行维护费、公务接待费等支出。</w:t>
      </w:r>
    </w:p>
    <w:p w14:paraId="3593E613">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（三）“三公”经费实物量情况</w:t>
      </w:r>
    </w:p>
    <w:p w14:paraId="7176A978">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xml:space="preserve">  </w:t>
      </w:r>
      <w:r>
        <w:rPr>
          <w:rFonts w:hint="eastAsia" w:ascii="方正仿宋_GBK" w:hAnsi="方正仿宋_GBK" w:eastAsia="方正仿宋_GBK" w:cs="方正仿宋_GBK"/>
          <w:sz w:val="32"/>
          <w:szCs w:val="32"/>
          <w:shd w:val="clear" w:color="auto" w:fill="FFFFFF"/>
          <w:lang w:eastAsia="zh-CN"/>
        </w:rPr>
        <w:t>202</w:t>
      </w:r>
      <w:r>
        <w:rPr>
          <w:rFonts w:hint="eastAsia" w:ascii="方正仿宋_GBK" w:hAnsi="方正仿宋_GBK" w:eastAsia="方正仿宋_GBK" w:cs="方正仿宋_GBK"/>
          <w:sz w:val="32"/>
          <w:szCs w:val="32"/>
          <w:shd w:val="clear" w:color="auto" w:fill="FFFFFF"/>
          <w:lang w:val="en-US" w:eastAsia="zh-CN"/>
        </w:rPr>
        <w:t>5</w:t>
      </w:r>
      <w:r>
        <w:rPr>
          <w:rFonts w:hint="eastAsia" w:ascii="方正仿宋_GBK" w:hAnsi="方正仿宋_GBK" w:eastAsia="方正仿宋_GBK" w:cs="方正仿宋_GBK"/>
          <w:sz w:val="32"/>
          <w:szCs w:val="32"/>
          <w:shd w:val="clear" w:color="auto" w:fill="FFFFFF"/>
          <w:lang w:eastAsia="zh-CN"/>
        </w:rPr>
        <w:t>年</w:t>
      </w:r>
      <w:r>
        <w:rPr>
          <w:rFonts w:ascii="方正仿宋_GBK" w:hAnsi="方正仿宋_GBK" w:eastAsia="方正仿宋_GBK" w:cs="方正仿宋_GBK"/>
          <w:sz w:val="32"/>
          <w:szCs w:val="32"/>
          <w:shd w:val="clear" w:color="auto" w:fill="FFFFFF"/>
        </w:rPr>
        <w:t>度本</w:t>
      </w:r>
      <w:r>
        <w:rPr>
          <w:rFonts w:hint="eastAsia" w:ascii="方正仿宋_GBK" w:hAnsi="方正仿宋_GBK" w:eastAsia="方正仿宋_GBK" w:cs="方正仿宋_GBK"/>
          <w:sz w:val="32"/>
          <w:szCs w:val="32"/>
          <w:shd w:val="clear" w:color="auto" w:fill="FFFFFF"/>
          <w:lang w:eastAsia="zh-CN"/>
        </w:rPr>
        <w:t>单位</w:t>
      </w:r>
      <w:r>
        <w:rPr>
          <w:rFonts w:ascii="方正仿宋_GBK" w:hAnsi="方正仿宋_GBK" w:eastAsia="方正仿宋_GBK" w:cs="方正仿宋_GBK"/>
          <w:sz w:val="32"/>
          <w:szCs w:val="32"/>
          <w:shd w:val="clear" w:color="auto" w:fill="FFFFFF"/>
        </w:rPr>
        <w:t>公务用车购置</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辆，公务车保有量为</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w:t>
      </w:r>
      <w:r>
        <w:rPr>
          <w:rFonts w:hint="eastAsia" w:ascii="方正仿宋_GBK" w:hAnsi="方正仿宋_GBK" w:eastAsia="方正仿宋_GBK" w:cs="方正仿宋_GBK"/>
          <w:sz w:val="32"/>
          <w:szCs w:val="32"/>
          <w:shd w:val="clear" w:color="auto" w:fill="FFFFFF"/>
          <w:lang w:eastAsia="zh-CN"/>
        </w:rPr>
        <w:t>。</w:t>
      </w:r>
    </w:p>
    <w:p w14:paraId="6E8FE365">
      <w:pPr>
        <w:pStyle w:val="5"/>
        <w:shd w:val="clear" w:color="auto" w:fill="FFFFFF"/>
        <w:rPr>
          <w:rStyle w:val="9"/>
          <w:rFonts w:hint="default" w:ascii="方正仿宋_GBK" w:hAnsi="方正仿宋_GBK" w:eastAsia="方正仿宋_GBK" w:cs="方正仿宋_GBK"/>
          <w:sz w:val="32"/>
          <w:szCs w:val="32"/>
          <w:shd w:val="clear" w:color="auto" w:fill="FFFFFF"/>
        </w:rPr>
      </w:pPr>
      <w:r>
        <w:rPr>
          <w:rStyle w:val="9"/>
          <w:rFonts w:hint="eastAsia" w:ascii="黑体" w:hAnsi="黑体" w:eastAsia="黑体" w:cs="黑体"/>
          <w:sz w:val="32"/>
          <w:szCs w:val="32"/>
          <w:shd w:val="clear" w:color="auto" w:fill="FFFFFF"/>
        </w:rPr>
        <w:t>四、其他需要说明的事项</w:t>
      </w:r>
    </w:p>
    <w:p w14:paraId="60AFFCFB">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  （一）财政拨款会议费和培训费情况说明</w:t>
      </w:r>
    </w:p>
    <w:p w14:paraId="6C69A5BF">
      <w:pPr>
        <w:pStyle w:val="10"/>
        <w:autoSpaceDE w:val="0"/>
        <w:ind w:firstLine="640"/>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本年度会议费支出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万元，较上年无增减</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本年度培训费支出</w:t>
      </w:r>
      <w:r>
        <w:rPr>
          <w:rFonts w:ascii="方正仿宋_GBK" w:hAnsi="方正仿宋_GBK" w:eastAsia="方正仿宋_GBK" w:cs="方正仿宋_GBK"/>
          <w:sz w:val="32"/>
          <w:szCs w:val="32"/>
        </w:rPr>
        <w:t>0.70</w:t>
      </w:r>
      <w:r>
        <w:rPr>
          <w:rFonts w:ascii="方正仿宋_GBK" w:hAnsi="方正仿宋_GBK" w:eastAsia="方正仿宋_GBK" w:cs="方正仿宋_GBK"/>
          <w:sz w:val="32"/>
          <w:szCs w:val="32"/>
          <w:shd w:val="clear" w:color="auto" w:fill="FFFFFF"/>
        </w:rPr>
        <w:t>万元，较上年增加</w:t>
      </w:r>
      <w:r>
        <w:rPr>
          <w:rFonts w:hint="eastAsia" w:ascii="方正仿宋_GBK" w:hAnsi="方正仿宋_GBK" w:eastAsia="方正仿宋_GBK" w:cs="方正仿宋_GBK"/>
          <w:sz w:val="32"/>
          <w:szCs w:val="32"/>
          <w:shd w:val="clear" w:color="auto" w:fill="FFFFFF"/>
          <w:lang w:val="en-US" w:eastAsia="zh-CN"/>
        </w:rPr>
        <w:t>0</w:t>
      </w:r>
      <w:r>
        <w:rPr>
          <w:rFonts w:ascii="方正仿宋_GBK" w:hAnsi="方正仿宋_GBK" w:eastAsia="方正仿宋_GBK" w:cs="方正仿宋_GBK"/>
          <w:sz w:val="32"/>
          <w:szCs w:val="32"/>
          <w:shd w:val="clear" w:color="auto" w:fill="FFFFFF"/>
        </w:rPr>
        <w:t>.37万元，增长112.12%，主要原因是</w:t>
      </w:r>
      <w:r>
        <w:rPr>
          <w:rFonts w:hint="eastAsia" w:ascii="方正仿宋_GBK" w:hAnsi="方正仿宋_GBK" w:eastAsia="方正仿宋_GBK" w:cs="方正仿宋_GBK"/>
          <w:sz w:val="32"/>
          <w:szCs w:val="32"/>
          <w:shd w:val="clear" w:color="auto" w:fill="FFFFFF"/>
        </w:rPr>
        <w:t>事业站数量由7个变为5个，本单位人员数量增加，对应培训费支出增加。</w:t>
      </w:r>
    </w:p>
    <w:p w14:paraId="00966095">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（二）机关运行经费情况说明</w:t>
      </w:r>
    </w:p>
    <w:p w14:paraId="12520279">
      <w:pPr>
        <w:pStyle w:val="10"/>
        <w:autoSpaceDE w:val="0"/>
        <w:ind w:firstLine="640"/>
        <w:rPr>
          <w:rFonts w:hint="eastAsia" w:ascii="方正仿宋_GBK" w:hAnsi="方正仿宋_GBK" w:eastAsia="方正仿宋_GBK" w:cs="方正仿宋_GBK"/>
          <w:sz w:val="32"/>
          <w:szCs w:val="32"/>
          <w:shd w:val="clear" w:color="auto" w:fill="FFFFFF"/>
          <w:lang w:eastAsia="zh-CN"/>
        </w:rPr>
      </w:pPr>
      <w:r>
        <w:rPr>
          <w:rFonts w:hint="eastAsia" w:ascii="方正仿宋_GBK" w:hAnsi="方正仿宋_GBK" w:eastAsia="方正仿宋_GBK" w:cs="方正仿宋_GBK"/>
          <w:sz w:val="32"/>
          <w:szCs w:val="32"/>
          <w:shd w:val="clear" w:color="auto" w:fill="FFFFFF"/>
          <w:lang w:eastAsia="zh-CN"/>
        </w:rPr>
        <w:t>2025年度本单位未产生机关运行经费支出，主要原因是本单位与街道办事处本级合并办公，机关运行经费开支由街道本级统一预算，统一审批开支，故本单位无机关运行经费支出情况。</w:t>
      </w:r>
    </w:p>
    <w:p w14:paraId="751C3CE6">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（三）国有资产占用情况说明</w:t>
      </w:r>
    </w:p>
    <w:p w14:paraId="139FCFCB">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FF0000"/>
          <w:sz w:val="32"/>
          <w:szCs w:val="32"/>
        </w:rPr>
      </w:pPr>
      <w:r>
        <w:rPr>
          <w:rFonts w:ascii="方正仿宋_GBK" w:hAnsi="方正仿宋_GBK" w:eastAsia="方正仿宋_GBK" w:cs="方正仿宋_GBK"/>
          <w:sz w:val="32"/>
          <w:szCs w:val="32"/>
          <w:shd w:val="clear" w:color="auto" w:fill="FFFFFF"/>
        </w:rPr>
        <w:t>截至</w:t>
      </w:r>
      <w:r>
        <w:rPr>
          <w:rFonts w:hint="eastAsia" w:ascii="方正仿宋_GBK" w:hAnsi="方正仿宋_GBK" w:eastAsia="方正仿宋_GBK" w:cs="方正仿宋_GBK"/>
          <w:sz w:val="32"/>
          <w:szCs w:val="32"/>
          <w:shd w:val="clear" w:color="auto" w:fill="FFFFFF"/>
          <w:lang w:eastAsia="zh-CN"/>
        </w:rPr>
        <w:t>2025年</w:t>
      </w:r>
      <w:r>
        <w:rPr>
          <w:rFonts w:ascii="方正仿宋_GBK" w:hAnsi="方正仿宋_GBK" w:eastAsia="方正仿宋_GBK" w:cs="方正仿宋_GBK"/>
          <w:sz w:val="32"/>
          <w:szCs w:val="32"/>
          <w:shd w:val="clear" w:color="auto" w:fill="FFFFFF"/>
        </w:rPr>
        <w:t>12月31日，本部门共有车辆</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w:t>
      </w:r>
    </w:p>
    <w:p w14:paraId="3E562224">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（四）政府采购支出情况说明</w:t>
      </w:r>
    </w:p>
    <w:p w14:paraId="2CCB4E9E">
      <w:pPr>
        <w:pStyle w:val="10"/>
        <w:numPr>
          <w:ilvl w:val="0"/>
          <w:numId w:val="0"/>
        </w:numPr>
        <w:autoSpaceDE w:val="0"/>
        <w:ind w:leftChars="200" w:firstLine="320" w:firstLineChars="100"/>
        <w:rPr>
          <w:rFonts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 </w:t>
      </w:r>
      <w:r>
        <w:rPr>
          <w:rFonts w:hint="eastAsia" w:ascii="方正仿宋_GBK" w:hAnsi="方正仿宋_GBK" w:eastAsia="方正仿宋_GBK" w:cs="方正仿宋_GBK"/>
          <w:color w:val="auto"/>
          <w:sz w:val="32"/>
          <w:szCs w:val="32"/>
          <w:shd w:val="clear" w:color="auto" w:fill="FFFFFF"/>
          <w:lang w:eastAsia="zh-CN"/>
        </w:rPr>
        <w:t>2025年</w:t>
      </w:r>
      <w:r>
        <w:rPr>
          <w:rFonts w:hint="eastAsia" w:ascii="方正仿宋_GBK" w:hAnsi="方正仿宋_GBK" w:eastAsia="方正仿宋_GBK" w:cs="方正仿宋_GBK"/>
          <w:color w:val="auto"/>
          <w:sz w:val="32"/>
          <w:szCs w:val="32"/>
          <w:shd w:val="clear" w:color="auto" w:fill="FFFFFF"/>
        </w:rPr>
        <w:t>度我单位未发生政府采购事项，无相关经费支出。</w:t>
      </w:r>
    </w:p>
    <w:p w14:paraId="6B630436">
      <w:pPr>
        <w:pStyle w:val="5"/>
        <w:numPr>
          <w:ilvl w:val="0"/>
          <w:numId w:val="1"/>
        </w:numPr>
        <w:shd w:val="clear" w:color="auto" w:fill="FFFFFF"/>
        <w:rPr>
          <w:rStyle w:val="9"/>
          <w:rFonts w:hint="eastAsia" w:ascii="黑体" w:hAnsi="黑体" w:eastAsia="黑体" w:cs="黑体"/>
          <w:sz w:val="32"/>
          <w:szCs w:val="32"/>
          <w:shd w:val="clear" w:color="auto" w:fill="FFFFFF"/>
        </w:rPr>
      </w:pPr>
      <w:r>
        <w:rPr>
          <w:rStyle w:val="9"/>
          <w:rFonts w:hint="eastAsia" w:ascii="黑体" w:hAnsi="黑体" w:eastAsia="黑体" w:cs="黑体"/>
          <w:sz w:val="32"/>
          <w:szCs w:val="32"/>
          <w:shd w:val="clear" w:color="auto" w:fill="FFFFFF"/>
        </w:rPr>
        <w:t>预算绩效管理情况说明</w:t>
      </w:r>
    </w:p>
    <w:p w14:paraId="22156EED">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（一）单位自评情况</w:t>
      </w:r>
    </w:p>
    <w:p w14:paraId="1D1A2DB4">
      <w:pPr>
        <w:pStyle w:val="11"/>
        <w:spacing w:before="0" w:beforeAutospacing="0"/>
        <w:ind w:firstLine="640" w:firstLineChars="200"/>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shd w:val="clear" w:color="auto" w:fill="FFFFFF"/>
          <w:lang w:bidi="ar"/>
        </w:rPr>
        <w:t>本单位本年无项目资金，项目主要由街道本级统一管理，统一实施，故未开展项目绩效目标编制。</w:t>
      </w:r>
    </w:p>
    <w:p w14:paraId="3489CE54">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（二）部门绩效评价情况</w:t>
      </w:r>
    </w:p>
    <w:p w14:paraId="3A6E90C4">
      <w:pPr>
        <w:pStyle w:val="5"/>
        <w:shd w:val="clear" w:color="auto" w:fill="FFFFFF"/>
        <w:ind w:firstLine="640" w:firstLineChars="200"/>
        <w:rPr>
          <w:rFonts w:hint="eastAsia" w:ascii="方正仿宋_GBK" w:hAnsi="方正仿宋_GBK" w:eastAsia="方正仿宋_GBK" w:cs="方正仿宋_GBK"/>
          <w:sz w:val="32"/>
          <w:szCs w:val="32"/>
          <w:shd w:val="clear" w:color="auto" w:fill="FFFFFF"/>
          <w:lang w:bidi="ar"/>
        </w:rPr>
      </w:pPr>
      <w:r>
        <w:rPr>
          <w:rFonts w:hint="eastAsia" w:ascii="方正仿宋_GBK" w:hAnsi="方正仿宋_GBK" w:eastAsia="方正仿宋_GBK" w:cs="方正仿宋_GBK"/>
          <w:sz w:val="32"/>
          <w:szCs w:val="32"/>
          <w:shd w:val="clear" w:color="auto" w:fill="FFFFFF"/>
          <w:lang w:bidi="ar"/>
        </w:rPr>
        <w:t>本单位本年度未开展整体绩效目标编制，主要由街道本级统一编制。</w:t>
      </w:r>
    </w:p>
    <w:p w14:paraId="6936A37B">
      <w:pPr>
        <w:pStyle w:val="5"/>
        <w:shd w:val="clear" w:color="auto" w:fill="FFFFFF"/>
        <w:rPr>
          <w:rStyle w:val="9"/>
          <w:rFonts w:hint="eastAsia" w:ascii="方正仿宋_GBK" w:hAnsi="方正仿宋_GBK" w:eastAsia="方正仿宋_GBK" w:cs="方正仿宋_GBK"/>
          <w:sz w:val="32"/>
          <w:szCs w:val="32"/>
          <w:shd w:val="clear" w:color="auto" w:fill="FFFFFF"/>
          <w:lang w:val="en-US" w:eastAsia="zh-CN"/>
        </w:rPr>
      </w:pPr>
      <w:r>
        <w:rPr>
          <w:rStyle w:val="9"/>
          <w:rFonts w:hint="eastAsia" w:ascii="方正仿宋_GBK" w:hAnsi="方正仿宋_GBK" w:eastAsia="方正仿宋_GBK" w:cs="方正仿宋_GBK"/>
          <w:sz w:val="32"/>
          <w:szCs w:val="32"/>
          <w:shd w:val="clear" w:color="auto" w:fill="FFFFFF"/>
          <w:lang w:val="en-US" w:eastAsia="zh-CN"/>
        </w:rPr>
        <w:t xml:space="preserve">  </w:t>
      </w:r>
      <w:r>
        <w:rPr>
          <w:rStyle w:val="9"/>
          <w:rFonts w:hint="eastAsia" w:ascii="黑体" w:hAnsi="黑体" w:eastAsia="黑体" w:cs="黑体"/>
          <w:sz w:val="32"/>
          <w:szCs w:val="32"/>
          <w:shd w:val="clear" w:color="auto" w:fill="FFFFFF"/>
          <w:lang w:val="en-US" w:eastAsia="zh-CN"/>
        </w:rPr>
        <w:t>六、专业名词解释</w:t>
      </w:r>
    </w:p>
    <w:p w14:paraId="38BA9BCC">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rPr>
        <w:t>以下为常见专业名词解释目录，仅供参考，</w:t>
      </w:r>
    </w:p>
    <w:p w14:paraId="58019410">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kern w:val="0"/>
          <w:sz w:val="32"/>
          <w:szCs w:val="32"/>
          <w:shd w:val="clear" w:color="auto" w:fill="FFFFFF"/>
          <w:lang w:val="en-US" w:eastAsia="zh-CN" w:bidi="ar"/>
        </w:rPr>
        <w:t> </w:t>
      </w:r>
      <w:r>
        <w:rPr>
          <w:rFonts w:hint="eastAsia" w:ascii="楷体" w:hAnsi="楷体" w:eastAsia="楷体" w:cs="楷体"/>
          <w:b/>
          <w:bCs/>
          <w:kern w:val="0"/>
          <w:sz w:val="32"/>
          <w:szCs w:val="32"/>
          <w:shd w:val="clear" w:color="auto" w:fill="FFFFFF"/>
          <w:lang w:val="en-US" w:eastAsia="zh-CN" w:bidi="ar"/>
        </w:rPr>
        <w:t>（一）财政拨款收入：</w:t>
      </w:r>
      <w:r>
        <w:rPr>
          <w:rFonts w:hint="eastAsia"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14:paraId="0DD50F0C">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（二）事业收入</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14:paraId="54FADA2C">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（三）经营收入</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14:paraId="62F5CBB9">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（四）其他收入</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1348EE77">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楷体" w:hAnsi="楷体" w:eastAsia="楷体" w:cs="楷体"/>
          <w:sz w:val="32"/>
          <w:szCs w:val="32"/>
          <w:shd w:val="clear" w:color="auto" w:fill="FFFFFF"/>
        </w:rPr>
        <w:t>（五）使用非财政拨款结余</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14:paraId="243E8704">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（六）年初结转和结余</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指单位上年结转本年使用的基本支出结转、项目支出结转和结余、经营结余。</w:t>
      </w:r>
    </w:p>
    <w:p w14:paraId="24491D94">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（七）结余分配</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14:paraId="17F1EAF4">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（八）年末结转和结余</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指单位结转下年的基本支出结转、项目支出结转和结余、经营结余。</w:t>
      </w:r>
    </w:p>
    <w:p w14:paraId="6D0FC6F4">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（九）基本支出</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1C864F00">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（十）项目支出</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指在基本支出之外为完成特定行政任务和事业发展目标所发生的支出。</w:t>
      </w:r>
    </w:p>
    <w:p w14:paraId="1654F95A">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（十一）经营支出</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14:paraId="78ADB4CC">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（十二）“三公”经费</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0E0FD81A">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（十三）机关运行经费</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153B5557">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（十四）工资福利支出（支出经济分类科目类级）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14:paraId="4487D4D4">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（十五）商品和服务支出（支出经济分类科目类级）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14:paraId="70215D17">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楷体" w:hAnsi="楷体" w:eastAsia="楷体" w:cs="楷体"/>
          <w:sz w:val="32"/>
          <w:szCs w:val="32"/>
          <w:shd w:val="clear" w:color="auto" w:fill="FFFFFF"/>
        </w:rPr>
        <w:t> （十六）对个人和家庭的补助（支出经济分类科目类级）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反映用于对个人和家庭的补助支出。</w:t>
      </w:r>
    </w:p>
    <w:p w14:paraId="3E404DBB">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（十七）其他资本性支出（支出经济分类科目类级）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14:paraId="47C8CE9B">
      <w:pPr>
        <w:pStyle w:val="5"/>
        <w:shd w:val="clear" w:color="auto" w:fill="FFFFFF"/>
        <w:rPr>
          <w:rStyle w:val="9"/>
          <w:rFonts w:hint="eastAsia" w:ascii="方正仿宋_GBK" w:hAnsi="方正仿宋_GBK" w:eastAsia="方正仿宋_GBK" w:cs="方正仿宋_GBK"/>
          <w:sz w:val="32"/>
          <w:szCs w:val="32"/>
          <w:shd w:val="clear" w:color="auto" w:fill="FFFFFF"/>
          <w:lang w:val="en-US" w:eastAsia="zh-CN"/>
        </w:rPr>
      </w:pPr>
      <w:r>
        <w:rPr>
          <w:rStyle w:val="9"/>
          <w:rFonts w:hint="eastAsia" w:ascii="方正仿宋_GBK" w:hAnsi="方正仿宋_GBK" w:eastAsia="方正仿宋_GBK" w:cs="方正仿宋_GBK"/>
          <w:sz w:val="32"/>
          <w:szCs w:val="32"/>
          <w:shd w:val="clear" w:color="auto" w:fill="FFFFFF"/>
          <w:lang w:val="en-US" w:eastAsia="zh-CN"/>
        </w:rPr>
        <w:t xml:space="preserve">  </w:t>
      </w:r>
      <w:r>
        <w:rPr>
          <w:rStyle w:val="9"/>
          <w:rFonts w:hint="eastAsia" w:ascii="黑体" w:hAnsi="黑体" w:eastAsia="黑体" w:cs="黑体"/>
          <w:sz w:val="32"/>
          <w:szCs w:val="32"/>
          <w:shd w:val="clear" w:color="auto" w:fill="FFFFFF"/>
          <w:lang w:val="en-US" w:eastAsia="zh-CN"/>
        </w:rPr>
        <w:t>七、决算公开联系方式及信息反馈渠道</w:t>
      </w:r>
    </w:p>
    <w:p w14:paraId="47F18B34">
      <w:pPr>
        <w:autoSpaceDE w:val="0"/>
        <w:ind w:firstLine="640" w:firstLineChars="200"/>
        <w:rPr>
          <w:rFonts w:hint="eastAsia" w:ascii="方正仿宋_GBK" w:hAnsi="方正仿宋_GBK" w:eastAsia="方正仿宋_GBK" w:cs="方正仿宋_GBK"/>
          <w:color w:val="auto"/>
          <w:sz w:val="32"/>
          <w:szCs w:val="32"/>
          <w:shd w:val="clear" w:color="auto" w:fill="FFFFFF"/>
          <w:lang w:val="en-US" w:eastAsia="zh-CN" w:bidi="ar-SA"/>
        </w:rPr>
      </w:pPr>
      <w:r>
        <w:rPr>
          <w:rFonts w:hint="eastAsia" w:ascii="方正仿宋_GBK" w:hAnsi="方正仿宋_GBK" w:eastAsia="方正仿宋_GBK" w:cs="方正仿宋_GBK"/>
          <w:sz w:val="32"/>
          <w:szCs w:val="32"/>
          <w:shd w:val="clear" w:color="auto" w:fill="FFFFFF"/>
          <w:lang w:val="en-US" w:eastAsia="zh-CN" w:bidi="ar-SA"/>
        </w:rPr>
        <w:t>本单位决算公开信息反馈</w:t>
      </w:r>
      <w:r>
        <w:rPr>
          <w:rFonts w:hint="eastAsia" w:ascii="方正仿宋_GBK" w:hAnsi="方正仿宋_GBK" w:eastAsia="方正仿宋_GBK" w:cs="方正仿宋_GBK"/>
          <w:color w:val="auto"/>
          <w:sz w:val="32"/>
          <w:szCs w:val="32"/>
          <w:shd w:val="clear" w:color="auto" w:fill="FFFFFF"/>
          <w:lang w:val="en-US" w:eastAsia="zh-CN" w:bidi="ar-SA"/>
        </w:rPr>
        <w:t>和联系方式：023-79235228。</w:t>
      </w:r>
    </w:p>
    <w:p w14:paraId="2E3D99D6">
      <w:pPr>
        <w:autoSpaceDE w:val="0"/>
        <w:ind w:firstLine="640" w:firstLineChars="200"/>
        <w:rPr>
          <w:rFonts w:hint="eastAsia" w:ascii="方正仿宋_GBK" w:hAnsi="方正仿宋_GBK" w:eastAsia="方正仿宋_GBK" w:cs="方正仿宋_GBK"/>
          <w:color w:val="auto"/>
          <w:sz w:val="32"/>
          <w:szCs w:val="32"/>
          <w:shd w:val="clear" w:color="auto" w:fill="FFFFFF"/>
          <w:lang w:val="en-US" w:eastAsia="zh-CN" w:bidi="ar-SA"/>
        </w:rPr>
      </w:pPr>
    </w:p>
    <w:p w14:paraId="30269CF5">
      <w:pPr>
        <w:keepNext w:val="0"/>
        <w:keepLines w:val="0"/>
        <w:pageBreakBefore w:val="0"/>
        <w:widowControl/>
        <w:kinsoku/>
        <w:wordWrap/>
        <w:overflowPunct/>
        <w:topLinePunct w:val="0"/>
        <w:autoSpaceDE w:val="0"/>
        <w:autoSpaceDN/>
        <w:bidi w:val="0"/>
        <w:adjustRightInd/>
        <w:snapToGrid/>
        <w:spacing w:beforeAutospacing="0" w:afterAutospacing="0" w:line="600" w:lineRule="exact"/>
        <w:jc w:val="both"/>
        <w:textAlignment w:val="auto"/>
        <w:outlineLvl w:val="0"/>
        <w:rPr>
          <w:rFonts w:hint="default" w:asciiTheme="minorHAnsi" w:hAnsiTheme="minorHAnsi" w:eastAsiaTheme="minorEastAsia" w:cstheme="minorBidi"/>
          <w:kern w:val="2"/>
          <w:sz w:val="21"/>
        </w:rPr>
      </w:pPr>
      <w:r>
        <w:rPr>
          <w:rFonts w:hint="default" w:ascii="Times New Roman" w:hAnsi="Times New Roman" w:eastAsia="方正仿宋_GBK" w:cs="Times New Roman"/>
          <w:b w:val="0"/>
          <w:bCs w:val="0"/>
          <w:kern w:val="0"/>
          <w:sz w:val="32"/>
          <w:szCs w:val="32"/>
          <w:shd w:val="clear" w:color="auto" w:fill="FFFFFF"/>
          <w:lang w:val="en-US" w:eastAsia="zh-CN" w:bidi="ar-SA"/>
        </w:rPr>
        <w:t>附件</w:t>
      </w:r>
      <w:r>
        <w:rPr>
          <w:rFonts w:hint="eastAsia" w:ascii="Times New Roman" w:hAnsi="Times New Roman" w:eastAsia="方正仿宋_GBK" w:cs="Times New Roman"/>
          <w:b w:val="0"/>
          <w:bCs w:val="0"/>
          <w:kern w:val="0"/>
          <w:sz w:val="32"/>
          <w:szCs w:val="32"/>
          <w:shd w:val="clear" w:color="auto" w:fill="FFFFFF"/>
          <w:lang w:val="en-US" w:eastAsia="zh-CN" w:bidi="ar-SA"/>
        </w:rPr>
        <w:t>1：</w:t>
      </w:r>
      <w:r>
        <w:rPr>
          <w:rFonts w:hint="default" w:ascii="Times New Roman" w:hAnsi="Times New Roman" w:eastAsia="方正仿宋_GBK" w:cs="Times New Roman"/>
          <w:b w:val="0"/>
          <w:bCs w:val="0"/>
          <w:kern w:val="0"/>
          <w:sz w:val="32"/>
          <w:szCs w:val="32"/>
          <w:shd w:val="clear" w:color="auto" w:fill="FFFFFF"/>
          <w:lang w:val="en-US" w:eastAsia="zh-CN" w:bidi="ar-SA"/>
        </w:rPr>
        <w:t>黔江区城东街道社区事务服务中心</w:t>
      </w:r>
      <w:r>
        <w:rPr>
          <w:rFonts w:hint="eastAsia" w:ascii="Times New Roman" w:hAnsi="Times New Roman" w:eastAsia="方正仿宋_GBK" w:cs="Times New Roman"/>
          <w:b w:val="0"/>
          <w:bCs w:val="0"/>
          <w:kern w:val="0"/>
          <w:sz w:val="32"/>
          <w:szCs w:val="32"/>
          <w:shd w:val="clear" w:color="auto" w:fill="FFFFFF"/>
          <w:lang w:val="en-US" w:eastAsia="zh-CN" w:bidi="ar-SA"/>
        </w:rPr>
        <w:t>2025年度</w:t>
      </w:r>
      <w:r>
        <w:rPr>
          <w:rFonts w:hint="default" w:ascii="Times New Roman" w:hAnsi="Times New Roman" w:eastAsia="方正仿宋_GBK" w:cs="Times New Roman"/>
          <w:b w:val="0"/>
          <w:bCs w:val="0"/>
          <w:kern w:val="0"/>
          <w:sz w:val="32"/>
          <w:szCs w:val="32"/>
          <w:shd w:val="clear" w:color="auto" w:fill="FFFFFF"/>
          <w:lang w:val="en-US" w:eastAsia="zh-CN" w:bidi="ar-SA"/>
        </w:rPr>
        <w:t>决算公</w:t>
      </w:r>
      <w:r>
        <w:rPr>
          <w:rFonts w:hint="eastAsia" w:ascii="Times New Roman" w:hAnsi="Times New Roman" w:eastAsia="方正仿宋_GBK" w:cs="Times New Roman"/>
          <w:b w:val="0"/>
          <w:bCs w:val="0"/>
          <w:kern w:val="0"/>
          <w:sz w:val="32"/>
          <w:szCs w:val="32"/>
          <w:shd w:val="clear" w:color="auto" w:fill="FFFFFF"/>
          <w:lang w:val="en-US" w:eastAsia="zh-CN" w:bidi="ar-SA"/>
        </w:rPr>
        <w:t>开报表</w:t>
      </w:r>
    </w:p>
    <w:p w14:paraId="2D00F5DA">
      <w:pPr>
        <w:autoSpaceDE w:val="0"/>
        <w:ind w:firstLine="640" w:firstLineChars="200"/>
        <w:rPr>
          <w:rFonts w:hint="eastAsia" w:ascii="方正仿宋_GBK" w:hAnsi="方正仿宋_GBK" w:eastAsia="方正仿宋_GBK" w:cs="方正仿宋_GBK"/>
          <w:color w:val="auto"/>
          <w:sz w:val="32"/>
          <w:szCs w:val="32"/>
          <w:shd w:val="clear" w:color="auto" w:fill="FFFFFF"/>
          <w:lang w:val="en-US" w:eastAsia="zh-CN" w:bidi="ar-SA"/>
        </w:rPr>
      </w:pPr>
    </w:p>
    <w:p w14:paraId="4BC1670C">
      <w:pPr>
        <w:pStyle w:val="10"/>
        <w:autoSpaceDE w:val="0"/>
        <w:ind w:firstLine="0" w:firstLineChars="0"/>
        <w:rPr>
          <w:rStyle w:val="9"/>
          <w:rFonts w:ascii="方正仿宋_GBK" w:hAnsi="方正仿宋_GBK" w:eastAsia="方正仿宋_GBK" w:cs="方正仿宋_GBK"/>
          <w:sz w:val="32"/>
          <w:szCs w:val="32"/>
          <w:shd w:val="clear" w:color="auto" w:fill="FFFF00"/>
        </w:rPr>
      </w:pPr>
    </w:p>
    <w:p w14:paraId="58816692">
      <w:pPr>
        <w:pStyle w:val="10"/>
        <w:autoSpaceDE w:val="0"/>
        <w:ind w:firstLine="0" w:firstLineChars="0"/>
        <w:rPr>
          <w:rStyle w:val="9"/>
          <w:rFonts w:hint="eastAsia" w:ascii="方正仿宋_GBK" w:hAnsi="方正仿宋_GBK" w:eastAsia="方正仿宋_GBK" w:cs="方正仿宋_GBK"/>
          <w:sz w:val="32"/>
          <w:szCs w:val="32"/>
          <w:shd w:val="clear" w:color="auto" w:fill="FFFF00"/>
        </w:rPr>
        <w:sectPr>
          <w:footerReference r:id="rId3" w:type="default"/>
          <w:pgSz w:w="11915" w:h="16840"/>
          <w:pgMar w:top="1440" w:right="1800" w:bottom="1440" w:left="1800" w:header="851" w:footer="992" w:gutter="0"/>
          <w:pgNumType w:fmt="numberInDash"/>
          <w:cols w:space="720" w:num="1"/>
          <w:docGrid w:type="lines" w:linePitch="312" w:charSpace="0"/>
        </w:sectPr>
      </w:pPr>
      <w:bookmarkStart w:id="0" w:name="_GoBack"/>
      <w:bookmarkEnd w:id="0"/>
    </w:p>
    <w:p w14:paraId="2199E037">
      <w:pPr>
        <w:rPr>
          <w:rFonts w:hint="eastAsia" w:ascii="宋体" w:hAnsi="宋体" w:eastAsia="宋体" w:cs="宋体"/>
          <w:sz w:val="21"/>
          <w:szCs w:val="21"/>
        </w:rPr>
      </w:pPr>
    </w:p>
    <w:tbl>
      <w:tblPr>
        <w:tblStyle w:val="6"/>
        <w:tblW w:w="22292" w:type="dxa"/>
        <w:tblInd w:w="0" w:type="dxa"/>
        <w:shd w:val="clear" w:color="auto" w:fill="auto"/>
        <w:tblLayout w:type="fixed"/>
        <w:tblCellMar>
          <w:top w:w="0" w:type="dxa"/>
          <w:left w:w="0" w:type="dxa"/>
          <w:bottom w:w="0" w:type="dxa"/>
          <w:right w:w="0" w:type="dxa"/>
        </w:tblCellMar>
      </w:tblPr>
      <w:tblGrid>
        <w:gridCol w:w="6581"/>
        <w:gridCol w:w="4358"/>
        <w:gridCol w:w="7536"/>
        <w:gridCol w:w="3817"/>
      </w:tblGrid>
      <w:tr w14:paraId="08648DF1">
        <w:tblPrEx>
          <w:tblCellMar>
            <w:top w:w="0" w:type="dxa"/>
            <w:left w:w="0" w:type="dxa"/>
            <w:bottom w:w="0" w:type="dxa"/>
            <w:right w:w="0" w:type="dxa"/>
          </w:tblCellMar>
        </w:tblPrEx>
        <w:trPr>
          <w:trHeight w:val="565" w:hRule="atLeast"/>
        </w:trPr>
        <w:tc>
          <w:tcPr>
            <w:tcW w:w="22292" w:type="dxa"/>
            <w:gridSpan w:val="4"/>
            <w:tcBorders>
              <w:top w:val="nil"/>
              <w:left w:val="nil"/>
              <w:bottom w:val="nil"/>
              <w:right w:val="nil"/>
            </w:tcBorders>
            <w:shd w:val="clear" w:color="auto" w:fill="auto"/>
            <w:noWrap/>
            <w:tcMar>
              <w:top w:w="15" w:type="dxa"/>
              <w:left w:w="15" w:type="dxa"/>
              <w:right w:w="15" w:type="dxa"/>
            </w:tcMar>
            <w:vAlign w:val="bottom"/>
          </w:tcPr>
          <w:p w14:paraId="4D659B59">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收入支出决算总表</w:t>
            </w:r>
          </w:p>
        </w:tc>
      </w:tr>
      <w:tr w14:paraId="413B344E">
        <w:tblPrEx>
          <w:shd w:val="clear" w:color="auto" w:fill="auto"/>
          <w:tblCellMar>
            <w:top w:w="0" w:type="dxa"/>
            <w:left w:w="0" w:type="dxa"/>
            <w:bottom w:w="0" w:type="dxa"/>
            <w:right w:w="0" w:type="dxa"/>
          </w:tblCellMar>
        </w:tblPrEx>
        <w:trPr>
          <w:trHeight w:val="289" w:hRule="atLeast"/>
        </w:trPr>
        <w:tc>
          <w:tcPr>
            <w:tcW w:w="6581" w:type="dxa"/>
            <w:tcBorders>
              <w:top w:val="nil"/>
              <w:left w:val="nil"/>
              <w:bottom w:val="nil"/>
              <w:right w:val="nil"/>
            </w:tcBorders>
            <w:shd w:val="clear" w:color="auto" w:fill="auto"/>
            <w:noWrap/>
            <w:tcMar>
              <w:top w:w="15" w:type="dxa"/>
              <w:left w:w="15" w:type="dxa"/>
              <w:right w:w="15" w:type="dxa"/>
            </w:tcMar>
            <w:vAlign w:val="bottom"/>
          </w:tcPr>
          <w:p w14:paraId="324D7CF7">
            <w:pPr>
              <w:rPr>
                <w:rFonts w:hint="default" w:ascii="Arial" w:hAnsi="Arial" w:eastAsia="宋体" w:cs="Arial"/>
                <w:i w:val="0"/>
                <w:color w:val="000000"/>
                <w:sz w:val="20"/>
                <w:szCs w:val="20"/>
                <w:u w:val="none"/>
              </w:rPr>
            </w:pPr>
          </w:p>
        </w:tc>
        <w:tc>
          <w:tcPr>
            <w:tcW w:w="4358" w:type="dxa"/>
            <w:tcBorders>
              <w:top w:val="nil"/>
              <w:left w:val="nil"/>
              <w:bottom w:val="nil"/>
              <w:right w:val="nil"/>
            </w:tcBorders>
            <w:shd w:val="clear" w:color="auto" w:fill="auto"/>
            <w:noWrap/>
            <w:tcMar>
              <w:top w:w="15" w:type="dxa"/>
              <w:left w:w="15" w:type="dxa"/>
              <w:right w:w="15" w:type="dxa"/>
            </w:tcMar>
            <w:vAlign w:val="bottom"/>
          </w:tcPr>
          <w:p w14:paraId="52A5C314">
            <w:pPr>
              <w:jc w:val="right"/>
              <w:rPr>
                <w:rFonts w:hint="default" w:ascii="Arial" w:hAnsi="Arial" w:eastAsia="宋体" w:cs="Arial"/>
                <w:i w:val="0"/>
                <w:color w:val="000000"/>
                <w:sz w:val="20"/>
                <w:szCs w:val="20"/>
                <w:u w:val="none"/>
              </w:rPr>
            </w:pPr>
          </w:p>
        </w:tc>
        <w:tc>
          <w:tcPr>
            <w:tcW w:w="7536" w:type="dxa"/>
            <w:tcBorders>
              <w:top w:val="nil"/>
              <w:left w:val="nil"/>
              <w:bottom w:val="nil"/>
              <w:right w:val="nil"/>
            </w:tcBorders>
            <w:shd w:val="clear" w:color="auto" w:fill="auto"/>
            <w:noWrap/>
            <w:tcMar>
              <w:top w:w="15" w:type="dxa"/>
              <w:left w:w="15" w:type="dxa"/>
              <w:right w:w="15" w:type="dxa"/>
            </w:tcMar>
            <w:vAlign w:val="bottom"/>
          </w:tcPr>
          <w:p w14:paraId="65C3DD6A">
            <w:pPr>
              <w:rPr>
                <w:rFonts w:hint="default" w:ascii="Arial" w:hAnsi="Arial" w:eastAsia="宋体" w:cs="Arial"/>
                <w:i w:val="0"/>
                <w:color w:val="000000"/>
                <w:sz w:val="20"/>
                <w:szCs w:val="20"/>
                <w:u w:val="none"/>
              </w:rPr>
            </w:pPr>
          </w:p>
        </w:tc>
        <w:tc>
          <w:tcPr>
            <w:tcW w:w="3817" w:type="dxa"/>
            <w:tcBorders>
              <w:top w:val="nil"/>
              <w:left w:val="nil"/>
              <w:bottom w:val="nil"/>
              <w:right w:val="nil"/>
            </w:tcBorders>
            <w:shd w:val="clear" w:color="auto" w:fill="auto"/>
            <w:noWrap/>
            <w:tcMar>
              <w:top w:w="15" w:type="dxa"/>
              <w:left w:w="15" w:type="dxa"/>
              <w:right w:w="15" w:type="dxa"/>
            </w:tcMar>
            <w:vAlign w:val="bottom"/>
          </w:tcPr>
          <w:p w14:paraId="282796B5">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公开01表</w:t>
            </w:r>
          </w:p>
        </w:tc>
      </w:tr>
      <w:tr w14:paraId="4935341F">
        <w:tblPrEx>
          <w:shd w:val="clear" w:color="auto" w:fill="auto"/>
          <w:tblCellMar>
            <w:top w:w="0" w:type="dxa"/>
            <w:left w:w="0" w:type="dxa"/>
            <w:bottom w:w="0" w:type="dxa"/>
            <w:right w:w="0" w:type="dxa"/>
          </w:tblCellMar>
        </w:tblPrEx>
        <w:trPr>
          <w:trHeight w:val="289" w:hRule="atLeast"/>
        </w:trPr>
        <w:tc>
          <w:tcPr>
            <w:tcW w:w="6581" w:type="dxa"/>
            <w:tcBorders>
              <w:top w:val="nil"/>
              <w:left w:val="nil"/>
              <w:bottom w:val="nil"/>
              <w:right w:val="nil"/>
            </w:tcBorders>
            <w:shd w:val="clear" w:color="auto" w:fill="auto"/>
            <w:noWrap/>
            <w:tcMar>
              <w:top w:w="15" w:type="dxa"/>
              <w:left w:w="15" w:type="dxa"/>
              <w:right w:w="15" w:type="dxa"/>
            </w:tcMar>
            <w:vAlign w:val="bottom"/>
          </w:tcPr>
          <w:p w14:paraId="1F64BF2B">
            <w:pPr>
              <w:keepNext w:val="0"/>
              <w:keepLines w:val="0"/>
              <w:widowControl/>
              <w:suppressLineNumbers w:val="0"/>
              <w:jc w:val="left"/>
              <w:textAlignment w:val="bottom"/>
              <w:rPr>
                <w:rFonts w:hint="eastAsia" w:ascii="宋体" w:hAnsi="宋体" w:eastAsia="宋体" w:cs="宋体"/>
                <w:i w:val="0"/>
                <w:color w:val="000000"/>
                <w:sz w:val="24"/>
                <w:szCs w:val="24"/>
                <w:u w:val="none"/>
              </w:rPr>
            </w:pPr>
            <w:r>
              <w:rPr>
                <w:rFonts w:hint="eastAsia" w:cs="宋体"/>
                <w:sz w:val="24"/>
                <w:szCs w:val="24"/>
                <w:lang w:eastAsia="zh-CN"/>
              </w:rPr>
              <w:t>公开单位</w:t>
            </w:r>
            <w:r>
              <w:rPr>
                <w:rFonts w:hint="eastAsia" w:ascii="宋体" w:hAnsi="宋体" w:eastAsia="宋体" w:cs="宋体"/>
                <w:sz w:val="24"/>
                <w:szCs w:val="24"/>
              </w:rPr>
              <w:t>：</w:t>
            </w:r>
            <w:r>
              <w:rPr>
                <w:rFonts w:ascii="宋体" w:hAnsi="宋体" w:eastAsia="宋体" w:cs="宋体"/>
                <w:sz w:val="24"/>
                <w:u w:color="auto"/>
              </w:rPr>
              <w:t>黔江区城东街道社区事务服务中心</w:t>
            </w:r>
          </w:p>
        </w:tc>
        <w:tc>
          <w:tcPr>
            <w:tcW w:w="4358" w:type="dxa"/>
            <w:tcBorders>
              <w:top w:val="nil"/>
              <w:left w:val="nil"/>
              <w:bottom w:val="nil"/>
              <w:right w:val="nil"/>
            </w:tcBorders>
            <w:shd w:val="clear" w:color="auto" w:fill="auto"/>
            <w:noWrap/>
            <w:tcMar>
              <w:top w:w="15" w:type="dxa"/>
              <w:left w:w="15" w:type="dxa"/>
              <w:right w:w="15" w:type="dxa"/>
            </w:tcMar>
            <w:vAlign w:val="bottom"/>
          </w:tcPr>
          <w:p w14:paraId="700E62E6">
            <w:pPr>
              <w:jc w:val="right"/>
              <w:rPr>
                <w:rFonts w:hint="default" w:ascii="Arial" w:hAnsi="Arial" w:eastAsia="宋体" w:cs="Arial"/>
                <w:i w:val="0"/>
                <w:color w:val="000000"/>
                <w:sz w:val="22"/>
                <w:szCs w:val="22"/>
                <w:u w:val="none"/>
              </w:rPr>
            </w:pPr>
          </w:p>
        </w:tc>
        <w:tc>
          <w:tcPr>
            <w:tcW w:w="7536" w:type="dxa"/>
            <w:tcBorders>
              <w:top w:val="nil"/>
              <w:left w:val="nil"/>
              <w:bottom w:val="nil"/>
              <w:right w:val="nil"/>
            </w:tcBorders>
            <w:shd w:val="clear" w:color="auto" w:fill="auto"/>
            <w:noWrap/>
            <w:tcMar>
              <w:top w:w="15" w:type="dxa"/>
              <w:left w:w="15" w:type="dxa"/>
              <w:right w:w="15" w:type="dxa"/>
            </w:tcMar>
            <w:vAlign w:val="bottom"/>
          </w:tcPr>
          <w:p w14:paraId="37017F38">
            <w:pPr>
              <w:rPr>
                <w:rFonts w:hint="default" w:ascii="Arial" w:hAnsi="Arial" w:eastAsia="宋体" w:cs="Arial"/>
                <w:i w:val="0"/>
                <w:color w:val="000000"/>
                <w:sz w:val="22"/>
                <w:szCs w:val="22"/>
                <w:u w:val="none"/>
              </w:rPr>
            </w:pPr>
          </w:p>
        </w:tc>
        <w:tc>
          <w:tcPr>
            <w:tcW w:w="3817" w:type="dxa"/>
            <w:tcBorders>
              <w:top w:val="nil"/>
              <w:left w:val="nil"/>
              <w:bottom w:val="nil"/>
              <w:right w:val="nil"/>
            </w:tcBorders>
            <w:shd w:val="clear" w:color="auto" w:fill="auto"/>
            <w:noWrap/>
            <w:tcMar>
              <w:top w:w="15" w:type="dxa"/>
              <w:left w:w="15" w:type="dxa"/>
              <w:right w:w="15" w:type="dxa"/>
            </w:tcMar>
            <w:vAlign w:val="bottom"/>
          </w:tcPr>
          <w:p w14:paraId="7914BA57">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36EEE291">
        <w:tblPrEx>
          <w:tblCellMar>
            <w:top w:w="0" w:type="dxa"/>
            <w:left w:w="0" w:type="dxa"/>
            <w:bottom w:w="0" w:type="dxa"/>
            <w:right w:w="0" w:type="dxa"/>
          </w:tblCellMar>
        </w:tblPrEx>
        <w:trPr>
          <w:trHeight w:val="298" w:hRule="atLeast"/>
        </w:trPr>
        <w:tc>
          <w:tcPr>
            <w:tcW w:w="10939"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4A1E14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收入</w:t>
            </w:r>
          </w:p>
        </w:tc>
        <w:tc>
          <w:tcPr>
            <w:tcW w:w="11353" w:type="dxa"/>
            <w:gridSpan w:val="2"/>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14:paraId="369C370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支出</w:t>
            </w:r>
          </w:p>
        </w:tc>
      </w:tr>
      <w:tr w14:paraId="49030F0C">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25B097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4358"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CB2870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8FAAA98">
            <w:pPr>
              <w:keepNext w:val="0"/>
              <w:keepLines w:val="0"/>
              <w:widowControl/>
              <w:suppressLineNumbers w:val="0"/>
              <w:jc w:val="center"/>
              <w:textAlignment w:val="center"/>
              <w:rPr>
                <w:rFonts w:hint="eastAsia" w:ascii="宋体" w:hAnsi="宋体" w:eastAsia="宋体" w:cs="宋体"/>
                <w:b/>
                <w:i w:val="0"/>
                <w:color w:val="000000"/>
                <w:sz w:val="22"/>
                <w:szCs w:val="22"/>
                <w:u w:val="none"/>
                <w:lang w:eastAsia="zh-CN"/>
              </w:rPr>
            </w:pPr>
            <w:r>
              <w:rPr>
                <w:rFonts w:hint="eastAsia" w:cs="宋体"/>
                <w:b/>
                <w:i w:val="0"/>
                <w:color w:val="000000"/>
                <w:sz w:val="22"/>
                <w:szCs w:val="22"/>
                <w:u w:val="none"/>
                <w:lang w:eastAsia="zh-CN"/>
              </w:rPr>
              <w:t>功能分类科目</w:t>
            </w:r>
          </w:p>
        </w:tc>
        <w:tc>
          <w:tcPr>
            <w:tcW w:w="381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138D89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14:paraId="22496B5C">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F84F99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91C94E">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123.68</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E96E21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FF238A">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95.08</w:t>
            </w:r>
            <w:r>
              <w:rPr>
                <w:rFonts w:hint="eastAsia" w:cs="宋体"/>
                <w:b w:val="0"/>
                <w:bCs w:val="0"/>
                <w:color w:val="000000"/>
                <w:sz w:val="21"/>
                <w:szCs w:val="21"/>
                <w:lang w:val="en-US" w:eastAsia="zh-CN" w:bidi="ar"/>
              </w:rPr>
              <w:t xml:space="preserve"> </w:t>
            </w:r>
          </w:p>
        </w:tc>
      </w:tr>
      <w:tr w14:paraId="4C6AA784">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47C1F3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B72D4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6DEEDB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F28C65">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6FECBDB3">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A58BBD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656E1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10DDE7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13CCE4">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2D22A43A">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D082E8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95704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EDC57B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576889">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0D215C11">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B92504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4EE1E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54125D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5AD054">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3ADB35E3">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349ECE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C40D8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68F43D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B2AFFD">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54D8C323">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0DA6C3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E74BD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FFCA08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D3F8E8">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0AFB85D4">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F69651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4358" w:type="dxa"/>
            <w:tcBorders>
              <w:top w:val="nil"/>
              <w:left w:val="nil"/>
              <w:bottom w:val="nil"/>
              <w:right w:val="single" w:color="000000" w:sz="4" w:space="0"/>
            </w:tcBorders>
            <w:shd w:val="clear" w:color="auto" w:fill="auto"/>
            <w:noWrap/>
            <w:tcMar>
              <w:top w:w="15" w:type="dxa"/>
              <w:left w:w="15" w:type="dxa"/>
              <w:right w:w="15" w:type="dxa"/>
            </w:tcMar>
            <w:vAlign w:val="center"/>
          </w:tcPr>
          <w:p w14:paraId="1CD1111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FD87D8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365032">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16.83</w:t>
            </w:r>
            <w:r>
              <w:rPr>
                <w:rFonts w:hint="eastAsia" w:cs="宋体"/>
                <w:b w:val="0"/>
                <w:bCs w:val="0"/>
                <w:color w:val="000000"/>
                <w:sz w:val="21"/>
                <w:szCs w:val="21"/>
                <w:lang w:val="en-US" w:eastAsia="zh-CN" w:bidi="ar"/>
              </w:rPr>
              <w:t xml:space="preserve"> </w:t>
            </w:r>
          </w:p>
        </w:tc>
      </w:tr>
      <w:tr w14:paraId="4F7C87D8">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DB3CA88">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0D498DA">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EFD83E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66C022">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6.14</w:t>
            </w:r>
            <w:r>
              <w:rPr>
                <w:rFonts w:hint="eastAsia" w:cs="宋体"/>
                <w:b w:val="0"/>
                <w:bCs w:val="0"/>
                <w:color w:val="000000"/>
                <w:sz w:val="21"/>
                <w:szCs w:val="21"/>
                <w:lang w:val="en-US" w:eastAsia="zh-CN" w:bidi="ar"/>
              </w:rPr>
              <w:t xml:space="preserve"> </w:t>
            </w:r>
          </w:p>
        </w:tc>
      </w:tr>
      <w:tr w14:paraId="6A0CBB03">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A98D435">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F2E4ECB">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6D9F92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755008">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7B0387E8">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3EEADA8">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7ED52FF">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8CCED8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846B8F">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AAAC181">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D27B9E3">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2226249">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BF0623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579BE1">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EAD1735">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EE260AA">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55FDEF">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50F5D0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F9A955">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0C7EDC8C">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C04E9B0">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382BBA">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A392D2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3A2E11">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52C1643">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E91DEC0">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11132A">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26A55D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476E9E">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5AB6C3F3">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1C0DA67">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FE6DE7">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91FD25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9BCCA6">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4872A6FD">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9501E1C">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1226EE">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7ACFE1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729704">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371AA07F">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DF2FEEB">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166056">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5E6EAC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81A2C9">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38191F35">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A366A74">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618348">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D929EF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72FF00">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5.64</w:t>
            </w:r>
            <w:r>
              <w:rPr>
                <w:rFonts w:hint="eastAsia" w:cs="宋体"/>
                <w:b w:val="0"/>
                <w:bCs w:val="0"/>
                <w:color w:val="000000"/>
                <w:sz w:val="21"/>
                <w:szCs w:val="21"/>
                <w:lang w:val="en-US" w:eastAsia="zh-CN" w:bidi="ar"/>
              </w:rPr>
              <w:t xml:space="preserve"> </w:t>
            </w:r>
          </w:p>
        </w:tc>
      </w:tr>
      <w:tr w14:paraId="3C2A194D">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D97A6EF">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7C8280">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B63A58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3154C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2DDC9C8">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E2EB06">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0032D0">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34DC35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14F94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17B22E7">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5A1FEA4">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D5FDDA">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0F8D3E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0F95C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1F51D40">
        <w:tblPrEx>
          <w:shd w:val="clear" w:color="auto" w:fill="auto"/>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4288FAD">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4CAC75">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037224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816AD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253FA88">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83B97B1">
            <w:pPr>
              <w:jc w:val="center"/>
              <w:rPr>
                <w:rFonts w:hint="eastAsia" w:ascii="宋体" w:hAnsi="宋体" w:eastAsia="宋体" w:cs="宋体"/>
                <w:b/>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EA986F">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6BE6DB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0BD54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E105EC7">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650BAD">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382806">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F7E48E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4F194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BCA5DFE">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8601791">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9147B6">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91C326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A30D1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F5DD8E2">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162DD4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DFF7CB">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123.68</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74107B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C61EFF">
            <w:pPr>
              <w:wordWrap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123.68</w:t>
            </w:r>
            <w:r>
              <w:rPr>
                <w:rFonts w:hint="eastAsia" w:cs="宋体"/>
                <w:color w:val="000000"/>
                <w:sz w:val="21"/>
                <w:szCs w:val="21"/>
                <w:lang w:val="en-US" w:eastAsia="zh-CN" w:bidi="ar"/>
              </w:rPr>
              <w:t xml:space="preserve"> </w:t>
            </w:r>
          </w:p>
        </w:tc>
      </w:tr>
      <w:tr w14:paraId="1CABDF77">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87DE6F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使用非财政拨款结余和专用结余</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9F3FB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562EDD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结余分配</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590CD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A3A67EC">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0965A1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年初结转和结余</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7BD98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A990A4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c>
          <w:tcPr>
            <w:tcW w:w="3817"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58E6962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78FC34D">
        <w:tblPrEx>
          <w:tblCellMar>
            <w:top w:w="0" w:type="dxa"/>
            <w:left w:w="0" w:type="dxa"/>
            <w:bottom w:w="0" w:type="dxa"/>
            <w:right w:w="0" w:type="dxa"/>
          </w:tblCellMar>
        </w:tblPrEx>
        <w:trPr>
          <w:trHeight w:val="307"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702053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C79F64">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123.68</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auto" w:sz="4" w:space="0"/>
            </w:tcBorders>
            <w:shd w:val="clear" w:color="FFFFFF" w:fill="C0C0C0"/>
            <w:noWrap/>
            <w:tcMar>
              <w:top w:w="15" w:type="dxa"/>
              <w:left w:w="15" w:type="dxa"/>
              <w:right w:w="15" w:type="dxa"/>
            </w:tcMar>
            <w:vAlign w:val="center"/>
          </w:tcPr>
          <w:p w14:paraId="507E8AC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38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A981783">
            <w:pPr>
              <w:keepNext w:val="0"/>
              <w:keepLines w:val="0"/>
              <w:widowControl/>
              <w:suppressLineNumbers w:val="0"/>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123.68</w:t>
            </w:r>
            <w:r>
              <w:rPr>
                <w:rFonts w:hint="eastAsia" w:cs="宋体"/>
                <w:color w:val="000000"/>
                <w:sz w:val="21"/>
                <w:szCs w:val="21"/>
                <w:lang w:val="en-US" w:eastAsia="zh-CN" w:bidi="ar"/>
              </w:rPr>
              <w:t xml:space="preserve"> </w:t>
            </w:r>
          </w:p>
        </w:tc>
      </w:tr>
    </w:tbl>
    <w:p w14:paraId="2BBEE20B">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备注：1.本表反映单位本年度的总收支和年末结转结余情况。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4736AAE7">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14:paraId="64350608">
      <w:pPr>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6"/>
        <w:tblW w:w="22220" w:type="dxa"/>
        <w:tblInd w:w="0" w:type="dxa"/>
        <w:shd w:val="clear" w:color="auto" w:fill="auto"/>
        <w:tblLayout w:type="fixed"/>
        <w:tblCellMar>
          <w:top w:w="0" w:type="dxa"/>
          <w:left w:w="0" w:type="dxa"/>
          <w:bottom w:w="0" w:type="dxa"/>
          <w:right w:w="0" w:type="dxa"/>
        </w:tblCellMar>
      </w:tblPr>
      <w:tblGrid>
        <w:gridCol w:w="1941"/>
        <w:gridCol w:w="3317"/>
        <w:gridCol w:w="2412"/>
        <w:gridCol w:w="2399"/>
        <w:gridCol w:w="1963"/>
        <w:gridCol w:w="1963"/>
        <w:gridCol w:w="1963"/>
        <w:gridCol w:w="1963"/>
        <w:gridCol w:w="1963"/>
        <w:gridCol w:w="2336"/>
      </w:tblGrid>
      <w:tr w14:paraId="48FE4050">
        <w:tblPrEx>
          <w:tblCellMar>
            <w:top w:w="0" w:type="dxa"/>
            <w:left w:w="0" w:type="dxa"/>
            <w:bottom w:w="0" w:type="dxa"/>
            <w:right w:w="0" w:type="dxa"/>
          </w:tblCellMar>
        </w:tblPrEx>
        <w:trPr>
          <w:trHeight w:val="641" w:hRule="atLeast"/>
        </w:trPr>
        <w:tc>
          <w:tcPr>
            <w:tcW w:w="22220" w:type="dxa"/>
            <w:gridSpan w:val="10"/>
            <w:tcBorders>
              <w:top w:val="nil"/>
              <w:left w:val="nil"/>
              <w:bottom w:val="nil"/>
              <w:right w:val="nil"/>
            </w:tcBorders>
            <w:shd w:val="clear" w:color="auto" w:fill="auto"/>
            <w:noWrap/>
            <w:tcMar>
              <w:top w:w="15" w:type="dxa"/>
              <w:left w:w="15" w:type="dxa"/>
              <w:right w:w="15" w:type="dxa"/>
            </w:tcMar>
            <w:vAlign w:val="bottom"/>
          </w:tcPr>
          <w:p w14:paraId="191E0B3C">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收入决算表</w:t>
            </w:r>
          </w:p>
        </w:tc>
      </w:tr>
      <w:tr w14:paraId="6CC60509">
        <w:tblPrEx>
          <w:tblCellMar>
            <w:top w:w="0" w:type="dxa"/>
            <w:left w:w="0" w:type="dxa"/>
            <w:bottom w:w="0" w:type="dxa"/>
            <w:right w:w="0" w:type="dxa"/>
          </w:tblCellMar>
        </w:tblPrEx>
        <w:trPr>
          <w:trHeight w:val="328" w:hRule="atLeast"/>
        </w:trPr>
        <w:tc>
          <w:tcPr>
            <w:tcW w:w="5258" w:type="dxa"/>
            <w:gridSpan w:val="2"/>
            <w:vMerge w:val="restart"/>
            <w:tcBorders>
              <w:top w:val="nil"/>
              <w:left w:val="nil"/>
              <w:right w:val="nil"/>
            </w:tcBorders>
            <w:shd w:val="clear" w:color="auto" w:fill="auto"/>
            <w:noWrap/>
            <w:tcMar>
              <w:top w:w="15" w:type="dxa"/>
              <w:left w:w="15" w:type="dxa"/>
              <w:right w:w="15" w:type="dxa"/>
            </w:tcMar>
            <w:vAlign w:val="bottom"/>
          </w:tcPr>
          <w:p w14:paraId="08836DA2">
            <w:pPr>
              <w:rPr>
                <w:rFonts w:hint="default" w:ascii="Arial" w:hAnsi="Arial" w:eastAsia="宋体" w:cs="Arial"/>
                <w:i w:val="0"/>
                <w:color w:val="000000"/>
                <w:sz w:val="22"/>
                <w:szCs w:val="22"/>
                <w:u w:val="none"/>
              </w:rPr>
            </w:pPr>
            <w:r>
              <w:rPr>
                <w:rFonts w:hint="eastAsia" w:cs="宋体"/>
                <w:sz w:val="24"/>
                <w:szCs w:val="24"/>
                <w:lang w:eastAsia="zh-CN"/>
              </w:rPr>
              <w:t>公开单位</w:t>
            </w:r>
            <w:r>
              <w:rPr>
                <w:rFonts w:hint="eastAsia" w:ascii="宋体" w:hAnsi="宋体" w:eastAsia="宋体" w:cs="宋体"/>
                <w:sz w:val="24"/>
                <w:szCs w:val="24"/>
              </w:rPr>
              <w:t>：</w:t>
            </w:r>
            <w:r>
              <w:rPr>
                <w:rFonts w:ascii="宋体" w:hAnsi="宋体" w:eastAsia="宋体" w:cs="宋体"/>
                <w:sz w:val="24"/>
                <w:u w:color="auto"/>
              </w:rPr>
              <w:t>黔江区城东街道社区事务服务中心</w:t>
            </w:r>
          </w:p>
        </w:tc>
        <w:tc>
          <w:tcPr>
            <w:tcW w:w="2412" w:type="dxa"/>
            <w:tcBorders>
              <w:top w:val="nil"/>
              <w:left w:val="nil"/>
              <w:bottom w:val="nil"/>
              <w:right w:val="nil"/>
            </w:tcBorders>
            <w:shd w:val="clear" w:color="auto" w:fill="auto"/>
            <w:noWrap/>
            <w:tcMar>
              <w:top w:w="15" w:type="dxa"/>
              <w:left w:w="15" w:type="dxa"/>
              <w:right w:w="15" w:type="dxa"/>
            </w:tcMar>
            <w:vAlign w:val="bottom"/>
          </w:tcPr>
          <w:p w14:paraId="373628AE">
            <w:pPr>
              <w:rPr>
                <w:rFonts w:hint="default" w:ascii="Arial" w:hAnsi="Arial" w:eastAsia="宋体" w:cs="Arial"/>
                <w:i w:val="0"/>
                <w:color w:val="000000"/>
                <w:sz w:val="20"/>
                <w:szCs w:val="20"/>
                <w:u w:val="none"/>
              </w:rPr>
            </w:pPr>
          </w:p>
        </w:tc>
        <w:tc>
          <w:tcPr>
            <w:tcW w:w="2399" w:type="dxa"/>
            <w:tcBorders>
              <w:top w:val="nil"/>
              <w:left w:val="nil"/>
              <w:bottom w:val="nil"/>
              <w:right w:val="nil"/>
            </w:tcBorders>
            <w:shd w:val="clear" w:color="auto" w:fill="auto"/>
            <w:noWrap/>
            <w:tcMar>
              <w:top w:w="15" w:type="dxa"/>
              <w:left w:w="15" w:type="dxa"/>
              <w:right w:w="15" w:type="dxa"/>
            </w:tcMar>
            <w:vAlign w:val="bottom"/>
          </w:tcPr>
          <w:p w14:paraId="03CDD8C5">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6CBD7FF2">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113EDBC8">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5FF83E70">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0058C538">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496B6BB4">
            <w:pPr>
              <w:rPr>
                <w:rFonts w:hint="default" w:ascii="Arial" w:hAnsi="Arial" w:eastAsia="宋体" w:cs="Arial"/>
                <w:i w:val="0"/>
                <w:color w:val="000000"/>
                <w:sz w:val="20"/>
                <w:szCs w:val="20"/>
                <w:u w:val="none"/>
              </w:rPr>
            </w:pPr>
          </w:p>
        </w:tc>
        <w:tc>
          <w:tcPr>
            <w:tcW w:w="2336" w:type="dxa"/>
            <w:tcBorders>
              <w:top w:val="nil"/>
              <w:left w:val="nil"/>
              <w:bottom w:val="nil"/>
              <w:right w:val="nil"/>
            </w:tcBorders>
            <w:shd w:val="clear" w:color="auto" w:fill="auto"/>
            <w:noWrap/>
            <w:tcMar>
              <w:top w:w="15" w:type="dxa"/>
              <w:left w:w="15" w:type="dxa"/>
              <w:right w:w="15" w:type="dxa"/>
            </w:tcMar>
            <w:vAlign w:val="bottom"/>
          </w:tcPr>
          <w:p w14:paraId="729FAEBC">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公开02表</w:t>
            </w:r>
          </w:p>
        </w:tc>
      </w:tr>
      <w:tr w14:paraId="70939952">
        <w:tblPrEx>
          <w:tblCellMar>
            <w:top w:w="0" w:type="dxa"/>
            <w:left w:w="0" w:type="dxa"/>
            <w:bottom w:w="0" w:type="dxa"/>
            <w:right w:w="0" w:type="dxa"/>
          </w:tblCellMar>
        </w:tblPrEx>
        <w:trPr>
          <w:trHeight w:val="328" w:hRule="atLeast"/>
        </w:trPr>
        <w:tc>
          <w:tcPr>
            <w:tcW w:w="5258" w:type="dxa"/>
            <w:gridSpan w:val="2"/>
            <w:vMerge w:val="continue"/>
            <w:tcBorders>
              <w:left w:val="nil"/>
              <w:bottom w:val="nil"/>
              <w:right w:val="nil"/>
            </w:tcBorders>
            <w:shd w:val="clear" w:color="auto" w:fill="auto"/>
            <w:noWrap/>
            <w:tcMar>
              <w:top w:w="15" w:type="dxa"/>
              <w:left w:w="15" w:type="dxa"/>
              <w:right w:w="15" w:type="dxa"/>
            </w:tcMar>
            <w:vAlign w:val="bottom"/>
          </w:tcPr>
          <w:p w14:paraId="13E93AA8">
            <w:pPr>
              <w:rPr>
                <w:rFonts w:hint="default" w:ascii="Arial" w:hAnsi="Arial" w:eastAsia="宋体" w:cs="Arial"/>
                <w:i w:val="0"/>
                <w:color w:val="000000"/>
                <w:sz w:val="22"/>
                <w:szCs w:val="22"/>
                <w:u w:val="none"/>
              </w:rPr>
            </w:pPr>
          </w:p>
        </w:tc>
        <w:tc>
          <w:tcPr>
            <w:tcW w:w="2412" w:type="dxa"/>
            <w:tcBorders>
              <w:top w:val="nil"/>
              <w:left w:val="nil"/>
              <w:bottom w:val="nil"/>
              <w:right w:val="nil"/>
            </w:tcBorders>
            <w:shd w:val="clear" w:color="auto" w:fill="auto"/>
            <w:noWrap/>
            <w:tcMar>
              <w:top w:w="15" w:type="dxa"/>
              <w:left w:w="15" w:type="dxa"/>
              <w:right w:w="15" w:type="dxa"/>
            </w:tcMar>
            <w:vAlign w:val="bottom"/>
          </w:tcPr>
          <w:p w14:paraId="20CBBAFD">
            <w:pPr>
              <w:rPr>
                <w:rFonts w:hint="default" w:ascii="Arial" w:hAnsi="Arial" w:eastAsia="宋体" w:cs="Arial"/>
                <w:i w:val="0"/>
                <w:color w:val="000000"/>
                <w:sz w:val="22"/>
                <w:szCs w:val="22"/>
                <w:u w:val="none"/>
              </w:rPr>
            </w:pPr>
          </w:p>
        </w:tc>
        <w:tc>
          <w:tcPr>
            <w:tcW w:w="2399" w:type="dxa"/>
            <w:tcBorders>
              <w:top w:val="nil"/>
              <w:left w:val="nil"/>
              <w:bottom w:val="nil"/>
              <w:right w:val="nil"/>
            </w:tcBorders>
            <w:shd w:val="clear" w:color="auto" w:fill="auto"/>
            <w:noWrap/>
            <w:tcMar>
              <w:top w:w="15" w:type="dxa"/>
              <w:left w:w="15" w:type="dxa"/>
              <w:right w:w="15" w:type="dxa"/>
            </w:tcMar>
            <w:vAlign w:val="bottom"/>
          </w:tcPr>
          <w:p w14:paraId="6FFFD221">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445FDA05">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77FC0447">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75BF4FFA">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3E3B8048">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3D9EDCCE">
            <w:pPr>
              <w:rPr>
                <w:rFonts w:hint="default" w:ascii="Arial" w:hAnsi="Arial" w:eastAsia="宋体" w:cs="Arial"/>
                <w:i w:val="0"/>
                <w:color w:val="000000"/>
                <w:sz w:val="22"/>
                <w:szCs w:val="22"/>
                <w:u w:val="none"/>
              </w:rPr>
            </w:pPr>
          </w:p>
        </w:tc>
        <w:tc>
          <w:tcPr>
            <w:tcW w:w="2336" w:type="dxa"/>
            <w:tcBorders>
              <w:top w:val="nil"/>
              <w:left w:val="nil"/>
              <w:bottom w:val="nil"/>
              <w:right w:val="nil"/>
            </w:tcBorders>
            <w:shd w:val="clear" w:color="auto" w:fill="auto"/>
            <w:noWrap/>
            <w:tcMar>
              <w:top w:w="15" w:type="dxa"/>
              <w:left w:w="15" w:type="dxa"/>
              <w:right w:w="15" w:type="dxa"/>
            </w:tcMar>
            <w:vAlign w:val="bottom"/>
          </w:tcPr>
          <w:p w14:paraId="523D4728">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0EDF6C46">
        <w:tblPrEx>
          <w:shd w:val="clear" w:color="auto" w:fill="auto"/>
          <w:tblCellMar>
            <w:top w:w="0" w:type="dxa"/>
            <w:left w:w="0" w:type="dxa"/>
            <w:bottom w:w="0" w:type="dxa"/>
            <w:right w:w="0" w:type="dxa"/>
          </w:tblCellMar>
        </w:tblPrEx>
        <w:trPr>
          <w:trHeight w:val="431" w:hRule="atLeast"/>
        </w:trPr>
        <w:tc>
          <w:tcPr>
            <w:tcW w:w="5258" w:type="dxa"/>
            <w:gridSpan w:val="2"/>
            <w:tcBorders>
              <w:top w:val="single" w:color="000000" w:sz="4" w:space="0"/>
              <w:left w:val="single" w:color="000000" w:sz="4" w:space="0"/>
              <w:bottom w:val="single" w:color="000000" w:sz="4" w:space="0"/>
              <w:right w:val="nil"/>
            </w:tcBorders>
            <w:shd w:val="clear" w:color="auto" w:fill="D0CECE"/>
            <w:noWrap/>
            <w:tcMar>
              <w:top w:w="15" w:type="dxa"/>
              <w:left w:w="15" w:type="dxa"/>
              <w:right w:w="15" w:type="dxa"/>
            </w:tcMar>
            <w:vAlign w:val="bottom"/>
          </w:tcPr>
          <w:p w14:paraId="29B9B021">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412"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F7134B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239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0D939D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财政拨款收入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1AD4D4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上级补助收入</w:t>
            </w:r>
          </w:p>
        </w:tc>
        <w:tc>
          <w:tcPr>
            <w:tcW w:w="3926"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12116F49">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事业收入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591120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经营收入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075C83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附属单位上缴收入</w:t>
            </w:r>
          </w:p>
        </w:tc>
        <w:tc>
          <w:tcPr>
            <w:tcW w:w="233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024BDD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其他收入</w:t>
            </w:r>
          </w:p>
        </w:tc>
      </w:tr>
      <w:tr w14:paraId="3CEB45ED">
        <w:tblPrEx>
          <w:shd w:val="clear" w:color="auto" w:fill="auto"/>
          <w:tblCellMar>
            <w:top w:w="0" w:type="dxa"/>
            <w:left w:w="0" w:type="dxa"/>
            <w:bottom w:w="0" w:type="dxa"/>
            <w:right w:w="0" w:type="dxa"/>
          </w:tblCellMar>
        </w:tblPrEx>
        <w:trPr>
          <w:trHeight w:val="334" w:hRule="atLeast"/>
        </w:trPr>
        <w:tc>
          <w:tcPr>
            <w:tcW w:w="1941"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87C908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3317" w:type="dxa"/>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14:paraId="030B9D9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B88CC0E">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8714AC1">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0BAE9FD">
            <w:pPr>
              <w:jc w:val="center"/>
              <w:rPr>
                <w:rFonts w:hint="eastAsia" w:ascii="宋体" w:hAnsi="宋体" w:eastAsia="宋体" w:cs="宋体"/>
                <w:b/>
                <w:i w:val="0"/>
                <w:color w:val="000000"/>
                <w:sz w:val="22"/>
                <w:szCs w:val="22"/>
                <w:u w:val="none"/>
              </w:rPr>
            </w:pP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1A94BD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B9DD37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其中：教育收费</w:t>
            </w: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9FCEE8C">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657DCD5">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DD72AAA">
            <w:pPr>
              <w:jc w:val="center"/>
              <w:rPr>
                <w:rFonts w:hint="eastAsia" w:ascii="宋体" w:hAnsi="宋体" w:eastAsia="宋体" w:cs="宋体"/>
                <w:b/>
                <w:i w:val="0"/>
                <w:color w:val="000000"/>
                <w:sz w:val="22"/>
                <w:szCs w:val="22"/>
                <w:u w:val="none"/>
              </w:rPr>
            </w:pPr>
          </w:p>
        </w:tc>
      </w:tr>
      <w:tr w14:paraId="70BC848E">
        <w:tblPrEx>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39AAFB2">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44A2C328">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0133333">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857AEF2">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D4EC3BB">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FD2E077">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BD10735">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405B2A9">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8D7A01A">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5964875">
            <w:pPr>
              <w:jc w:val="center"/>
              <w:rPr>
                <w:rFonts w:hint="eastAsia" w:ascii="宋体" w:hAnsi="宋体" w:eastAsia="宋体" w:cs="宋体"/>
                <w:b/>
                <w:i w:val="0"/>
                <w:color w:val="000000"/>
                <w:sz w:val="22"/>
                <w:szCs w:val="22"/>
                <w:u w:val="none"/>
              </w:rPr>
            </w:pPr>
          </w:p>
        </w:tc>
      </w:tr>
      <w:tr w14:paraId="65FD2BCB">
        <w:tblPrEx>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22F182C">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50613D2A">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7522A31">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263D506">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BE8F746">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CFAE846">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6170DE5">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115FED1">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E83B764">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F2FEC36">
            <w:pPr>
              <w:jc w:val="center"/>
              <w:rPr>
                <w:rFonts w:hint="eastAsia" w:ascii="宋体" w:hAnsi="宋体" w:eastAsia="宋体" w:cs="宋体"/>
                <w:b/>
                <w:i w:val="0"/>
                <w:color w:val="000000"/>
                <w:sz w:val="22"/>
                <w:szCs w:val="22"/>
                <w:u w:val="none"/>
              </w:rPr>
            </w:pPr>
          </w:p>
        </w:tc>
      </w:tr>
      <w:tr w14:paraId="50D301A7">
        <w:tblPrEx>
          <w:shd w:val="clear" w:color="auto" w:fill="auto"/>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6985E1D">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47D9E259">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0DE7AFE">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8DD7FD9">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DD5F3DB">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80C343D">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4521556">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AC2FC52">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94859A4">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C3FDDED">
            <w:pPr>
              <w:jc w:val="center"/>
              <w:rPr>
                <w:rFonts w:hint="eastAsia" w:ascii="宋体" w:hAnsi="宋体" w:eastAsia="宋体" w:cs="宋体"/>
                <w:b/>
                <w:i w:val="0"/>
                <w:color w:val="000000"/>
                <w:sz w:val="22"/>
                <w:szCs w:val="22"/>
                <w:u w:val="none"/>
              </w:rPr>
            </w:pPr>
          </w:p>
        </w:tc>
      </w:tr>
      <w:tr w14:paraId="67BC9114">
        <w:tblPrEx>
          <w:tblCellMar>
            <w:top w:w="0" w:type="dxa"/>
            <w:left w:w="0" w:type="dxa"/>
            <w:bottom w:w="0" w:type="dxa"/>
            <w:right w:w="0" w:type="dxa"/>
          </w:tblCellMar>
        </w:tblPrEx>
        <w:trPr>
          <w:trHeight w:val="338" w:hRule="atLeast"/>
        </w:trPr>
        <w:tc>
          <w:tcPr>
            <w:tcW w:w="5258"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C045B1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5DD67F">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123.68</w:t>
            </w:r>
            <w:r>
              <w:rPr>
                <w:rFonts w:hint="eastAsia" w:cs="宋体"/>
                <w:b/>
                <w:bCs/>
                <w:color w:val="000000"/>
                <w:sz w:val="21"/>
                <w:szCs w:val="21"/>
                <w:lang w:val="en-US" w:eastAsia="zh-CN" w:bidi="ar"/>
              </w:rPr>
              <w:t xml:space="preserve"> </w:t>
            </w:r>
          </w:p>
        </w:tc>
        <w:tc>
          <w:tcPr>
            <w:tcW w:w="23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3302FA">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123.68</w:t>
            </w: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81BB7D">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715CA9">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1F9CAF">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BCE6BE">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CE279E">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3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935317">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54C3F75E">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6A8BE1">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AB9E4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一般公共服务支出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733807">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95.08</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B5CB1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95.08</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07C34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BE66F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1271E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91C5A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EA56A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A1F08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7144AD2F">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E058D4">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20103</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88C834">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政府办公厅（室）及相关机构事务</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57B78E">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95.08</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EAB1E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95.08</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99AC9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5D342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3074B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0746F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7D16A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85064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51536AD4">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B0761B">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2010350</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B43322">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事业运行</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72209B">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95.08</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C532DF">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95.08</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76967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6D688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39EAE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AA913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D0128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29742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0327FFB0">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6E3B2C">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AE39D8">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77509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16.83</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AC6FA8">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16.83</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44D7C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FBFF1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4BEF7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E1403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AFDFF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FDD10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58815CF5">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D8501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B838AD">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49975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16.83</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0A667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16.83</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51AA3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166D2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441DF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4033C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F48C0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D57B4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60C03A46">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0D4F5D">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662174">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6A2C13">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11.22</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6904C8">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11.22</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2A343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63040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C44EA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1FA75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DDCD3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3F165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2E80CF35">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B8F7F1">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4A0B03">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34640B">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5.61</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FFF3B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5.61</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C42F0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18A14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4F4DD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D8B63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C6268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4AAFB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14093038">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7EFFDD">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DB6029">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20940B">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6.14</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85E5C1">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6.14</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A4E0D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9EDC9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160B5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F1C07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79871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94583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2CE73DF0">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25C8E0">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A8766B">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EDDD5E">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6.14</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CF016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6.14</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AE104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A1119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48105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FD083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CC3D8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F6CC9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2BDA353D">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C0042D">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ACBDAC">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67DA3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4.70</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BF226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4.70</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409AD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AB4A1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D5E85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1F308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A0D75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9514B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631D3F61">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B4E1D7">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2F0722">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880724">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1.44</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15309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1.44</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E1099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0C1A0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68C14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62D2A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B29DB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815F0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3980D439">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220C24">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70274B">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F4C13B">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5.64</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410207">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5.64</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4A3A5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8ACA8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336F1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7B465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6B52D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64FFF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5E4056B3">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8981C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C23F29">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51C0B3">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5.64</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00EC5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5.64</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6116D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CED05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B7780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EAF13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A1A8F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488A1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62B545C8">
        <w:tblPrEx>
          <w:shd w:val="clear" w:color="auto" w:fill="auto"/>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8BA251">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A26575">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2ADF1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5.64</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2C40A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5.64</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E7A43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8144F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4FBCA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351D9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5DAD4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4A41E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bl>
    <w:p w14:paraId="1E973BEB">
      <w:pPr>
        <w:ind w:left="630" w:hanging="630" w:hangingChars="300"/>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备注：1.本表反映单位本年度取得的各项收入情况。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p>
    <w:p w14:paraId="22FCB3E6">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14:paraId="124182FB">
      <w:pPr>
        <w:ind w:left="630" w:hanging="630" w:hangingChars="300"/>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6"/>
        <w:tblW w:w="22180" w:type="dxa"/>
        <w:tblInd w:w="0" w:type="dxa"/>
        <w:shd w:val="clear" w:color="auto" w:fill="auto"/>
        <w:tblLayout w:type="fixed"/>
        <w:tblCellMar>
          <w:top w:w="0" w:type="dxa"/>
          <w:left w:w="0" w:type="dxa"/>
          <w:bottom w:w="0" w:type="dxa"/>
          <w:right w:w="0" w:type="dxa"/>
        </w:tblCellMar>
      </w:tblPr>
      <w:tblGrid>
        <w:gridCol w:w="2082"/>
        <w:gridCol w:w="3528"/>
        <w:gridCol w:w="2760"/>
        <w:gridCol w:w="2760"/>
        <w:gridCol w:w="2760"/>
        <w:gridCol w:w="2760"/>
        <w:gridCol w:w="2760"/>
        <w:gridCol w:w="2770"/>
      </w:tblGrid>
      <w:tr w14:paraId="3C83DE53">
        <w:tblPrEx>
          <w:tblCellMar>
            <w:top w:w="0" w:type="dxa"/>
            <w:left w:w="0" w:type="dxa"/>
            <w:bottom w:w="0" w:type="dxa"/>
            <w:right w:w="0" w:type="dxa"/>
          </w:tblCellMar>
        </w:tblPrEx>
        <w:trPr>
          <w:trHeight w:val="654" w:hRule="atLeast"/>
        </w:trPr>
        <w:tc>
          <w:tcPr>
            <w:tcW w:w="22180" w:type="dxa"/>
            <w:gridSpan w:val="8"/>
            <w:tcBorders>
              <w:top w:val="nil"/>
              <w:left w:val="nil"/>
              <w:bottom w:val="nil"/>
              <w:right w:val="nil"/>
            </w:tcBorders>
            <w:shd w:val="clear" w:color="auto" w:fill="auto"/>
            <w:noWrap/>
            <w:tcMar>
              <w:top w:w="15" w:type="dxa"/>
              <w:left w:w="15" w:type="dxa"/>
              <w:right w:w="15" w:type="dxa"/>
            </w:tcMar>
            <w:vAlign w:val="bottom"/>
          </w:tcPr>
          <w:p w14:paraId="024C4E6F">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支出决算表</w:t>
            </w:r>
          </w:p>
        </w:tc>
      </w:tr>
      <w:tr w14:paraId="67B1E810">
        <w:tblPrEx>
          <w:tblCellMar>
            <w:top w:w="0" w:type="dxa"/>
            <w:left w:w="0" w:type="dxa"/>
            <w:bottom w:w="0" w:type="dxa"/>
            <w:right w:w="0" w:type="dxa"/>
          </w:tblCellMar>
        </w:tblPrEx>
        <w:trPr>
          <w:trHeight w:val="342" w:hRule="atLeast"/>
        </w:trPr>
        <w:tc>
          <w:tcPr>
            <w:tcW w:w="5610" w:type="dxa"/>
            <w:gridSpan w:val="2"/>
            <w:vMerge w:val="restart"/>
            <w:tcBorders>
              <w:top w:val="nil"/>
              <w:left w:val="nil"/>
              <w:right w:val="nil"/>
            </w:tcBorders>
            <w:shd w:val="clear" w:color="auto" w:fill="auto"/>
            <w:noWrap/>
            <w:tcMar>
              <w:top w:w="15" w:type="dxa"/>
              <w:left w:w="15" w:type="dxa"/>
              <w:right w:w="15" w:type="dxa"/>
            </w:tcMar>
            <w:vAlign w:val="bottom"/>
          </w:tcPr>
          <w:p w14:paraId="33572565">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 xml:space="preserve">黔江区城东街道社区事务服务中心 </w:t>
            </w:r>
          </w:p>
        </w:tc>
        <w:tc>
          <w:tcPr>
            <w:tcW w:w="2760" w:type="dxa"/>
            <w:tcBorders>
              <w:top w:val="nil"/>
              <w:left w:val="nil"/>
              <w:bottom w:val="nil"/>
              <w:right w:val="nil"/>
            </w:tcBorders>
            <w:shd w:val="clear" w:color="auto" w:fill="auto"/>
            <w:noWrap/>
            <w:tcMar>
              <w:top w:w="15" w:type="dxa"/>
              <w:left w:w="15" w:type="dxa"/>
              <w:right w:w="15" w:type="dxa"/>
            </w:tcMar>
            <w:vAlign w:val="bottom"/>
          </w:tcPr>
          <w:p w14:paraId="3B95E3AC">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5596D02C">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64495476">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59A28312">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03947039">
            <w:pPr>
              <w:rPr>
                <w:rFonts w:hint="default" w:ascii="Arial" w:hAnsi="Arial" w:eastAsia="宋体" w:cs="Arial"/>
                <w:i w:val="0"/>
                <w:color w:val="000000"/>
                <w:sz w:val="20"/>
                <w:szCs w:val="20"/>
                <w:u w:val="none"/>
              </w:rPr>
            </w:pPr>
          </w:p>
        </w:tc>
        <w:tc>
          <w:tcPr>
            <w:tcW w:w="2770" w:type="dxa"/>
            <w:tcBorders>
              <w:top w:val="nil"/>
              <w:left w:val="nil"/>
              <w:bottom w:val="nil"/>
              <w:right w:val="nil"/>
            </w:tcBorders>
            <w:shd w:val="clear" w:color="auto" w:fill="auto"/>
            <w:noWrap/>
            <w:tcMar>
              <w:top w:w="15" w:type="dxa"/>
              <w:left w:w="15" w:type="dxa"/>
              <w:right w:w="15" w:type="dxa"/>
            </w:tcMar>
            <w:vAlign w:val="bottom"/>
          </w:tcPr>
          <w:p w14:paraId="0A72DD9A">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公开03表</w:t>
            </w:r>
          </w:p>
        </w:tc>
      </w:tr>
      <w:tr w14:paraId="7ED3278A">
        <w:tblPrEx>
          <w:tblCellMar>
            <w:top w:w="0" w:type="dxa"/>
            <w:left w:w="0" w:type="dxa"/>
            <w:bottom w:w="0" w:type="dxa"/>
            <w:right w:w="0" w:type="dxa"/>
          </w:tblCellMar>
        </w:tblPrEx>
        <w:trPr>
          <w:trHeight w:val="342" w:hRule="atLeast"/>
        </w:trPr>
        <w:tc>
          <w:tcPr>
            <w:tcW w:w="5610" w:type="dxa"/>
            <w:gridSpan w:val="2"/>
            <w:vMerge w:val="continue"/>
            <w:tcBorders>
              <w:left w:val="nil"/>
              <w:bottom w:val="nil"/>
              <w:right w:val="nil"/>
            </w:tcBorders>
            <w:shd w:val="clear" w:color="auto" w:fill="auto"/>
            <w:noWrap/>
            <w:tcMar>
              <w:top w:w="15" w:type="dxa"/>
              <w:left w:w="15" w:type="dxa"/>
              <w:right w:w="15" w:type="dxa"/>
            </w:tcMar>
            <w:vAlign w:val="bottom"/>
          </w:tcPr>
          <w:p w14:paraId="7D4533B7">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275A9300">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4624D568">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76400014">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020D6CE9">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63FD7C55">
            <w:pPr>
              <w:rPr>
                <w:rFonts w:hint="default" w:ascii="Arial" w:hAnsi="Arial" w:eastAsia="宋体" w:cs="Arial"/>
                <w:i w:val="0"/>
                <w:color w:val="000000"/>
                <w:sz w:val="22"/>
                <w:szCs w:val="22"/>
                <w:u w:val="none"/>
              </w:rPr>
            </w:pPr>
          </w:p>
        </w:tc>
        <w:tc>
          <w:tcPr>
            <w:tcW w:w="2770" w:type="dxa"/>
            <w:tcBorders>
              <w:top w:val="nil"/>
              <w:left w:val="nil"/>
              <w:bottom w:val="nil"/>
              <w:right w:val="nil"/>
            </w:tcBorders>
            <w:shd w:val="clear" w:color="auto" w:fill="auto"/>
            <w:noWrap/>
            <w:tcMar>
              <w:top w:w="15" w:type="dxa"/>
              <w:left w:w="15" w:type="dxa"/>
              <w:right w:w="15" w:type="dxa"/>
            </w:tcMar>
            <w:vAlign w:val="bottom"/>
          </w:tcPr>
          <w:p w14:paraId="1EB01C39">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4BF4B746">
        <w:tblPrEx>
          <w:shd w:val="clear" w:color="auto" w:fill="auto"/>
          <w:tblCellMar>
            <w:top w:w="0" w:type="dxa"/>
            <w:left w:w="0" w:type="dxa"/>
            <w:bottom w:w="0" w:type="dxa"/>
            <w:right w:w="0" w:type="dxa"/>
          </w:tblCellMar>
        </w:tblPrEx>
        <w:trPr>
          <w:trHeight w:val="362" w:hRule="atLeast"/>
        </w:trPr>
        <w:tc>
          <w:tcPr>
            <w:tcW w:w="5610"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6071B7EC">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C1F2DD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0F7D6E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C80E0F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9024A6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上缴上级支出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CB829A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经营支出</w:t>
            </w:r>
          </w:p>
        </w:tc>
        <w:tc>
          <w:tcPr>
            <w:tcW w:w="277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F60726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对附属单位补助支出</w:t>
            </w:r>
          </w:p>
        </w:tc>
      </w:tr>
      <w:tr w14:paraId="53796F75">
        <w:tblPrEx>
          <w:shd w:val="clear" w:color="auto" w:fill="auto"/>
          <w:tblCellMar>
            <w:top w:w="0" w:type="dxa"/>
            <w:left w:w="0" w:type="dxa"/>
            <w:bottom w:w="0" w:type="dxa"/>
            <w:right w:w="0" w:type="dxa"/>
          </w:tblCellMar>
        </w:tblPrEx>
        <w:trPr>
          <w:trHeight w:val="338" w:hRule="atLeast"/>
        </w:trPr>
        <w:tc>
          <w:tcPr>
            <w:tcW w:w="2082"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A9B97C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3528" w:type="dxa"/>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14:paraId="7F2CF54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07EDEDC">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9647C79">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678D86B">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066257C">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6842388">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D74EE08">
            <w:pPr>
              <w:jc w:val="center"/>
              <w:rPr>
                <w:rFonts w:hint="eastAsia" w:ascii="宋体" w:hAnsi="宋体" w:eastAsia="宋体" w:cs="宋体"/>
                <w:b/>
                <w:i w:val="0"/>
                <w:color w:val="000000"/>
                <w:sz w:val="22"/>
                <w:szCs w:val="22"/>
                <w:u w:val="none"/>
              </w:rPr>
            </w:pPr>
          </w:p>
        </w:tc>
      </w:tr>
      <w:tr w14:paraId="0A38DAD0">
        <w:tblPrEx>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9A8BE13">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23E61DA0">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2279549">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EDFD40E">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EAA1D4F">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9194DE8">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49B3F79">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41EB55C">
            <w:pPr>
              <w:jc w:val="center"/>
              <w:rPr>
                <w:rFonts w:hint="eastAsia" w:ascii="宋体" w:hAnsi="宋体" w:eastAsia="宋体" w:cs="宋体"/>
                <w:b/>
                <w:i w:val="0"/>
                <w:color w:val="000000"/>
                <w:sz w:val="22"/>
                <w:szCs w:val="22"/>
                <w:u w:val="none"/>
              </w:rPr>
            </w:pPr>
          </w:p>
        </w:tc>
      </w:tr>
      <w:tr w14:paraId="5AB43880">
        <w:tblPrEx>
          <w:shd w:val="clear" w:color="auto" w:fill="auto"/>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AE12541">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0FC99F7C">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82FF185">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0CC1D48">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8A4A539">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DC66C32">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0CACCB1">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FF3623A">
            <w:pPr>
              <w:jc w:val="center"/>
              <w:rPr>
                <w:rFonts w:hint="eastAsia" w:ascii="宋体" w:hAnsi="宋体" w:eastAsia="宋体" w:cs="宋体"/>
                <w:b/>
                <w:i w:val="0"/>
                <w:color w:val="000000"/>
                <w:sz w:val="22"/>
                <w:szCs w:val="22"/>
                <w:u w:val="none"/>
              </w:rPr>
            </w:pPr>
          </w:p>
        </w:tc>
      </w:tr>
      <w:tr w14:paraId="57F511C9">
        <w:tblPrEx>
          <w:shd w:val="clear" w:color="auto" w:fill="auto"/>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0FC6DB2">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5DEDB8E8">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A0AD82B">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485106F">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A1F15D1">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F055F73">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9977C97">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9DC7C17">
            <w:pPr>
              <w:jc w:val="center"/>
              <w:rPr>
                <w:rFonts w:hint="eastAsia" w:ascii="宋体" w:hAnsi="宋体" w:eastAsia="宋体" w:cs="宋体"/>
                <w:b/>
                <w:i w:val="0"/>
                <w:color w:val="000000"/>
                <w:sz w:val="22"/>
                <w:szCs w:val="22"/>
                <w:u w:val="none"/>
              </w:rPr>
            </w:pPr>
          </w:p>
        </w:tc>
      </w:tr>
      <w:tr w14:paraId="31521D3F">
        <w:tblPrEx>
          <w:shd w:val="clear" w:color="auto" w:fill="auto"/>
          <w:tblCellMar>
            <w:top w:w="0" w:type="dxa"/>
            <w:left w:w="0" w:type="dxa"/>
            <w:bottom w:w="0" w:type="dxa"/>
            <w:right w:w="0" w:type="dxa"/>
          </w:tblCellMar>
        </w:tblPrEx>
        <w:trPr>
          <w:trHeight w:val="362" w:hRule="atLeast"/>
        </w:trPr>
        <w:tc>
          <w:tcPr>
            <w:tcW w:w="5610"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89C523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F4420F">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123.68</w:t>
            </w: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C50C50">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123.68</w:t>
            </w: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761BDB">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60FCA4">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2306E1">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03D798">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6BCAC399">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D2C8EE">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A47449">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一般公共服务支出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80E6A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95.08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CDFDE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95.08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91CCA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11508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4AD3D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5F77B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311773C5">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627A3F">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20103</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4BE3E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政府办公厅（室）及相关机构事务</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8820CE">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95.08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487A71">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95.08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50B29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DEBD5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E6E89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99768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3B86D76A">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E2B274">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2010350</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D965DF">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事业运行</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DA91A7">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95.08</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36961F">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95.08</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1E5A8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3368C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E49F0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60A21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4FCF5C6A">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FB9BCB">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931A46">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E6B63B">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16.83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D7448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16.83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EDAEE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BD3D5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364E5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90FC2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4637D037">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B6047B">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9AB05A">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353E9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16.83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D5476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16.83</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56544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E2F91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4A1FA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2EE76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70CD35D5">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023FB5">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88A8B3">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D66D2C">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11.22</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F75D7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11.22</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9D0AE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F9D93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8760F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3F95F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5622A3EE">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B1058B">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67C4A3">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9AE27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5.61</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F68A4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5.61</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D3F62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E718F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21DE4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9A6AF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28BE8DDC">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3D027D">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E177D1">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D72BA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6.14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133D2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6.14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6289D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5DB33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7C752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01A3D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5093F31D">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C1E059">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84B75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41173F">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6.14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01410B">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6.14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94943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79318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4D875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1CED8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588BE6C3">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C1A166">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DFEA2F">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66B93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4.70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F616BF">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4.70</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D5889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1BA90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1FDEA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CB83B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6660FFFB">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D68D92">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3150CC">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F771E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1.44</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BB656A">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1.44</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A8AD1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97330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52C86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39811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0C6B3560">
        <w:tblPrEx>
          <w:shd w:val="clear" w:color="auto" w:fill="auto"/>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F44549">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2FB022">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51B8AE">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5.64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B3E9EF">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5.64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38ACF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C46B3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FCC14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95369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37A51B7A">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A50296">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1057BF">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97D26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5.64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CC345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5.64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ED9EB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AC3E4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1E308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517BD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5B77E1F3">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36A926">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C1C67D">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96F1B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5.64</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4D60F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5.64</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EED50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1BA28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E96B7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5CDE9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bl>
    <w:p w14:paraId="52B71864">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备注：1.本表反映单位本年度取得的各项收入情况。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17250EC9">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14:paraId="5783DBCC">
      <w:pPr>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6"/>
        <w:tblW w:w="22360" w:type="dxa"/>
        <w:tblInd w:w="0" w:type="dxa"/>
        <w:shd w:val="clear" w:color="auto" w:fill="auto"/>
        <w:tblLayout w:type="fixed"/>
        <w:tblCellMar>
          <w:top w:w="0" w:type="dxa"/>
          <w:left w:w="0" w:type="dxa"/>
          <w:bottom w:w="0" w:type="dxa"/>
          <w:right w:w="0" w:type="dxa"/>
        </w:tblCellMar>
      </w:tblPr>
      <w:tblGrid>
        <w:gridCol w:w="4068"/>
        <w:gridCol w:w="2674"/>
        <w:gridCol w:w="3752"/>
        <w:gridCol w:w="2952"/>
        <w:gridCol w:w="2952"/>
        <w:gridCol w:w="2952"/>
        <w:gridCol w:w="3010"/>
      </w:tblGrid>
      <w:tr w14:paraId="186FC61F">
        <w:tblPrEx>
          <w:tblCellMar>
            <w:top w:w="0" w:type="dxa"/>
            <w:left w:w="0" w:type="dxa"/>
            <w:bottom w:w="0" w:type="dxa"/>
            <w:right w:w="0" w:type="dxa"/>
          </w:tblCellMar>
        </w:tblPrEx>
        <w:trPr>
          <w:trHeight w:val="90" w:hRule="atLeast"/>
        </w:trPr>
        <w:tc>
          <w:tcPr>
            <w:tcW w:w="22360" w:type="dxa"/>
            <w:gridSpan w:val="7"/>
            <w:tcBorders>
              <w:top w:val="nil"/>
              <w:left w:val="nil"/>
              <w:bottom w:val="nil"/>
              <w:right w:val="nil"/>
            </w:tcBorders>
            <w:shd w:val="clear" w:color="auto" w:fill="auto"/>
            <w:noWrap/>
            <w:tcMar>
              <w:top w:w="15" w:type="dxa"/>
              <w:left w:w="15" w:type="dxa"/>
              <w:right w:w="15" w:type="dxa"/>
            </w:tcMar>
            <w:vAlign w:val="bottom"/>
          </w:tcPr>
          <w:p w14:paraId="39C5C0B9">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财政拨款收入支出决算总表</w:t>
            </w:r>
          </w:p>
        </w:tc>
      </w:tr>
      <w:tr w14:paraId="14F04ACB">
        <w:tblPrEx>
          <w:tblCellMar>
            <w:top w:w="0" w:type="dxa"/>
            <w:left w:w="0" w:type="dxa"/>
            <w:bottom w:w="0" w:type="dxa"/>
            <w:right w:w="0" w:type="dxa"/>
          </w:tblCellMar>
        </w:tblPrEx>
        <w:trPr>
          <w:trHeight w:val="90" w:hRule="atLeast"/>
        </w:trPr>
        <w:tc>
          <w:tcPr>
            <w:tcW w:w="6742" w:type="dxa"/>
            <w:gridSpan w:val="2"/>
            <w:vMerge w:val="restart"/>
            <w:tcBorders>
              <w:top w:val="nil"/>
              <w:left w:val="nil"/>
              <w:right w:val="nil"/>
            </w:tcBorders>
            <w:shd w:val="clear" w:color="auto" w:fill="auto"/>
            <w:noWrap/>
            <w:tcMar>
              <w:top w:w="15" w:type="dxa"/>
              <w:left w:w="15" w:type="dxa"/>
              <w:right w:w="15" w:type="dxa"/>
            </w:tcMar>
            <w:vAlign w:val="bottom"/>
          </w:tcPr>
          <w:p w14:paraId="5F599A09">
            <w:pPr>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黔江区城东街道社区事务服务中心</w:t>
            </w:r>
          </w:p>
        </w:tc>
        <w:tc>
          <w:tcPr>
            <w:tcW w:w="3752" w:type="dxa"/>
            <w:tcBorders>
              <w:top w:val="nil"/>
              <w:left w:val="nil"/>
              <w:bottom w:val="nil"/>
              <w:right w:val="nil"/>
            </w:tcBorders>
            <w:shd w:val="clear" w:color="auto" w:fill="auto"/>
            <w:noWrap/>
            <w:tcMar>
              <w:top w:w="15" w:type="dxa"/>
              <w:left w:w="15" w:type="dxa"/>
              <w:right w:w="15" w:type="dxa"/>
            </w:tcMar>
            <w:vAlign w:val="bottom"/>
          </w:tcPr>
          <w:p w14:paraId="44904E85">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2AAD9ED7">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55259137">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5099765B">
            <w:pPr>
              <w:rPr>
                <w:rFonts w:hint="default" w:ascii="Arial" w:hAnsi="Arial" w:eastAsia="宋体" w:cs="Arial"/>
                <w:i w:val="0"/>
                <w:color w:val="000000"/>
                <w:sz w:val="20"/>
                <w:szCs w:val="20"/>
                <w:u w:val="none"/>
              </w:rPr>
            </w:pPr>
          </w:p>
        </w:tc>
        <w:tc>
          <w:tcPr>
            <w:tcW w:w="3010" w:type="dxa"/>
            <w:tcBorders>
              <w:top w:val="nil"/>
              <w:left w:val="nil"/>
              <w:bottom w:val="nil"/>
              <w:right w:val="nil"/>
            </w:tcBorders>
            <w:shd w:val="clear" w:color="auto" w:fill="auto"/>
            <w:noWrap/>
            <w:tcMar>
              <w:top w:w="15" w:type="dxa"/>
              <w:left w:w="15" w:type="dxa"/>
              <w:right w:w="15" w:type="dxa"/>
            </w:tcMar>
            <w:vAlign w:val="bottom"/>
          </w:tcPr>
          <w:p w14:paraId="3F358590">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公开04表</w:t>
            </w:r>
          </w:p>
        </w:tc>
      </w:tr>
      <w:tr w14:paraId="58D113E0">
        <w:tblPrEx>
          <w:tblCellMar>
            <w:top w:w="0" w:type="dxa"/>
            <w:left w:w="0" w:type="dxa"/>
            <w:bottom w:w="0" w:type="dxa"/>
            <w:right w:w="0" w:type="dxa"/>
          </w:tblCellMar>
        </w:tblPrEx>
        <w:trPr>
          <w:trHeight w:val="90" w:hRule="atLeast"/>
        </w:trPr>
        <w:tc>
          <w:tcPr>
            <w:tcW w:w="6742" w:type="dxa"/>
            <w:gridSpan w:val="2"/>
            <w:vMerge w:val="continue"/>
            <w:tcBorders>
              <w:left w:val="nil"/>
              <w:bottom w:val="nil"/>
              <w:right w:val="nil"/>
            </w:tcBorders>
            <w:shd w:val="clear" w:color="auto" w:fill="auto"/>
            <w:noWrap/>
            <w:tcMar>
              <w:top w:w="15" w:type="dxa"/>
              <w:left w:w="15" w:type="dxa"/>
              <w:right w:w="15" w:type="dxa"/>
            </w:tcMar>
            <w:vAlign w:val="bottom"/>
          </w:tcPr>
          <w:p w14:paraId="0386979A">
            <w:pPr>
              <w:rPr>
                <w:rFonts w:hint="default" w:ascii="Arial" w:hAnsi="Arial" w:eastAsia="宋体" w:cs="Arial"/>
                <w:i w:val="0"/>
                <w:color w:val="000000"/>
                <w:sz w:val="22"/>
                <w:szCs w:val="22"/>
                <w:u w:val="none"/>
              </w:rPr>
            </w:pPr>
          </w:p>
        </w:tc>
        <w:tc>
          <w:tcPr>
            <w:tcW w:w="3752" w:type="dxa"/>
            <w:tcBorders>
              <w:top w:val="nil"/>
              <w:left w:val="nil"/>
              <w:bottom w:val="nil"/>
              <w:right w:val="nil"/>
            </w:tcBorders>
            <w:shd w:val="clear" w:color="auto" w:fill="auto"/>
            <w:noWrap/>
            <w:tcMar>
              <w:top w:w="15" w:type="dxa"/>
              <w:left w:w="15" w:type="dxa"/>
              <w:right w:w="15" w:type="dxa"/>
            </w:tcMar>
            <w:vAlign w:val="bottom"/>
          </w:tcPr>
          <w:p w14:paraId="300B6D96">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2CE524E4">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37759653">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2212E4C2">
            <w:pPr>
              <w:rPr>
                <w:rFonts w:hint="default" w:ascii="Arial" w:hAnsi="Arial" w:eastAsia="宋体" w:cs="Arial"/>
                <w:i w:val="0"/>
                <w:color w:val="000000"/>
                <w:sz w:val="22"/>
                <w:szCs w:val="22"/>
                <w:u w:val="none"/>
              </w:rPr>
            </w:pPr>
          </w:p>
        </w:tc>
        <w:tc>
          <w:tcPr>
            <w:tcW w:w="3010" w:type="dxa"/>
            <w:tcBorders>
              <w:top w:val="nil"/>
              <w:left w:val="nil"/>
              <w:bottom w:val="nil"/>
              <w:right w:val="nil"/>
            </w:tcBorders>
            <w:shd w:val="clear" w:color="auto" w:fill="auto"/>
            <w:noWrap/>
            <w:tcMar>
              <w:top w:w="15" w:type="dxa"/>
              <w:left w:w="15" w:type="dxa"/>
              <w:right w:w="15" w:type="dxa"/>
            </w:tcMar>
            <w:vAlign w:val="bottom"/>
          </w:tcPr>
          <w:p w14:paraId="3E0364B9">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478EF71D">
        <w:tblPrEx>
          <w:tblCellMar>
            <w:top w:w="0" w:type="dxa"/>
            <w:left w:w="0" w:type="dxa"/>
            <w:bottom w:w="0" w:type="dxa"/>
            <w:right w:w="0" w:type="dxa"/>
          </w:tblCellMar>
        </w:tblPrEx>
        <w:trPr>
          <w:trHeight w:val="90" w:hRule="atLeast"/>
        </w:trPr>
        <w:tc>
          <w:tcPr>
            <w:tcW w:w="6742"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B0B670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     入</w:t>
            </w:r>
          </w:p>
        </w:tc>
        <w:tc>
          <w:tcPr>
            <w:tcW w:w="15618" w:type="dxa"/>
            <w:gridSpan w:val="5"/>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F1CAEB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     出</w:t>
            </w:r>
          </w:p>
        </w:tc>
      </w:tr>
      <w:tr w14:paraId="62A0DA24">
        <w:tblPrEx>
          <w:tblCellMar>
            <w:top w:w="0" w:type="dxa"/>
            <w:left w:w="0" w:type="dxa"/>
            <w:bottom w:w="0" w:type="dxa"/>
            <w:right w:w="0" w:type="dxa"/>
          </w:tblCellMar>
        </w:tblPrEx>
        <w:trPr>
          <w:trHeight w:val="90" w:hRule="atLeast"/>
        </w:trPr>
        <w:tc>
          <w:tcPr>
            <w:tcW w:w="4068"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456B74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674"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A595AB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375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1F93F3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w:t>
            </w:r>
          </w:p>
        </w:tc>
        <w:tc>
          <w:tcPr>
            <w:tcW w:w="11866" w:type="dxa"/>
            <w:gridSpan w:val="4"/>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C424F6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14:paraId="11C25CE2">
        <w:tblPrEx>
          <w:tblCellMar>
            <w:top w:w="0" w:type="dxa"/>
            <w:left w:w="0" w:type="dxa"/>
            <w:bottom w:w="0" w:type="dxa"/>
            <w:right w:w="0" w:type="dxa"/>
          </w:tblCellMar>
        </w:tblPrEx>
        <w:trPr>
          <w:trHeight w:val="90" w:hRule="atLeast"/>
        </w:trPr>
        <w:tc>
          <w:tcPr>
            <w:tcW w:w="4068"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BEB27B6">
            <w:pPr>
              <w:jc w:val="center"/>
              <w:rPr>
                <w:rFonts w:hint="eastAsia" w:ascii="宋体" w:hAnsi="宋体" w:eastAsia="宋体" w:cs="宋体"/>
                <w:b/>
                <w:i w:val="0"/>
                <w:color w:val="000000"/>
                <w:sz w:val="22"/>
                <w:szCs w:val="22"/>
                <w:u w:val="none"/>
              </w:rPr>
            </w:pPr>
          </w:p>
        </w:tc>
        <w:tc>
          <w:tcPr>
            <w:tcW w:w="2674"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9CC4D02">
            <w:pPr>
              <w:jc w:val="center"/>
              <w:rPr>
                <w:rFonts w:hint="eastAsia" w:ascii="宋体" w:hAnsi="宋体" w:eastAsia="宋体" w:cs="宋体"/>
                <w:b/>
                <w:i w:val="0"/>
                <w:color w:val="000000"/>
                <w:sz w:val="22"/>
                <w:szCs w:val="22"/>
                <w:u w:val="none"/>
              </w:rPr>
            </w:pPr>
          </w:p>
        </w:tc>
        <w:tc>
          <w:tcPr>
            <w:tcW w:w="375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CD426F2">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9A2FC4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697756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一般公共预算财政拨款</w:t>
            </w: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5E5AB6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政府性基金预算财政拨款</w:t>
            </w:r>
          </w:p>
        </w:tc>
        <w:tc>
          <w:tcPr>
            <w:tcW w:w="301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D1E13D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国有资本经营预算财政拨款</w:t>
            </w:r>
          </w:p>
        </w:tc>
      </w:tr>
      <w:tr w14:paraId="5268B069">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940217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6B0B5C">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123.68</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90794D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211305">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95.08</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EE850C">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95.08</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1AF77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2E6D2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15A6BC0">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232777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052AC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B5C6C7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B647A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C3A47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EC9A3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BED9C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3D4B1BB">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E733C2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6126C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5C9836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2178D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A5D72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DDCB8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636B3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9F3ABA1">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1737DCC">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CB5D73D">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82DE19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B0126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3722B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C4E56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64F8A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ACCA18B">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407D628">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EAFFBAC">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A386A8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F6ECB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13BF0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87FC1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667B8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F17150F">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8307462">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CAC7B67">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75057E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AF6D3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5EF86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A365B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034B0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9C4B7B5">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8B3C302">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86E6A19">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356072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66D6B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D292E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2DCBB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6EF26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124C3AE">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74FC1F4">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254F145">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4282D9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99E009">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16.83</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0B8564">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16.83</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C1142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D0CB1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2555444">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D3A2963">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F226BEE">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4BE4ED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DC7174">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6.14</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2A472C">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6.14</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81724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410B9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2A49A7E">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335AA63">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01404F">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610039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DD0BB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5170A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B5606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D0DBA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0559BF9">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47E65C6">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192EEA">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11BC4A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571AE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73671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50F86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60F6B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111F3E9">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3058EA3">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2E081A">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0945D8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153D9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393D7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3A709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F5199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D4945DB">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3E23807">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A9C00B">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E43EEF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40541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77778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EDC9E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31AC5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A4901A5">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2FA77A2">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42E3CF">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D889BE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2B14E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5DDF3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0AE29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FF13C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499B54E">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6251BBA">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D553EA">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F88DE8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02A6D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6ACF5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4716E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96BF6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70499D4">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88AB4D4">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702FB5">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71F915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A560A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2C861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7A81B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588D4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377C12A">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BDB401D">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5B997F">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BDD080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E7A15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F1A15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20116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DA0FE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55E060A">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303D0CB">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93F9E3">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E1076D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65390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59E77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8E394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2161C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AA37EC1">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F4C92A9">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E15572">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B7A6F6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D57A8F">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5.64</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7CC9B5">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5.64</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2E9B3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EAD11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3433035">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398FA6C">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E0E459">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D3CA00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0AD22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AAF82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1793F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0E28C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268F2B3">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C4C30F6">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173519">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A53B8D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5BA59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9128F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3E564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9CF0B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1907D2E">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B6C28D4">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AA2F50">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459318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D10FD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36CF1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B7D1A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0F32F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CA3E009">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1271657">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F135F4">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D12B77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0BDFC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9692F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72E3E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FD6D2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4F0F5AB">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56048A21">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61A29E">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3AA061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F58F9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0A79B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B8A7B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8D856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CE68A6D">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5FF6DEE4">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8E6E97">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FA0C89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3DDD0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A2861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C3D87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2EA0B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04B91F2">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49E0ECA6">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0D7B4C">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907911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485F9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9652D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202B6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EAFD9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AEA54A8">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9C89AD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30759D">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123.68</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E22FD3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39E48B">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123.68</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2898B6">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123.68</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07644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59265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8711F73">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155192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年初财政拨款结转和结余</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22C2D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800743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年末财政拨款结转和结余</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887A5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FE68D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2BBB2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F27CE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D5BC076">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EC26CE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一般公共预算财政拨款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86799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3146C2E0">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B1068C4">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9A4DBE6">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8912F74">
            <w:pPr>
              <w:rPr>
                <w:rFonts w:hint="default" w:ascii="Arial" w:hAnsi="Arial" w:eastAsia="宋体" w:cs="Arial"/>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ADBBBB1">
            <w:pPr>
              <w:rPr>
                <w:rFonts w:hint="default" w:ascii="Arial" w:hAnsi="Arial" w:eastAsia="宋体" w:cs="Arial"/>
                <w:i w:val="0"/>
                <w:color w:val="000000"/>
                <w:sz w:val="20"/>
                <w:szCs w:val="20"/>
                <w:u w:val="none"/>
              </w:rPr>
            </w:pPr>
          </w:p>
        </w:tc>
      </w:tr>
      <w:tr w14:paraId="42DADEC2">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52BE1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政府性基金预算财政拨款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431F4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4B7BFD3">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428483">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785EED">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F81CA0">
            <w:pPr>
              <w:jc w:val="right"/>
              <w:rPr>
                <w:rFonts w:hint="eastAsia" w:ascii="宋体" w:hAnsi="宋体" w:eastAsia="宋体" w:cs="宋体"/>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7535E4">
            <w:pPr>
              <w:jc w:val="right"/>
              <w:rPr>
                <w:rFonts w:hint="eastAsia" w:ascii="宋体" w:hAnsi="宋体" w:eastAsia="宋体" w:cs="宋体"/>
                <w:i w:val="0"/>
                <w:color w:val="000000"/>
                <w:sz w:val="22"/>
                <w:szCs w:val="22"/>
                <w:u w:val="none"/>
              </w:rPr>
            </w:pPr>
          </w:p>
        </w:tc>
      </w:tr>
      <w:tr w14:paraId="6A4E6060">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C9A412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国有资本经营预算财政拨款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F827B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BD1E128">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222F91">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73794A">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6BABEB">
            <w:pPr>
              <w:jc w:val="right"/>
              <w:rPr>
                <w:rFonts w:hint="eastAsia" w:ascii="宋体" w:hAnsi="宋体" w:eastAsia="宋体" w:cs="宋体"/>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221351">
            <w:pPr>
              <w:jc w:val="right"/>
              <w:rPr>
                <w:rFonts w:hint="eastAsia" w:ascii="宋体" w:hAnsi="宋体" w:eastAsia="宋体" w:cs="宋体"/>
                <w:i w:val="0"/>
                <w:color w:val="000000"/>
                <w:sz w:val="22"/>
                <w:szCs w:val="22"/>
                <w:u w:val="none"/>
              </w:rPr>
            </w:pPr>
          </w:p>
        </w:tc>
      </w:tr>
      <w:tr w14:paraId="720D6FCD">
        <w:tblPrEx>
          <w:shd w:val="clear" w:color="auto" w:fill="auto"/>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AD0160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274641">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123.68</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1CD17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F2D414">
            <w:pPr>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123.68</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F3BECA">
            <w:pPr>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123.68</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241D3C">
            <w:pPr>
              <w:wordWrap w:val="0"/>
              <w:jc w:val="right"/>
              <w:textAlignment w:val="center"/>
              <w:rPr>
                <w:rFonts w:hint="eastAsia" w:ascii="宋体" w:hAnsi="宋体" w:eastAsia="宋体" w:cs="宋体"/>
                <w:i w:val="0"/>
                <w:color w:val="000000"/>
                <w:sz w:val="20"/>
                <w:szCs w:val="20"/>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BCBF0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bl>
    <w:p w14:paraId="6FB933BE">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备注：1.本表反映单位本年度一般公共预算财政拨款、政府性基金预算财政拨款及国有资本经营预算财政拨款的总收支和年末结转结余情况。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72FA0F0C">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300" w:type="dxa"/>
        <w:tblInd w:w="0" w:type="dxa"/>
        <w:shd w:val="clear" w:color="auto" w:fill="auto"/>
        <w:tblLayout w:type="fixed"/>
        <w:tblCellMar>
          <w:top w:w="0" w:type="dxa"/>
          <w:left w:w="0" w:type="dxa"/>
          <w:bottom w:w="0" w:type="dxa"/>
          <w:right w:w="0" w:type="dxa"/>
        </w:tblCellMar>
      </w:tblPr>
      <w:tblGrid>
        <w:gridCol w:w="2694"/>
        <w:gridCol w:w="5151"/>
        <w:gridCol w:w="4817"/>
        <w:gridCol w:w="4817"/>
        <w:gridCol w:w="4821"/>
      </w:tblGrid>
      <w:tr w14:paraId="005500A7">
        <w:tblPrEx>
          <w:shd w:val="clear" w:color="auto" w:fill="auto"/>
          <w:tblCellMar>
            <w:top w:w="0" w:type="dxa"/>
            <w:left w:w="0" w:type="dxa"/>
            <w:bottom w:w="0" w:type="dxa"/>
            <w:right w:w="0" w:type="dxa"/>
          </w:tblCellMar>
        </w:tblPrEx>
        <w:trPr>
          <w:trHeight w:val="510" w:hRule="atLeast"/>
        </w:trPr>
        <w:tc>
          <w:tcPr>
            <w:tcW w:w="22300" w:type="dxa"/>
            <w:gridSpan w:val="5"/>
            <w:tcBorders>
              <w:top w:val="nil"/>
              <w:left w:val="nil"/>
              <w:bottom w:val="nil"/>
              <w:right w:val="nil"/>
            </w:tcBorders>
            <w:shd w:val="clear" w:color="auto" w:fill="auto"/>
            <w:noWrap/>
            <w:tcMar>
              <w:top w:w="15" w:type="dxa"/>
              <w:left w:w="15" w:type="dxa"/>
              <w:right w:w="15" w:type="dxa"/>
            </w:tcMar>
            <w:vAlign w:val="bottom"/>
          </w:tcPr>
          <w:p w14:paraId="3745F1C7">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一般公共预算财政拨款支出决算表</w:t>
            </w:r>
          </w:p>
        </w:tc>
      </w:tr>
      <w:tr w14:paraId="0215467C">
        <w:tblPrEx>
          <w:shd w:val="clear" w:color="auto" w:fill="auto"/>
          <w:tblCellMar>
            <w:top w:w="0" w:type="dxa"/>
            <w:left w:w="0" w:type="dxa"/>
            <w:bottom w:w="0" w:type="dxa"/>
            <w:right w:w="0" w:type="dxa"/>
          </w:tblCellMar>
        </w:tblPrEx>
        <w:trPr>
          <w:trHeight w:val="255" w:hRule="atLeast"/>
        </w:trPr>
        <w:tc>
          <w:tcPr>
            <w:tcW w:w="7845" w:type="dxa"/>
            <w:gridSpan w:val="2"/>
            <w:vMerge w:val="restart"/>
            <w:tcBorders>
              <w:top w:val="nil"/>
              <w:left w:val="nil"/>
              <w:right w:val="nil"/>
            </w:tcBorders>
            <w:shd w:val="clear" w:color="auto" w:fill="auto"/>
            <w:noWrap/>
            <w:tcMar>
              <w:top w:w="15" w:type="dxa"/>
              <w:left w:w="15" w:type="dxa"/>
              <w:right w:w="15" w:type="dxa"/>
            </w:tcMar>
            <w:vAlign w:val="bottom"/>
          </w:tcPr>
          <w:p w14:paraId="49829EFB">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黔江区城东街道社区事务服务中心</w:t>
            </w:r>
          </w:p>
        </w:tc>
        <w:tc>
          <w:tcPr>
            <w:tcW w:w="4817" w:type="dxa"/>
            <w:tcBorders>
              <w:top w:val="nil"/>
              <w:left w:val="nil"/>
              <w:bottom w:val="nil"/>
              <w:right w:val="nil"/>
            </w:tcBorders>
            <w:shd w:val="clear" w:color="auto" w:fill="auto"/>
            <w:noWrap/>
            <w:tcMar>
              <w:top w:w="15" w:type="dxa"/>
              <w:left w:w="15" w:type="dxa"/>
              <w:right w:w="15" w:type="dxa"/>
            </w:tcMar>
            <w:vAlign w:val="bottom"/>
          </w:tcPr>
          <w:p w14:paraId="52D4A4E0">
            <w:pPr>
              <w:rPr>
                <w:rFonts w:hint="default" w:ascii="Arial" w:hAnsi="Arial" w:eastAsia="宋体" w:cs="Arial"/>
                <w:i w:val="0"/>
                <w:color w:val="000000"/>
                <w:sz w:val="20"/>
                <w:szCs w:val="20"/>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14:paraId="08CA16C4">
            <w:pPr>
              <w:rPr>
                <w:rFonts w:hint="default" w:ascii="Arial" w:hAnsi="Arial" w:eastAsia="宋体" w:cs="Arial"/>
                <w:i w:val="0"/>
                <w:color w:val="000000"/>
                <w:sz w:val="20"/>
                <w:szCs w:val="20"/>
                <w:u w:val="none"/>
              </w:rPr>
            </w:pPr>
          </w:p>
        </w:tc>
        <w:tc>
          <w:tcPr>
            <w:tcW w:w="4821" w:type="dxa"/>
            <w:tcBorders>
              <w:top w:val="nil"/>
              <w:left w:val="nil"/>
              <w:bottom w:val="nil"/>
              <w:right w:val="nil"/>
            </w:tcBorders>
            <w:shd w:val="clear" w:color="auto" w:fill="auto"/>
            <w:noWrap/>
            <w:tcMar>
              <w:top w:w="15" w:type="dxa"/>
              <w:left w:w="15" w:type="dxa"/>
              <w:right w:w="15" w:type="dxa"/>
            </w:tcMar>
            <w:vAlign w:val="bottom"/>
          </w:tcPr>
          <w:p w14:paraId="342A59D0">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公开05表</w:t>
            </w:r>
          </w:p>
        </w:tc>
      </w:tr>
      <w:tr w14:paraId="05D47231">
        <w:tblPrEx>
          <w:shd w:val="clear" w:color="auto" w:fill="auto"/>
          <w:tblCellMar>
            <w:top w:w="0" w:type="dxa"/>
            <w:left w:w="0" w:type="dxa"/>
            <w:bottom w:w="0" w:type="dxa"/>
            <w:right w:w="0" w:type="dxa"/>
          </w:tblCellMar>
        </w:tblPrEx>
        <w:trPr>
          <w:trHeight w:val="285" w:hRule="atLeast"/>
        </w:trPr>
        <w:tc>
          <w:tcPr>
            <w:tcW w:w="7845" w:type="dxa"/>
            <w:gridSpan w:val="2"/>
            <w:vMerge w:val="continue"/>
            <w:tcBorders>
              <w:left w:val="nil"/>
              <w:bottom w:val="nil"/>
              <w:right w:val="nil"/>
            </w:tcBorders>
            <w:shd w:val="clear" w:color="auto" w:fill="auto"/>
            <w:noWrap/>
            <w:tcMar>
              <w:top w:w="15" w:type="dxa"/>
              <w:left w:w="15" w:type="dxa"/>
              <w:right w:w="15" w:type="dxa"/>
            </w:tcMar>
            <w:vAlign w:val="bottom"/>
          </w:tcPr>
          <w:p w14:paraId="4C181043">
            <w:pPr>
              <w:rPr>
                <w:rFonts w:hint="default" w:ascii="Arial" w:hAnsi="Arial" w:eastAsia="宋体" w:cs="Arial"/>
                <w:i w:val="0"/>
                <w:color w:val="000000"/>
                <w:sz w:val="22"/>
                <w:szCs w:val="22"/>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14:paraId="36B1146D">
            <w:pPr>
              <w:rPr>
                <w:rFonts w:hint="default" w:ascii="Arial" w:hAnsi="Arial" w:eastAsia="宋体" w:cs="Arial"/>
                <w:i w:val="0"/>
                <w:color w:val="000000"/>
                <w:sz w:val="22"/>
                <w:szCs w:val="22"/>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14:paraId="6B69A084">
            <w:pPr>
              <w:rPr>
                <w:rFonts w:hint="default" w:ascii="Arial" w:hAnsi="Arial" w:eastAsia="宋体" w:cs="Arial"/>
                <w:i w:val="0"/>
                <w:color w:val="000000"/>
                <w:sz w:val="22"/>
                <w:szCs w:val="22"/>
                <w:u w:val="none"/>
              </w:rPr>
            </w:pPr>
          </w:p>
        </w:tc>
        <w:tc>
          <w:tcPr>
            <w:tcW w:w="4821" w:type="dxa"/>
            <w:tcBorders>
              <w:top w:val="nil"/>
              <w:left w:val="nil"/>
              <w:bottom w:val="nil"/>
              <w:right w:val="nil"/>
            </w:tcBorders>
            <w:shd w:val="clear" w:color="auto" w:fill="auto"/>
            <w:noWrap/>
            <w:tcMar>
              <w:top w:w="15" w:type="dxa"/>
              <w:left w:w="15" w:type="dxa"/>
              <w:right w:w="15" w:type="dxa"/>
            </w:tcMar>
            <w:vAlign w:val="bottom"/>
          </w:tcPr>
          <w:p w14:paraId="13BFDEFC">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5DA07DDD">
        <w:tblPrEx>
          <w:tblCellMar>
            <w:top w:w="0" w:type="dxa"/>
            <w:left w:w="0" w:type="dxa"/>
            <w:bottom w:w="0" w:type="dxa"/>
            <w:right w:w="0" w:type="dxa"/>
          </w:tblCellMar>
        </w:tblPrEx>
        <w:trPr>
          <w:trHeight w:val="308" w:hRule="atLeast"/>
        </w:trPr>
        <w:tc>
          <w:tcPr>
            <w:tcW w:w="7845"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6329E5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14455"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4EF0ECD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r>
      <w:tr w14:paraId="74BE4ECA">
        <w:tblPrEx>
          <w:shd w:val="clear" w:color="auto" w:fill="auto"/>
          <w:tblCellMar>
            <w:top w:w="0" w:type="dxa"/>
            <w:left w:w="0" w:type="dxa"/>
            <w:bottom w:w="0" w:type="dxa"/>
            <w:right w:w="0" w:type="dxa"/>
          </w:tblCellMar>
        </w:tblPrEx>
        <w:trPr>
          <w:trHeight w:val="308" w:hRule="atLeast"/>
        </w:trPr>
        <w:tc>
          <w:tcPr>
            <w:tcW w:w="2694"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4B6B21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515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FF0C56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481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CEDFA6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81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2FB718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482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C4A7CF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r>
      <w:tr w14:paraId="3FCF7185">
        <w:tblPrEx>
          <w:tblCellMar>
            <w:top w:w="0" w:type="dxa"/>
            <w:left w:w="0" w:type="dxa"/>
            <w:bottom w:w="0" w:type="dxa"/>
            <w:right w:w="0" w:type="dxa"/>
          </w:tblCellMar>
        </w:tblPrEx>
        <w:trPr>
          <w:trHeight w:val="278" w:hRule="atLeast"/>
        </w:trPr>
        <w:tc>
          <w:tcPr>
            <w:tcW w:w="269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D58544A">
            <w:pPr>
              <w:jc w:val="center"/>
              <w:rPr>
                <w:rFonts w:hint="eastAsia" w:ascii="宋体" w:hAnsi="宋体" w:eastAsia="宋体" w:cs="宋体"/>
                <w:b/>
                <w:i w:val="0"/>
                <w:color w:val="000000"/>
                <w:sz w:val="22"/>
                <w:szCs w:val="22"/>
                <w:u w:val="none"/>
              </w:rPr>
            </w:pPr>
          </w:p>
        </w:tc>
        <w:tc>
          <w:tcPr>
            <w:tcW w:w="51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3B43156">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09DBB5C">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D13A665">
            <w:pPr>
              <w:jc w:val="center"/>
              <w:rPr>
                <w:rFonts w:hint="eastAsia" w:ascii="宋体" w:hAnsi="宋体" w:eastAsia="宋体" w:cs="宋体"/>
                <w:b/>
                <w:i w:val="0"/>
                <w:color w:val="000000"/>
                <w:sz w:val="22"/>
                <w:szCs w:val="22"/>
                <w:u w:val="none"/>
              </w:rPr>
            </w:pPr>
          </w:p>
        </w:tc>
        <w:tc>
          <w:tcPr>
            <w:tcW w:w="482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33AD065">
            <w:pPr>
              <w:jc w:val="center"/>
              <w:rPr>
                <w:rFonts w:hint="eastAsia" w:ascii="宋体" w:hAnsi="宋体" w:eastAsia="宋体" w:cs="宋体"/>
                <w:b/>
                <w:i w:val="0"/>
                <w:color w:val="000000"/>
                <w:sz w:val="22"/>
                <w:szCs w:val="22"/>
                <w:u w:val="none"/>
              </w:rPr>
            </w:pPr>
          </w:p>
        </w:tc>
      </w:tr>
      <w:tr w14:paraId="565C20BE">
        <w:tblPrEx>
          <w:tblCellMar>
            <w:top w:w="0" w:type="dxa"/>
            <w:left w:w="0" w:type="dxa"/>
            <w:bottom w:w="0" w:type="dxa"/>
            <w:right w:w="0" w:type="dxa"/>
          </w:tblCellMar>
        </w:tblPrEx>
        <w:trPr>
          <w:trHeight w:val="615" w:hRule="atLeast"/>
        </w:trPr>
        <w:tc>
          <w:tcPr>
            <w:tcW w:w="269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28BE8D8">
            <w:pPr>
              <w:jc w:val="center"/>
              <w:rPr>
                <w:rFonts w:hint="eastAsia" w:ascii="宋体" w:hAnsi="宋体" w:eastAsia="宋体" w:cs="宋体"/>
                <w:b/>
                <w:i w:val="0"/>
                <w:color w:val="000000"/>
                <w:sz w:val="22"/>
                <w:szCs w:val="22"/>
                <w:u w:val="none"/>
              </w:rPr>
            </w:pPr>
          </w:p>
        </w:tc>
        <w:tc>
          <w:tcPr>
            <w:tcW w:w="51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2733778">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3BCE801">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8E6E848">
            <w:pPr>
              <w:jc w:val="center"/>
              <w:rPr>
                <w:rFonts w:hint="eastAsia" w:ascii="宋体" w:hAnsi="宋体" w:eastAsia="宋体" w:cs="宋体"/>
                <w:b/>
                <w:i w:val="0"/>
                <w:color w:val="000000"/>
                <w:sz w:val="22"/>
                <w:szCs w:val="22"/>
                <w:u w:val="none"/>
              </w:rPr>
            </w:pPr>
          </w:p>
        </w:tc>
        <w:tc>
          <w:tcPr>
            <w:tcW w:w="482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81019B8">
            <w:pPr>
              <w:jc w:val="center"/>
              <w:rPr>
                <w:rFonts w:hint="eastAsia" w:ascii="宋体" w:hAnsi="宋体" w:eastAsia="宋体" w:cs="宋体"/>
                <w:b/>
                <w:i w:val="0"/>
                <w:color w:val="000000"/>
                <w:sz w:val="22"/>
                <w:szCs w:val="22"/>
                <w:u w:val="none"/>
              </w:rPr>
            </w:pPr>
          </w:p>
        </w:tc>
      </w:tr>
      <w:tr w14:paraId="02C05E67">
        <w:tblPrEx>
          <w:shd w:val="clear" w:color="auto" w:fill="auto"/>
          <w:tblCellMar>
            <w:top w:w="0" w:type="dxa"/>
            <w:left w:w="0" w:type="dxa"/>
            <w:bottom w:w="0" w:type="dxa"/>
            <w:right w:w="0" w:type="dxa"/>
          </w:tblCellMar>
        </w:tblPrEx>
        <w:trPr>
          <w:trHeight w:val="308" w:hRule="atLeast"/>
        </w:trPr>
        <w:tc>
          <w:tcPr>
            <w:tcW w:w="7845"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7805AC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A32245">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123.68</w:t>
            </w:r>
            <w:r>
              <w:rPr>
                <w:rFonts w:hint="eastAsia" w:cs="宋体"/>
                <w:b/>
                <w:bCs/>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E6B3C8">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123.68</w:t>
            </w:r>
            <w:r>
              <w:rPr>
                <w:rFonts w:hint="eastAsia" w:cs="宋体"/>
                <w:b/>
                <w:bCs/>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EFF3DE">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732EC6BD">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7EC9B3">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684672">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一般公共服务支出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92D04B">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95.08</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E1F755">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95.08</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007855">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5462219C">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EE5B2C">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20103</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F094AA">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政府办公厅（室）及相关机构事务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FCE684">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95.08</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7DAF67">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95.08</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6247EA">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2F846998">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A6DB0D">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2010350</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4117BD">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事业运行</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54755C">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95.08</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7BCDB5">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95.08</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0E412B">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6C82213D">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034BEE">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14C5EB">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C19FEC">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16.83</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95D4DA">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16.83</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F7EBB8">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40678A72">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8AB3C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96FD44">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B83F8A">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16.83</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A5EC91">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16.83</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788013">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9D3DCE7">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D839EF">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54C7B8">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1361C5">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11.22</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223FE7">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11.22</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692482">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6E40173C">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7FFFDF">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058F31">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524740">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5.61</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2A8BC0">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5.61</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AD6DED">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485BDEE6">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E793F4">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C82F7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CD47B6">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6.14</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A95F5A">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6.14</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C20113">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79DE1725">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B7D55A">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ED6846">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FF8BA3">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6.14</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8007C7">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6.14</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B32C94">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3165BA2E">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F8797E">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4F63E9">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31E92C">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4.70</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4959B5">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4.70</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BCA893">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7084FB9F">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02AA47">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CAFCF8">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EF8A68">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1.44</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23789E">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1.44</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BB4D14">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38E4DAB9">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1F320F">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90E4A9">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D4BBDD">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5.64</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A76D3C">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5.64</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2BC729">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0194C192">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794254">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DE00FD">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2F6F48">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5.64</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C37A36">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5.64</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A89A92">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448CD206">
        <w:tblPrEx>
          <w:shd w:val="clear" w:color="auto" w:fill="auto"/>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8A98E2">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0EA68C">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25AB0D">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5.64</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6E263B">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5.64</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0030F0">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bl>
    <w:p w14:paraId="0CAFA79E">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备注：1.本表反映单位本年度一般公共预算财政拨款支出情况。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20DD7B6D">
      <w:pPr>
        <w:numPr>
          <w:ilvl w:val="0"/>
          <w:numId w:val="0"/>
        </w:numPr>
        <w:ind w:firstLine="630" w:firstLineChars="300"/>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280" w:type="dxa"/>
        <w:tblInd w:w="0" w:type="dxa"/>
        <w:shd w:val="clear" w:color="auto" w:fill="auto"/>
        <w:tblLayout w:type="fixed"/>
        <w:tblCellMar>
          <w:top w:w="0" w:type="dxa"/>
          <w:left w:w="0" w:type="dxa"/>
          <w:bottom w:w="0" w:type="dxa"/>
          <w:right w:w="0" w:type="dxa"/>
        </w:tblCellMar>
      </w:tblPr>
      <w:tblGrid>
        <w:gridCol w:w="1289"/>
        <w:gridCol w:w="3495"/>
        <w:gridCol w:w="2829"/>
        <w:gridCol w:w="1122"/>
        <w:gridCol w:w="2330"/>
        <w:gridCol w:w="2747"/>
        <w:gridCol w:w="1509"/>
        <w:gridCol w:w="4465"/>
        <w:gridCol w:w="2494"/>
      </w:tblGrid>
      <w:tr w14:paraId="122C877A">
        <w:tblPrEx>
          <w:shd w:val="clear" w:color="auto" w:fill="auto"/>
          <w:tblCellMar>
            <w:top w:w="0" w:type="dxa"/>
            <w:left w:w="0" w:type="dxa"/>
            <w:bottom w:w="0" w:type="dxa"/>
            <w:right w:w="0" w:type="dxa"/>
          </w:tblCellMar>
        </w:tblPrEx>
        <w:trPr>
          <w:trHeight w:val="590" w:hRule="atLeast"/>
        </w:trPr>
        <w:tc>
          <w:tcPr>
            <w:tcW w:w="22280" w:type="dxa"/>
            <w:gridSpan w:val="9"/>
            <w:tcBorders>
              <w:top w:val="nil"/>
              <w:left w:val="nil"/>
              <w:bottom w:val="nil"/>
              <w:right w:val="nil"/>
            </w:tcBorders>
            <w:shd w:val="clear" w:color="auto" w:fill="auto"/>
            <w:noWrap/>
            <w:tcMar>
              <w:top w:w="15" w:type="dxa"/>
              <w:left w:w="15" w:type="dxa"/>
              <w:right w:w="15" w:type="dxa"/>
            </w:tcMar>
            <w:vAlign w:val="bottom"/>
          </w:tcPr>
          <w:p w14:paraId="2720C45B">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一般公共预算财政拨款基本支出决算表</w:t>
            </w:r>
          </w:p>
        </w:tc>
      </w:tr>
      <w:tr w14:paraId="7ECFFD6B">
        <w:tblPrEx>
          <w:shd w:val="clear" w:color="auto" w:fill="auto"/>
          <w:tblCellMar>
            <w:top w:w="0" w:type="dxa"/>
            <w:left w:w="0" w:type="dxa"/>
            <w:bottom w:w="0" w:type="dxa"/>
            <w:right w:w="0" w:type="dxa"/>
          </w:tblCellMar>
        </w:tblPrEx>
        <w:trPr>
          <w:trHeight w:val="302" w:hRule="atLeast"/>
        </w:trPr>
        <w:tc>
          <w:tcPr>
            <w:tcW w:w="4784" w:type="dxa"/>
            <w:gridSpan w:val="2"/>
            <w:vMerge w:val="restart"/>
            <w:tcBorders>
              <w:top w:val="nil"/>
              <w:left w:val="nil"/>
              <w:right w:val="nil"/>
            </w:tcBorders>
            <w:shd w:val="clear" w:color="auto" w:fill="auto"/>
            <w:noWrap/>
            <w:tcMar>
              <w:top w:w="15" w:type="dxa"/>
              <w:left w:w="15" w:type="dxa"/>
              <w:right w:w="15" w:type="dxa"/>
            </w:tcMar>
            <w:vAlign w:val="bottom"/>
          </w:tcPr>
          <w:p w14:paraId="717AB7F0">
            <w:pPr>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黔江区城东街道社区事务服务中心</w:t>
            </w:r>
          </w:p>
        </w:tc>
        <w:tc>
          <w:tcPr>
            <w:tcW w:w="2829" w:type="dxa"/>
            <w:tcBorders>
              <w:top w:val="nil"/>
              <w:left w:val="nil"/>
              <w:bottom w:val="nil"/>
              <w:right w:val="nil"/>
            </w:tcBorders>
            <w:shd w:val="clear" w:color="auto" w:fill="auto"/>
            <w:noWrap/>
            <w:tcMar>
              <w:top w:w="15" w:type="dxa"/>
              <w:left w:w="15" w:type="dxa"/>
              <w:right w:w="15" w:type="dxa"/>
            </w:tcMar>
            <w:vAlign w:val="bottom"/>
          </w:tcPr>
          <w:p w14:paraId="404C7B7A">
            <w:pPr>
              <w:rPr>
                <w:rFonts w:hint="default" w:ascii="Arial" w:hAnsi="Arial" w:eastAsia="宋体" w:cs="Arial"/>
                <w:i w:val="0"/>
                <w:color w:val="000000"/>
                <w:sz w:val="20"/>
                <w:szCs w:val="20"/>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73B1D0BC">
            <w:pPr>
              <w:rPr>
                <w:rFonts w:hint="default" w:ascii="Arial" w:hAnsi="Arial" w:eastAsia="宋体" w:cs="Arial"/>
                <w:i w:val="0"/>
                <w:color w:val="000000"/>
                <w:sz w:val="20"/>
                <w:szCs w:val="20"/>
                <w:u w:val="none"/>
              </w:rPr>
            </w:pPr>
          </w:p>
        </w:tc>
        <w:tc>
          <w:tcPr>
            <w:tcW w:w="2330" w:type="dxa"/>
            <w:tcBorders>
              <w:top w:val="nil"/>
              <w:left w:val="nil"/>
              <w:bottom w:val="nil"/>
              <w:right w:val="nil"/>
            </w:tcBorders>
            <w:shd w:val="clear" w:color="auto" w:fill="auto"/>
            <w:noWrap/>
            <w:tcMar>
              <w:top w:w="15" w:type="dxa"/>
              <w:left w:w="15" w:type="dxa"/>
              <w:right w:w="15" w:type="dxa"/>
            </w:tcMar>
            <w:vAlign w:val="bottom"/>
          </w:tcPr>
          <w:p w14:paraId="5557D657">
            <w:pPr>
              <w:rPr>
                <w:rFonts w:hint="default" w:ascii="Arial" w:hAnsi="Arial" w:eastAsia="宋体" w:cs="Arial"/>
                <w:i w:val="0"/>
                <w:color w:val="000000"/>
                <w:sz w:val="20"/>
                <w:szCs w:val="20"/>
                <w:u w:val="none"/>
              </w:rPr>
            </w:pPr>
          </w:p>
        </w:tc>
        <w:tc>
          <w:tcPr>
            <w:tcW w:w="2747" w:type="dxa"/>
            <w:tcBorders>
              <w:top w:val="nil"/>
              <w:left w:val="nil"/>
              <w:bottom w:val="nil"/>
              <w:right w:val="nil"/>
            </w:tcBorders>
            <w:shd w:val="clear" w:color="auto" w:fill="auto"/>
            <w:noWrap/>
            <w:tcMar>
              <w:top w:w="15" w:type="dxa"/>
              <w:left w:w="15" w:type="dxa"/>
              <w:right w:w="15" w:type="dxa"/>
            </w:tcMar>
            <w:vAlign w:val="bottom"/>
          </w:tcPr>
          <w:p w14:paraId="7FC9F8A4">
            <w:pPr>
              <w:rPr>
                <w:rFonts w:hint="default" w:ascii="Arial" w:hAnsi="Arial" w:eastAsia="宋体" w:cs="Arial"/>
                <w:i w:val="0"/>
                <w:color w:val="000000"/>
                <w:sz w:val="20"/>
                <w:szCs w:val="20"/>
                <w:u w:val="none"/>
              </w:rPr>
            </w:pPr>
          </w:p>
        </w:tc>
        <w:tc>
          <w:tcPr>
            <w:tcW w:w="1509" w:type="dxa"/>
            <w:tcBorders>
              <w:top w:val="nil"/>
              <w:left w:val="nil"/>
              <w:bottom w:val="nil"/>
              <w:right w:val="nil"/>
            </w:tcBorders>
            <w:shd w:val="clear" w:color="auto" w:fill="auto"/>
            <w:noWrap/>
            <w:tcMar>
              <w:top w:w="15" w:type="dxa"/>
              <w:left w:w="15" w:type="dxa"/>
              <w:right w:w="15" w:type="dxa"/>
            </w:tcMar>
            <w:vAlign w:val="bottom"/>
          </w:tcPr>
          <w:p w14:paraId="75F46053">
            <w:pPr>
              <w:rPr>
                <w:rFonts w:hint="default" w:ascii="Arial" w:hAnsi="Arial" w:eastAsia="宋体" w:cs="Arial"/>
                <w:i w:val="0"/>
                <w:color w:val="000000"/>
                <w:sz w:val="20"/>
                <w:szCs w:val="20"/>
                <w:u w:val="none"/>
              </w:rPr>
            </w:pPr>
          </w:p>
        </w:tc>
        <w:tc>
          <w:tcPr>
            <w:tcW w:w="4465" w:type="dxa"/>
            <w:tcBorders>
              <w:top w:val="nil"/>
              <w:left w:val="nil"/>
              <w:bottom w:val="nil"/>
              <w:right w:val="nil"/>
            </w:tcBorders>
            <w:shd w:val="clear" w:color="auto" w:fill="auto"/>
            <w:noWrap/>
            <w:tcMar>
              <w:top w:w="15" w:type="dxa"/>
              <w:left w:w="15" w:type="dxa"/>
              <w:right w:w="15" w:type="dxa"/>
            </w:tcMar>
            <w:vAlign w:val="bottom"/>
          </w:tcPr>
          <w:p w14:paraId="590B1826">
            <w:pPr>
              <w:rPr>
                <w:rFonts w:hint="default" w:ascii="Arial" w:hAnsi="Arial" w:eastAsia="宋体" w:cs="Arial"/>
                <w:i w:val="0"/>
                <w:color w:val="000000"/>
                <w:sz w:val="20"/>
                <w:szCs w:val="20"/>
                <w:u w:val="none"/>
              </w:rPr>
            </w:pPr>
          </w:p>
        </w:tc>
        <w:tc>
          <w:tcPr>
            <w:tcW w:w="2494" w:type="dxa"/>
            <w:tcBorders>
              <w:top w:val="nil"/>
              <w:left w:val="nil"/>
              <w:bottom w:val="nil"/>
              <w:right w:val="nil"/>
            </w:tcBorders>
            <w:shd w:val="clear" w:color="auto" w:fill="auto"/>
            <w:noWrap/>
            <w:tcMar>
              <w:top w:w="15" w:type="dxa"/>
              <w:left w:w="15" w:type="dxa"/>
              <w:right w:w="15" w:type="dxa"/>
            </w:tcMar>
            <w:vAlign w:val="bottom"/>
          </w:tcPr>
          <w:p w14:paraId="1A4AC036">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公开06表</w:t>
            </w:r>
          </w:p>
        </w:tc>
      </w:tr>
      <w:tr w14:paraId="4B62F77E">
        <w:tblPrEx>
          <w:tblCellMar>
            <w:top w:w="0" w:type="dxa"/>
            <w:left w:w="0" w:type="dxa"/>
            <w:bottom w:w="0" w:type="dxa"/>
            <w:right w:w="0" w:type="dxa"/>
          </w:tblCellMar>
        </w:tblPrEx>
        <w:trPr>
          <w:trHeight w:val="302" w:hRule="atLeast"/>
        </w:trPr>
        <w:tc>
          <w:tcPr>
            <w:tcW w:w="4784" w:type="dxa"/>
            <w:gridSpan w:val="2"/>
            <w:vMerge w:val="continue"/>
            <w:tcBorders>
              <w:left w:val="nil"/>
              <w:bottom w:val="nil"/>
              <w:right w:val="nil"/>
            </w:tcBorders>
            <w:shd w:val="clear" w:color="auto" w:fill="auto"/>
            <w:noWrap/>
            <w:tcMar>
              <w:top w:w="15" w:type="dxa"/>
              <w:left w:w="15" w:type="dxa"/>
              <w:right w:w="15" w:type="dxa"/>
            </w:tcMar>
            <w:vAlign w:val="bottom"/>
          </w:tcPr>
          <w:p w14:paraId="7CC9B24D">
            <w:pPr>
              <w:rPr>
                <w:rFonts w:hint="default" w:ascii="Arial" w:hAnsi="Arial" w:eastAsia="宋体" w:cs="Arial"/>
                <w:i w:val="0"/>
                <w:color w:val="000000"/>
                <w:sz w:val="22"/>
                <w:szCs w:val="22"/>
                <w:u w:val="none"/>
              </w:rPr>
            </w:pPr>
          </w:p>
        </w:tc>
        <w:tc>
          <w:tcPr>
            <w:tcW w:w="2829" w:type="dxa"/>
            <w:tcBorders>
              <w:top w:val="nil"/>
              <w:left w:val="nil"/>
              <w:bottom w:val="nil"/>
              <w:right w:val="nil"/>
            </w:tcBorders>
            <w:shd w:val="clear" w:color="auto" w:fill="auto"/>
            <w:noWrap/>
            <w:tcMar>
              <w:top w:w="15" w:type="dxa"/>
              <w:left w:w="15" w:type="dxa"/>
              <w:right w:w="15" w:type="dxa"/>
            </w:tcMar>
            <w:vAlign w:val="bottom"/>
          </w:tcPr>
          <w:p w14:paraId="6C2287CD">
            <w:pPr>
              <w:rPr>
                <w:rFonts w:hint="default" w:ascii="Arial" w:hAnsi="Arial" w:eastAsia="宋体" w:cs="Arial"/>
                <w:i w:val="0"/>
                <w:color w:val="000000"/>
                <w:sz w:val="22"/>
                <w:szCs w:val="22"/>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10C9A7E1">
            <w:pPr>
              <w:rPr>
                <w:rFonts w:hint="default" w:ascii="Arial" w:hAnsi="Arial" w:eastAsia="宋体" w:cs="Arial"/>
                <w:i w:val="0"/>
                <w:color w:val="000000"/>
                <w:sz w:val="22"/>
                <w:szCs w:val="22"/>
                <w:u w:val="none"/>
              </w:rPr>
            </w:pPr>
          </w:p>
        </w:tc>
        <w:tc>
          <w:tcPr>
            <w:tcW w:w="2330" w:type="dxa"/>
            <w:tcBorders>
              <w:top w:val="nil"/>
              <w:left w:val="nil"/>
              <w:bottom w:val="nil"/>
              <w:right w:val="nil"/>
            </w:tcBorders>
            <w:shd w:val="clear" w:color="auto" w:fill="auto"/>
            <w:noWrap/>
            <w:tcMar>
              <w:top w:w="15" w:type="dxa"/>
              <w:left w:w="15" w:type="dxa"/>
              <w:right w:w="15" w:type="dxa"/>
            </w:tcMar>
            <w:vAlign w:val="bottom"/>
          </w:tcPr>
          <w:p w14:paraId="32A8646F">
            <w:pPr>
              <w:rPr>
                <w:rFonts w:hint="default" w:ascii="Arial" w:hAnsi="Arial" w:eastAsia="宋体" w:cs="Arial"/>
                <w:i w:val="0"/>
                <w:color w:val="000000"/>
                <w:sz w:val="22"/>
                <w:szCs w:val="22"/>
                <w:u w:val="none"/>
              </w:rPr>
            </w:pPr>
          </w:p>
        </w:tc>
        <w:tc>
          <w:tcPr>
            <w:tcW w:w="2747" w:type="dxa"/>
            <w:tcBorders>
              <w:top w:val="nil"/>
              <w:left w:val="nil"/>
              <w:bottom w:val="nil"/>
              <w:right w:val="nil"/>
            </w:tcBorders>
            <w:shd w:val="clear" w:color="auto" w:fill="auto"/>
            <w:noWrap/>
            <w:tcMar>
              <w:top w:w="15" w:type="dxa"/>
              <w:left w:w="15" w:type="dxa"/>
              <w:right w:w="15" w:type="dxa"/>
            </w:tcMar>
            <w:vAlign w:val="bottom"/>
          </w:tcPr>
          <w:p w14:paraId="14DAA1B6">
            <w:pPr>
              <w:rPr>
                <w:rFonts w:hint="default" w:ascii="Arial" w:hAnsi="Arial" w:eastAsia="宋体" w:cs="Arial"/>
                <w:i w:val="0"/>
                <w:color w:val="000000"/>
                <w:sz w:val="22"/>
                <w:szCs w:val="22"/>
                <w:u w:val="none"/>
              </w:rPr>
            </w:pPr>
          </w:p>
        </w:tc>
        <w:tc>
          <w:tcPr>
            <w:tcW w:w="1509" w:type="dxa"/>
            <w:tcBorders>
              <w:top w:val="nil"/>
              <w:left w:val="nil"/>
              <w:bottom w:val="nil"/>
              <w:right w:val="nil"/>
            </w:tcBorders>
            <w:shd w:val="clear" w:color="auto" w:fill="auto"/>
            <w:noWrap/>
            <w:tcMar>
              <w:top w:w="15" w:type="dxa"/>
              <w:left w:w="15" w:type="dxa"/>
              <w:right w:w="15" w:type="dxa"/>
            </w:tcMar>
            <w:vAlign w:val="bottom"/>
          </w:tcPr>
          <w:p w14:paraId="314387D4">
            <w:pPr>
              <w:rPr>
                <w:rFonts w:hint="default" w:ascii="Arial" w:hAnsi="Arial" w:eastAsia="宋体" w:cs="Arial"/>
                <w:i w:val="0"/>
                <w:color w:val="000000"/>
                <w:sz w:val="22"/>
                <w:szCs w:val="22"/>
                <w:u w:val="none"/>
              </w:rPr>
            </w:pPr>
          </w:p>
        </w:tc>
        <w:tc>
          <w:tcPr>
            <w:tcW w:w="4465" w:type="dxa"/>
            <w:tcBorders>
              <w:top w:val="nil"/>
              <w:left w:val="nil"/>
              <w:bottom w:val="nil"/>
              <w:right w:val="nil"/>
            </w:tcBorders>
            <w:shd w:val="clear" w:color="auto" w:fill="auto"/>
            <w:noWrap/>
            <w:tcMar>
              <w:top w:w="15" w:type="dxa"/>
              <w:left w:w="15" w:type="dxa"/>
              <w:right w:w="15" w:type="dxa"/>
            </w:tcMar>
            <w:vAlign w:val="bottom"/>
          </w:tcPr>
          <w:p w14:paraId="083FAA3F">
            <w:pPr>
              <w:rPr>
                <w:rFonts w:hint="default" w:ascii="Arial" w:hAnsi="Arial" w:eastAsia="宋体" w:cs="Arial"/>
                <w:i w:val="0"/>
                <w:color w:val="000000"/>
                <w:sz w:val="22"/>
                <w:szCs w:val="22"/>
                <w:u w:val="none"/>
              </w:rPr>
            </w:pPr>
          </w:p>
        </w:tc>
        <w:tc>
          <w:tcPr>
            <w:tcW w:w="2494" w:type="dxa"/>
            <w:tcBorders>
              <w:top w:val="nil"/>
              <w:left w:val="nil"/>
              <w:bottom w:val="nil"/>
              <w:right w:val="nil"/>
            </w:tcBorders>
            <w:shd w:val="clear" w:color="auto" w:fill="auto"/>
            <w:noWrap/>
            <w:tcMar>
              <w:top w:w="15" w:type="dxa"/>
              <w:left w:w="15" w:type="dxa"/>
              <w:right w:w="15" w:type="dxa"/>
            </w:tcMar>
            <w:vAlign w:val="bottom"/>
          </w:tcPr>
          <w:p w14:paraId="28CF9429">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3C35894A">
        <w:tblPrEx>
          <w:tblCellMar>
            <w:top w:w="0" w:type="dxa"/>
            <w:left w:w="0" w:type="dxa"/>
            <w:bottom w:w="0" w:type="dxa"/>
            <w:right w:w="0" w:type="dxa"/>
          </w:tblCellMar>
        </w:tblPrEx>
        <w:trPr>
          <w:trHeight w:val="311" w:hRule="atLeast"/>
        </w:trPr>
        <w:tc>
          <w:tcPr>
            <w:tcW w:w="7613" w:type="dxa"/>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138C4B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人员经费</w:t>
            </w:r>
          </w:p>
        </w:tc>
        <w:tc>
          <w:tcPr>
            <w:tcW w:w="14667" w:type="dxa"/>
            <w:gridSpan w:val="6"/>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14:paraId="6B9BD29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公用经费</w:t>
            </w:r>
          </w:p>
        </w:tc>
      </w:tr>
      <w:tr w14:paraId="6C432946">
        <w:tblPrEx>
          <w:tblCellMar>
            <w:top w:w="0" w:type="dxa"/>
            <w:left w:w="0" w:type="dxa"/>
            <w:bottom w:w="0" w:type="dxa"/>
            <w:right w:w="0" w:type="dxa"/>
          </w:tblCellMar>
        </w:tblPrEx>
        <w:trPr>
          <w:trHeight w:val="312" w:hRule="atLeast"/>
        </w:trPr>
        <w:tc>
          <w:tcPr>
            <w:tcW w:w="128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76B135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349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10D14A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829"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F90CC4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c>
          <w:tcPr>
            <w:tcW w:w="1122"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52A93A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233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2BF11E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74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471A8B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c>
          <w:tcPr>
            <w:tcW w:w="150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945C13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446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D3EA08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494"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70D2C1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r>
      <w:tr w14:paraId="554A514A">
        <w:tblPrEx>
          <w:shd w:val="clear" w:color="auto" w:fill="auto"/>
          <w:tblCellMar>
            <w:top w:w="0" w:type="dxa"/>
            <w:left w:w="0" w:type="dxa"/>
            <w:bottom w:w="0" w:type="dxa"/>
            <w:right w:w="0" w:type="dxa"/>
          </w:tblCellMar>
        </w:tblPrEx>
        <w:trPr>
          <w:trHeight w:val="799" w:hRule="atLeast"/>
        </w:trPr>
        <w:tc>
          <w:tcPr>
            <w:tcW w:w="128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21976FF">
            <w:pPr>
              <w:jc w:val="center"/>
              <w:rPr>
                <w:rFonts w:hint="eastAsia" w:ascii="宋体" w:hAnsi="宋体" w:eastAsia="宋体" w:cs="宋体"/>
                <w:b/>
                <w:i w:val="0"/>
                <w:color w:val="000000"/>
                <w:sz w:val="22"/>
                <w:szCs w:val="22"/>
                <w:u w:val="none"/>
              </w:rPr>
            </w:pPr>
          </w:p>
        </w:tc>
        <w:tc>
          <w:tcPr>
            <w:tcW w:w="349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D1715C0">
            <w:pPr>
              <w:jc w:val="center"/>
              <w:rPr>
                <w:rFonts w:hint="eastAsia" w:ascii="宋体" w:hAnsi="宋体" w:eastAsia="宋体" w:cs="宋体"/>
                <w:b/>
                <w:i w:val="0"/>
                <w:color w:val="000000"/>
                <w:sz w:val="22"/>
                <w:szCs w:val="22"/>
                <w:u w:val="none"/>
              </w:rPr>
            </w:pPr>
          </w:p>
        </w:tc>
        <w:tc>
          <w:tcPr>
            <w:tcW w:w="2829"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A139309">
            <w:pPr>
              <w:jc w:val="center"/>
              <w:rPr>
                <w:rFonts w:hint="eastAsia" w:ascii="宋体" w:hAnsi="宋体" w:eastAsia="宋体" w:cs="宋体"/>
                <w:b/>
                <w:i w:val="0"/>
                <w:color w:val="000000"/>
                <w:sz w:val="22"/>
                <w:szCs w:val="22"/>
                <w:u w:val="none"/>
              </w:rPr>
            </w:pPr>
          </w:p>
        </w:tc>
        <w:tc>
          <w:tcPr>
            <w:tcW w:w="112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7104D2B">
            <w:pPr>
              <w:jc w:val="center"/>
              <w:rPr>
                <w:rFonts w:hint="eastAsia" w:ascii="宋体" w:hAnsi="宋体" w:eastAsia="宋体" w:cs="宋体"/>
                <w:b/>
                <w:i w:val="0"/>
                <w:color w:val="000000"/>
                <w:sz w:val="22"/>
                <w:szCs w:val="22"/>
                <w:u w:val="none"/>
              </w:rPr>
            </w:pPr>
          </w:p>
        </w:tc>
        <w:tc>
          <w:tcPr>
            <w:tcW w:w="233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3E233EA">
            <w:pPr>
              <w:jc w:val="center"/>
              <w:rPr>
                <w:rFonts w:hint="eastAsia" w:ascii="宋体" w:hAnsi="宋体" w:eastAsia="宋体" w:cs="宋体"/>
                <w:b/>
                <w:i w:val="0"/>
                <w:color w:val="000000"/>
                <w:sz w:val="22"/>
                <w:szCs w:val="22"/>
                <w:u w:val="none"/>
              </w:rPr>
            </w:pPr>
          </w:p>
        </w:tc>
        <w:tc>
          <w:tcPr>
            <w:tcW w:w="274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BE19BE8">
            <w:pPr>
              <w:jc w:val="center"/>
              <w:rPr>
                <w:rFonts w:hint="eastAsia" w:ascii="宋体" w:hAnsi="宋体" w:eastAsia="宋体" w:cs="宋体"/>
                <w:b/>
                <w:i w:val="0"/>
                <w:color w:val="000000"/>
                <w:sz w:val="22"/>
                <w:szCs w:val="22"/>
                <w:u w:val="none"/>
              </w:rPr>
            </w:pPr>
          </w:p>
        </w:tc>
        <w:tc>
          <w:tcPr>
            <w:tcW w:w="150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812BC1B">
            <w:pPr>
              <w:jc w:val="center"/>
              <w:rPr>
                <w:rFonts w:hint="eastAsia" w:ascii="宋体" w:hAnsi="宋体" w:eastAsia="宋体" w:cs="宋体"/>
                <w:b/>
                <w:i w:val="0"/>
                <w:color w:val="000000"/>
                <w:sz w:val="22"/>
                <w:szCs w:val="22"/>
                <w:u w:val="none"/>
              </w:rPr>
            </w:pPr>
          </w:p>
        </w:tc>
        <w:tc>
          <w:tcPr>
            <w:tcW w:w="446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26E14AE">
            <w:pPr>
              <w:jc w:val="center"/>
              <w:rPr>
                <w:rFonts w:hint="eastAsia" w:ascii="宋体" w:hAnsi="宋体" w:eastAsia="宋体" w:cs="宋体"/>
                <w:b/>
                <w:i w:val="0"/>
                <w:color w:val="000000"/>
                <w:sz w:val="22"/>
                <w:szCs w:val="22"/>
                <w:u w:val="none"/>
              </w:rPr>
            </w:pPr>
          </w:p>
        </w:tc>
        <w:tc>
          <w:tcPr>
            <w:tcW w:w="2494"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D684877">
            <w:pPr>
              <w:jc w:val="center"/>
              <w:rPr>
                <w:rFonts w:hint="eastAsia" w:ascii="宋体" w:hAnsi="宋体" w:eastAsia="宋体" w:cs="宋体"/>
                <w:b/>
                <w:i w:val="0"/>
                <w:color w:val="000000"/>
                <w:sz w:val="22"/>
                <w:szCs w:val="22"/>
                <w:u w:val="none"/>
              </w:rPr>
            </w:pPr>
          </w:p>
        </w:tc>
      </w:tr>
      <w:tr w14:paraId="0D4501B3">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438A3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3E421F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工资福利支出</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B53453">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116.85</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7BBF76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981644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商品和服务支出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81127D">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6.83</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A12024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BA817D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资本性支出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1655D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712F8AE">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A4443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8FD0E0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基本工资</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903055">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27.42</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7508AF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475F37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6D6E7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187C72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414564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房屋建筑物购建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FE8F0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A9E1E88">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7C79C0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566410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津贴补贴</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FFE0D0">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2.78</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9B92E0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95BD98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印刷费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82806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35C652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EA9AB7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办公设备购置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15F33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A0256F5">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346408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604CBD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BA49B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4FAEAF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454D87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咨询费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304D2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8700B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22753F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专用设备购置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7F7E2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8C499D0">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8C0AD3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30106</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CC4858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伙食补助费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5B4E84">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4.50</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F02B4A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9B9C5F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手续费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47D6B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D7029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31005</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BAC123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基础设施建设</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884A7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49336FE">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FF4922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30107</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E59AFB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绩效工资</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E914F0">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53.41</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337E4C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DB11F8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水费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DE524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89E097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31006</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B2A4ED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大型修缮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0C52A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9785FFA">
        <w:tblPrEx>
          <w:tblCellMar>
            <w:top w:w="0" w:type="dxa"/>
            <w:left w:w="0" w:type="dxa"/>
            <w:bottom w:w="0" w:type="dxa"/>
            <w:right w:w="0" w:type="dxa"/>
          </w:tblCellMar>
        </w:tblPrEx>
        <w:trPr>
          <w:trHeight w:val="333"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9E6C7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30108</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EC258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67C11C">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11.22</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0D5A87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53D6A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电费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8AEF5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86E118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31007</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231B8E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信息网络及软件购置更新</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E733A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C147C30">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2046A8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96841F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职业年金缴费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BC54AA">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5.61</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365A17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427993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邮电费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349C5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23A2D3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31008</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13C5E8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物资储备</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69074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8B4E58E">
        <w:tblPrEx>
          <w:tblCellMar>
            <w:top w:w="0" w:type="dxa"/>
            <w:left w:w="0" w:type="dxa"/>
            <w:bottom w:w="0" w:type="dxa"/>
            <w:right w:w="0" w:type="dxa"/>
          </w:tblCellMar>
        </w:tblPrEx>
        <w:trPr>
          <w:trHeight w:val="364"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F10BF9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30110</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EC9B8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职工基本医疗保险缴费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33B1F2">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4.70</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531270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D195DB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取暖费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F160A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AF3043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73CE3C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土地补偿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A683F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1DE0412">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D7E6A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AF805A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E20D4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768B5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16C638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物业管理费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14544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2064D3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024448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安置补助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BC4E5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DE3D18A">
        <w:tblPrEx>
          <w:shd w:val="clear" w:color="auto" w:fill="auto"/>
          <w:tblCellMar>
            <w:top w:w="0" w:type="dxa"/>
            <w:left w:w="0" w:type="dxa"/>
            <w:bottom w:w="0" w:type="dxa"/>
            <w:right w:w="0" w:type="dxa"/>
          </w:tblCellMar>
        </w:tblPrEx>
        <w:trPr>
          <w:trHeight w:val="333"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EDFED4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9D6654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其他社会保障缴费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FDF25F">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0.14</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CB4571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BAED4F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差旅费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47371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07C6B5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F5C6EB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地上附着物和青苗补偿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EE07E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67524F5">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1D691F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755BE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61B82F">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5.64</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5DE33D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E03D83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因公出国（境）费用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C5C18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DD0848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C8E6CF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拆迁补偿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78231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5FFD825">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528409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30114</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9F8BBC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AAF676">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1.44</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DE0ED7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B3507B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维修（护）费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766A7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3F8FF1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195ABB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4B570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AF4762B">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939CEE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30199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59E66F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其他工资福利支出</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1DC96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F38B03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CDCBC8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租赁费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E87DC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9DD7D5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6F6AA8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其他交通工具购置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28EFE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0539535">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A2B3DD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86EF8A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对个人和家庭的补助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27B40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EC7B8C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B0256D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会议费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54B9E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8DA298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437FEE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文物和陈列品购置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E8925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9EB8DA7">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0F5401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320EE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离休费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95C3B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B713EB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52E75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培训费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E9F3F7">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0.70</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212FA1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06B52D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无形资产购置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8B13F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B670637">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0E8A22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785C47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退休费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1DA0C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988999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8543C9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公务接待费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A7D7F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6A7C28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970517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其他资本性支出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B97E1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7C610BA">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EBB0F0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BAAA2F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退职（役）费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D39A3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E7FBA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3A5F44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专用材料费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FB46E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9A8B5B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8A72C1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对企业补助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4BC11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667A266">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FAE80F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30304</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A4478D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抚恤金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9FA6D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B2E6DF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A6E795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被装购置费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F61FB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F0ACE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7B379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资本金注入</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39C01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6DF8D10">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7DC568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30305</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931622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生活补助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E57DA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8ABF2C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027257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专用燃料费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E03AA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FBFAC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BD18A7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政府投资基金股权投资</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6BC9C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BB465A8">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282691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30306</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8C804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救济费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2674E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444D7A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630D78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劳务费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47D1E2">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4.62</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1BF9F6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31204</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07E3F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费用补贴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C0B09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8405DAB">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5E37E6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30307</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9156CE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43C37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3C95CE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B4CCE5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委托业务费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EE03A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CA7BD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31205</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6E4A61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利息补贴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D7D4B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00F405A">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D65CA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30308</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283077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助学金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CFE54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91CFFF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6C90D7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工会经费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76A9D9">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0.56</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DF89E7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EB8223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其他对企业补助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936D8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00781BB">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71E4D5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C0527D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奖励金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29ADB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876F35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87CFC4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福利费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90AE77">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0.94</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41773B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6D469E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F4DA3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01D4D96">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057768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30310</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798E4F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个人农业生产补贴</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D774D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ECE9E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8A3371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公务用车运行维护费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61776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AB9098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39907</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8B8FB5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国家赔偿费用支出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908DA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33EE983">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A4B98B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B706F2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代缴社会保险费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CB04A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28D62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4F4734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62175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003B4D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39908</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A3BC37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对民间非营利组织和群众性自治组织补贴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6B435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28119B3">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D5BE9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30399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F87713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其他对个人和家庭的补助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F7EB5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06A333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30240</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EF9B5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税金及附加费用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12B82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D28323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CA6EE1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经常性赠与</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128365">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B3D095B">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BF3A649">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8FA567D">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DB04598">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07DBA5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30299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BDD167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其他商品和服务支出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9D90F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0A0D0D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481F61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资本性赠与</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875D98">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98B4810">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D8DF402">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B53D046">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5390BE2">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82D677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EEF862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债务利息及费用支出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9B4BA3">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EB70C9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2681A0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F83F00">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678F6DA">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AF7A82C">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848ABF6">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9185320">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F595D2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C3DAFE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国内债务付息</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3E78D5">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A29B062">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EB1D365">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F0841B">
            <w:pPr>
              <w:jc w:val="right"/>
              <w:rPr>
                <w:rFonts w:hint="eastAsia" w:ascii="宋体" w:hAnsi="宋体" w:eastAsia="宋体" w:cs="宋体"/>
                <w:i w:val="0"/>
                <w:color w:val="000000"/>
                <w:sz w:val="22"/>
                <w:szCs w:val="22"/>
                <w:u w:val="none"/>
              </w:rPr>
            </w:pPr>
          </w:p>
        </w:tc>
      </w:tr>
      <w:tr w14:paraId="4202DB05">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7A5EC2A">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CEF4207">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44C263B">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D62EA9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2EBFB3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国外债务付息</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0E1CD7">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BEDD250">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82C4B77">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9BD3BF">
            <w:pPr>
              <w:jc w:val="right"/>
              <w:rPr>
                <w:rFonts w:hint="eastAsia" w:ascii="宋体" w:hAnsi="宋体" w:eastAsia="宋体" w:cs="宋体"/>
                <w:i w:val="0"/>
                <w:color w:val="000000"/>
                <w:sz w:val="22"/>
                <w:szCs w:val="22"/>
                <w:u w:val="none"/>
              </w:rPr>
            </w:pPr>
          </w:p>
        </w:tc>
      </w:tr>
      <w:tr w14:paraId="341B81D5">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1626A3F">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2AE0F4D">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3F952D4">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27D72F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7217C4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国内债务发行费用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8C3622">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D1A9B3C">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A0997D2">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8170C2">
            <w:pPr>
              <w:jc w:val="right"/>
              <w:rPr>
                <w:rFonts w:hint="eastAsia" w:ascii="宋体" w:hAnsi="宋体" w:eastAsia="宋体" w:cs="宋体"/>
                <w:i w:val="0"/>
                <w:color w:val="000000"/>
                <w:sz w:val="22"/>
                <w:szCs w:val="22"/>
                <w:u w:val="none"/>
              </w:rPr>
            </w:pPr>
          </w:p>
        </w:tc>
      </w:tr>
      <w:tr w14:paraId="1439BACA">
        <w:tblPrEx>
          <w:shd w:val="clear" w:color="auto" w:fill="auto"/>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B0A7EA">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0905353">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7D002FC">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750654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0D0232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国外债务发行费用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086DE7">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4D78877">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9457FB7">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5E97CB">
            <w:pPr>
              <w:jc w:val="right"/>
              <w:rPr>
                <w:rFonts w:hint="eastAsia" w:ascii="宋体" w:hAnsi="宋体" w:eastAsia="宋体" w:cs="宋体"/>
                <w:i w:val="0"/>
                <w:color w:val="000000"/>
                <w:sz w:val="22"/>
                <w:szCs w:val="22"/>
                <w:u w:val="none"/>
              </w:rPr>
            </w:pPr>
          </w:p>
        </w:tc>
      </w:tr>
      <w:tr w14:paraId="6BA18693">
        <w:tblPrEx>
          <w:shd w:val="clear" w:color="auto" w:fill="auto"/>
          <w:tblCellMar>
            <w:top w:w="0" w:type="dxa"/>
            <w:left w:w="0" w:type="dxa"/>
            <w:bottom w:w="0" w:type="dxa"/>
            <w:right w:w="0" w:type="dxa"/>
          </w:tblCellMar>
        </w:tblPrEx>
        <w:trPr>
          <w:trHeight w:val="321" w:hRule="atLeast"/>
        </w:trPr>
        <w:tc>
          <w:tcPr>
            <w:tcW w:w="4784"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F92584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人员经费合计</w:t>
            </w:r>
          </w:p>
        </w:tc>
        <w:tc>
          <w:tcPr>
            <w:tcW w:w="28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34786FD">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116.85</w:t>
            </w:r>
            <w:r>
              <w:rPr>
                <w:rFonts w:hint="eastAsia" w:cs="宋体"/>
                <w:color w:val="000000"/>
                <w:sz w:val="21"/>
                <w:szCs w:val="21"/>
                <w:lang w:val="en-US" w:eastAsia="zh-CN" w:bidi="ar"/>
              </w:rPr>
              <w:t xml:space="preserve"> </w:t>
            </w:r>
          </w:p>
        </w:tc>
        <w:tc>
          <w:tcPr>
            <w:tcW w:w="12173" w:type="dxa"/>
            <w:gridSpan w:val="5"/>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BB0CD4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公用经费合计</w:t>
            </w:r>
          </w:p>
        </w:tc>
        <w:tc>
          <w:tcPr>
            <w:tcW w:w="24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19C755">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6.83</w:t>
            </w:r>
            <w:r>
              <w:rPr>
                <w:rFonts w:hint="eastAsia" w:cs="宋体"/>
                <w:color w:val="000000"/>
                <w:sz w:val="21"/>
                <w:szCs w:val="21"/>
                <w:lang w:val="en-US" w:eastAsia="zh-CN" w:bidi="ar"/>
              </w:rPr>
              <w:t xml:space="preserve"> </w:t>
            </w:r>
          </w:p>
        </w:tc>
      </w:tr>
    </w:tbl>
    <w:p w14:paraId="511229B9">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备注：1.本表反映单位本年度一般公共预算财政拨款基本支出明细情况。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598C5905">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240" w:type="dxa"/>
        <w:tblInd w:w="0" w:type="dxa"/>
        <w:shd w:val="clear" w:color="auto" w:fill="auto"/>
        <w:tblLayout w:type="fixed"/>
        <w:tblCellMar>
          <w:top w:w="0" w:type="dxa"/>
          <w:left w:w="0" w:type="dxa"/>
          <w:bottom w:w="0" w:type="dxa"/>
          <w:right w:w="0" w:type="dxa"/>
        </w:tblCellMar>
      </w:tblPr>
      <w:tblGrid>
        <w:gridCol w:w="2686"/>
        <w:gridCol w:w="4465"/>
        <w:gridCol w:w="2473"/>
        <w:gridCol w:w="2473"/>
        <w:gridCol w:w="2473"/>
        <w:gridCol w:w="2473"/>
        <w:gridCol w:w="2558"/>
        <w:gridCol w:w="2639"/>
      </w:tblGrid>
      <w:tr w14:paraId="614093C7">
        <w:tblPrEx>
          <w:shd w:val="clear" w:color="auto" w:fill="auto"/>
          <w:tblCellMar>
            <w:top w:w="0" w:type="dxa"/>
            <w:left w:w="0" w:type="dxa"/>
            <w:bottom w:w="0" w:type="dxa"/>
            <w:right w:w="0" w:type="dxa"/>
          </w:tblCellMar>
        </w:tblPrEx>
        <w:trPr>
          <w:trHeight w:val="644" w:hRule="atLeast"/>
        </w:trPr>
        <w:tc>
          <w:tcPr>
            <w:tcW w:w="22240" w:type="dxa"/>
            <w:gridSpan w:val="8"/>
            <w:tcBorders>
              <w:top w:val="nil"/>
              <w:left w:val="nil"/>
              <w:bottom w:val="nil"/>
              <w:right w:val="nil"/>
            </w:tcBorders>
            <w:shd w:val="clear" w:color="auto" w:fill="auto"/>
            <w:noWrap/>
            <w:tcMar>
              <w:top w:w="15" w:type="dxa"/>
              <w:left w:w="15" w:type="dxa"/>
              <w:right w:w="15" w:type="dxa"/>
            </w:tcMar>
            <w:vAlign w:val="bottom"/>
          </w:tcPr>
          <w:p w14:paraId="439E2324">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政府性基金预算财政拨款收入支出决算表</w:t>
            </w:r>
          </w:p>
        </w:tc>
      </w:tr>
      <w:tr w14:paraId="5812069F">
        <w:tblPrEx>
          <w:shd w:val="clear" w:color="auto" w:fill="auto"/>
          <w:tblCellMar>
            <w:top w:w="0" w:type="dxa"/>
            <w:left w:w="0" w:type="dxa"/>
            <w:bottom w:w="0" w:type="dxa"/>
            <w:right w:w="0" w:type="dxa"/>
          </w:tblCellMar>
        </w:tblPrEx>
        <w:trPr>
          <w:trHeight w:val="329" w:hRule="atLeast"/>
        </w:trPr>
        <w:tc>
          <w:tcPr>
            <w:tcW w:w="7151" w:type="dxa"/>
            <w:gridSpan w:val="2"/>
            <w:vMerge w:val="restart"/>
            <w:tcBorders>
              <w:top w:val="nil"/>
              <w:left w:val="nil"/>
              <w:right w:val="nil"/>
            </w:tcBorders>
            <w:shd w:val="clear" w:color="auto" w:fill="auto"/>
            <w:noWrap/>
            <w:tcMar>
              <w:top w:w="15" w:type="dxa"/>
              <w:left w:w="15" w:type="dxa"/>
              <w:right w:w="15" w:type="dxa"/>
            </w:tcMar>
            <w:vAlign w:val="bottom"/>
          </w:tcPr>
          <w:p w14:paraId="005FEAC4">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黔江区城东街道社区事务服务中心</w:t>
            </w:r>
          </w:p>
        </w:tc>
        <w:tc>
          <w:tcPr>
            <w:tcW w:w="2473" w:type="dxa"/>
            <w:tcBorders>
              <w:top w:val="nil"/>
              <w:left w:val="nil"/>
              <w:bottom w:val="nil"/>
              <w:right w:val="nil"/>
            </w:tcBorders>
            <w:shd w:val="clear" w:color="auto" w:fill="auto"/>
            <w:noWrap/>
            <w:tcMar>
              <w:top w:w="15" w:type="dxa"/>
              <w:left w:w="15" w:type="dxa"/>
              <w:right w:w="15" w:type="dxa"/>
            </w:tcMar>
            <w:vAlign w:val="bottom"/>
          </w:tcPr>
          <w:p w14:paraId="135BC223">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6FF69627">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15AF7A54">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7066088B">
            <w:pPr>
              <w:rPr>
                <w:rFonts w:hint="default" w:ascii="Arial" w:hAnsi="Arial" w:eastAsia="宋体" w:cs="Arial"/>
                <w:i w:val="0"/>
                <w:color w:val="000000"/>
                <w:sz w:val="20"/>
                <w:szCs w:val="20"/>
                <w:u w:val="none"/>
              </w:rPr>
            </w:pPr>
          </w:p>
        </w:tc>
        <w:tc>
          <w:tcPr>
            <w:tcW w:w="2558" w:type="dxa"/>
            <w:tcBorders>
              <w:top w:val="nil"/>
              <w:left w:val="nil"/>
              <w:bottom w:val="nil"/>
              <w:right w:val="nil"/>
            </w:tcBorders>
            <w:shd w:val="clear" w:color="auto" w:fill="auto"/>
            <w:noWrap/>
            <w:tcMar>
              <w:top w:w="15" w:type="dxa"/>
              <w:left w:w="15" w:type="dxa"/>
              <w:right w:w="15" w:type="dxa"/>
            </w:tcMar>
            <w:vAlign w:val="bottom"/>
          </w:tcPr>
          <w:p w14:paraId="7F999EA7">
            <w:pPr>
              <w:rPr>
                <w:rFonts w:hint="default" w:ascii="Arial" w:hAnsi="Arial" w:eastAsia="宋体" w:cs="Arial"/>
                <w:i w:val="0"/>
                <w:color w:val="000000"/>
                <w:sz w:val="20"/>
                <w:szCs w:val="20"/>
                <w:u w:val="none"/>
              </w:rPr>
            </w:pPr>
          </w:p>
        </w:tc>
        <w:tc>
          <w:tcPr>
            <w:tcW w:w="2639" w:type="dxa"/>
            <w:tcBorders>
              <w:top w:val="nil"/>
              <w:left w:val="nil"/>
              <w:bottom w:val="nil"/>
              <w:right w:val="nil"/>
            </w:tcBorders>
            <w:shd w:val="clear" w:color="auto" w:fill="auto"/>
            <w:noWrap/>
            <w:tcMar>
              <w:top w:w="15" w:type="dxa"/>
              <w:left w:w="15" w:type="dxa"/>
              <w:right w:w="15" w:type="dxa"/>
            </w:tcMar>
            <w:vAlign w:val="bottom"/>
          </w:tcPr>
          <w:p w14:paraId="1EB64B9E">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公开07表</w:t>
            </w:r>
          </w:p>
        </w:tc>
      </w:tr>
      <w:tr w14:paraId="6D02D87B">
        <w:tblPrEx>
          <w:tblCellMar>
            <w:top w:w="0" w:type="dxa"/>
            <w:left w:w="0" w:type="dxa"/>
            <w:bottom w:w="0" w:type="dxa"/>
            <w:right w:w="0" w:type="dxa"/>
          </w:tblCellMar>
        </w:tblPrEx>
        <w:trPr>
          <w:trHeight w:val="329" w:hRule="atLeast"/>
        </w:trPr>
        <w:tc>
          <w:tcPr>
            <w:tcW w:w="7151" w:type="dxa"/>
            <w:gridSpan w:val="2"/>
            <w:vMerge w:val="continue"/>
            <w:tcBorders>
              <w:left w:val="nil"/>
              <w:bottom w:val="nil"/>
              <w:right w:val="nil"/>
            </w:tcBorders>
            <w:shd w:val="clear" w:color="auto" w:fill="auto"/>
            <w:noWrap/>
            <w:tcMar>
              <w:top w:w="15" w:type="dxa"/>
              <w:left w:w="15" w:type="dxa"/>
              <w:right w:w="15" w:type="dxa"/>
            </w:tcMar>
            <w:vAlign w:val="bottom"/>
          </w:tcPr>
          <w:p w14:paraId="641EA64D">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5AE6866F">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4C6EC14E">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2B462619">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262CB6A2">
            <w:pPr>
              <w:rPr>
                <w:rFonts w:hint="default" w:ascii="Arial" w:hAnsi="Arial" w:eastAsia="宋体" w:cs="Arial"/>
                <w:i w:val="0"/>
                <w:color w:val="000000"/>
                <w:sz w:val="22"/>
                <w:szCs w:val="22"/>
                <w:u w:val="none"/>
              </w:rPr>
            </w:pPr>
          </w:p>
        </w:tc>
        <w:tc>
          <w:tcPr>
            <w:tcW w:w="2558" w:type="dxa"/>
            <w:tcBorders>
              <w:top w:val="nil"/>
              <w:left w:val="nil"/>
              <w:bottom w:val="nil"/>
              <w:right w:val="nil"/>
            </w:tcBorders>
            <w:shd w:val="clear" w:color="auto" w:fill="auto"/>
            <w:noWrap/>
            <w:tcMar>
              <w:top w:w="15" w:type="dxa"/>
              <w:left w:w="15" w:type="dxa"/>
              <w:right w:w="15" w:type="dxa"/>
            </w:tcMar>
            <w:vAlign w:val="bottom"/>
          </w:tcPr>
          <w:p w14:paraId="5F850D2F">
            <w:pPr>
              <w:rPr>
                <w:rFonts w:hint="default" w:ascii="Arial" w:hAnsi="Arial" w:eastAsia="宋体" w:cs="Arial"/>
                <w:i w:val="0"/>
                <w:color w:val="000000"/>
                <w:sz w:val="22"/>
                <w:szCs w:val="22"/>
                <w:u w:val="none"/>
              </w:rPr>
            </w:pPr>
          </w:p>
        </w:tc>
        <w:tc>
          <w:tcPr>
            <w:tcW w:w="2639" w:type="dxa"/>
            <w:tcBorders>
              <w:top w:val="nil"/>
              <w:left w:val="nil"/>
              <w:bottom w:val="nil"/>
              <w:right w:val="nil"/>
            </w:tcBorders>
            <w:shd w:val="clear" w:color="auto" w:fill="auto"/>
            <w:noWrap/>
            <w:tcMar>
              <w:top w:w="15" w:type="dxa"/>
              <w:left w:w="15" w:type="dxa"/>
              <w:right w:w="15" w:type="dxa"/>
            </w:tcMar>
            <w:vAlign w:val="bottom"/>
          </w:tcPr>
          <w:p w14:paraId="227641D7">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687FD39F">
        <w:tblPrEx>
          <w:tblCellMar>
            <w:top w:w="0" w:type="dxa"/>
            <w:left w:w="0" w:type="dxa"/>
            <w:bottom w:w="0" w:type="dxa"/>
            <w:right w:w="0" w:type="dxa"/>
          </w:tblCellMar>
        </w:tblPrEx>
        <w:trPr>
          <w:trHeight w:val="339" w:hRule="atLeast"/>
        </w:trPr>
        <w:tc>
          <w:tcPr>
            <w:tcW w:w="7151"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1CBD99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473"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583A702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年初结转和结余</w:t>
            </w:r>
          </w:p>
        </w:tc>
        <w:tc>
          <w:tcPr>
            <w:tcW w:w="247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7134AE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w:t>
            </w:r>
          </w:p>
        </w:tc>
        <w:tc>
          <w:tcPr>
            <w:tcW w:w="7504"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55AC0A6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c>
          <w:tcPr>
            <w:tcW w:w="263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C97D5B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年末结转和结余</w:t>
            </w:r>
          </w:p>
        </w:tc>
      </w:tr>
      <w:tr w14:paraId="55C73FB1">
        <w:tblPrEx>
          <w:shd w:val="clear" w:color="auto" w:fill="auto"/>
          <w:tblCellMar>
            <w:top w:w="0" w:type="dxa"/>
            <w:left w:w="0" w:type="dxa"/>
            <w:bottom w:w="0" w:type="dxa"/>
            <w:right w:w="0" w:type="dxa"/>
          </w:tblCellMar>
        </w:tblPrEx>
        <w:trPr>
          <w:trHeight w:val="335" w:hRule="atLeast"/>
        </w:trPr>
        <w:tc>
          <w:tcPr>
            <w:tcW w:w="268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2F2F21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4465"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10B100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5D876F95">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AC5427D">
            <w:pPr>
              <w:jc w:val="center"/>
              <w:rPr>
                <w:rFonts w:hint="eastAsia" w:ascii="宋体" w:hAnsi="宋体" w:eastAsia="宋体" w:cs="宋体"/>
                <w:b/>
                <w:i w:val="0"/>
                <w:color w:val="000000"/>
                <w:sz w:val="22"/>
                <w:szCs w:val="22"/>
                <w:u w:val="none"/>
              </w:rPr>
            </w:pPr>
          </w:p>
        </w:tc>
        <w:tc>
          <w:tcPr>
            <w:tcW w:w="247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05D824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7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F6D7E4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2558"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F51F63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8E708DC">
            <w:pPr>
              <w:jc w:val="center"/>
              <w:rPr>
                <w:rFonts w:hint="eastAsia" w:ascii="宋体" w:hAnsi="宋体" w:eastAsia="宋体" w:cs="宋体"/>
                <w:b/>
                <w:i w:val="0"/>
                <w:color w:val="000000"/>
                <w:sz w:val="22"/>
                <w:szCs w:val="22"/>
                <w:u w:val="none"/>
              </w:rPr>
            </w:pPr>
          </w:p>
        </w:tc>
      </w:tr>
      <w:tr w14:paraId="3D803B52">
        <w:tblPrEx>
          <w:tblCellMar>
            <w:top w:w="0" w:type="dxa"/>
            <w:left w:w="0" w:type="dxa"/>
            <w:bottom w:w="0" w:type="dxa"/>
            <w:right w:w="0" w:type="dxa"/>
          </w:tblCellMar>
        </w:tblPrEx>
        <w:trPr>
          <w:trHeight w:val="335" w:hRule="atLeast"/>
        </w:trPr>
        <w:tc>
          <w:tcPr>
            <w:tcW w:w="26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A6824FB">
            <w:pPr>
              <w:jc w:val="center"/>
              <w:rPr>
                <w:rFonts w:hint="eastAsia" w:ascii="宋体" w:hAnsi="宋体" w:eastAsia="宋体" w:cs="宋体"/>
                <w:b/>
                <w:i w:val="0"/>
                <w:color w:val="000000"/>
                <w:sz w:val="22"/>
                <w:szCs w:val="22"/>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BD96106">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2ED0289D">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1EE29EC">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690513E">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6C51865">
            <w:pPr>
              <w:jc w:val="center"/>
              <w:rPr>
                <w:rFonts w:hint="eastAsia" w:ascii="宋体" w:hAnsi="宋体" w:eastAsia="宋体" w:cs="宋体"/>
                <w:b/>
                <w:i w:val="0"/>
                <w:color w:val="000000"/>
                <w:sz w:val="22"/>
                <w:szCs w:val="22"/>
                <w:u w:val="none"/>
              </w:rPr>
            </w:pPr>
          </w:p>
        </w:tc>
        <w:tc>
          <w:tcPr>
            <w:tcW w:w="255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6E7AB89">
            <w:pPr>
              <w:jc w:val="center"/>
              <w:rPr>
                <w:rFonts w:hint="eastAsia" w:ascii="宋体" w:hAnsi="宋体" w:eastAsia="宋体" w:cs="宋体"/>
                <w:b/>
                <w:i w:val="0"/>
                <w:color w:val="000000"/>
                <w:sz w:val="22"/>
                <w:szCs w:val="22"/>
                <w:u w:val="none"/>
              </w:rPr>
            </w:pP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F67F43F">
            <w:pPr>
              <w:jc w:val="center"/>
              <w:rPr>
                <w:rFonts w:hint="eastAsia" w:ascii="宋体" w:hAnsi="宋体" w:eastAsia="宋体" w:cs="宋体"/>
                <w:b/>
                <w:i w:val="0"/>
                <w:color w:val="000000"/>
                <w:sz w:val="22"/>
                <w:szCs w:val="22"/>
                <w:u w:val="none"/>
              </w:rPr>
            </w:pPr>
          </w:p>
        </w:tc>
      </w:tr>
      <w:tr w14:paraId="77577038">
        <w:tblPrEx>
          <w:tblCellMar>
            <w:top w:w="0" w:type="dxa"/>
            <w:left w:w="0" w:type="dxa"/>
            <w:bottom w:w="0" w:type="dxa"/>
            <w:right w:w="0" w:type="dxa"/>
          </w:tblCellMar>
        </w:tblPrEx>
        <w:trPr>
          <w:trHeight w:val="645" w:hRule="atLeast"/>
        </w:trPr>
        <w:tc>
          <w:tcPr>
            <w:tcW w:w="26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DDDD599">
            <w:pPr>
              <w:jc w:val="center"/>
              <w:rPr>
                <w:rFonts w:hint="eastAsia" w:ascii="宋体" w:hAnsi="宋体" w:eastAsia="宋体" w:cs="宋体"/>
                <w:b/>
                <w:i w:val="0"/>
                <w:color w:val="000000"/>
                <w:sz w:val="22"/>
                <w:szCs w:val="22"/>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B6CEAF0">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0280973A">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2DF2940">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3042EF8">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036F86F">
            <w:pPr>
              <w:jc w:val="center"/>
              <w:rPr>
                <w:rFonts w:hint="eastAsia" w:ascii="宋体" w:hAnsi="宋体" w:eastAsia="宋体" w:cs="宋体"/>
                <w:b/>
                <w:i w:val="0"/>
                <w:color w:val="000000"/>
                <w:sz w:val="22"/>
                <w:szCs w:val="22"/>
                <w:u w:val="none"/>
              </w:rPr>
            </w:pPr>
          </w:p>
        </w:tc>
        <w:tc>
          <w:tcPr>
            <w:tcW w:w="255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463DB47">
            <w:pPr>
              <w:jc w:val="center"/>
              <w:rPr>
                <w:rFonts w:hint="eastAsia" w:ascii="宋体" w:hAnsi="宋体" w:eastAsia="宋体" w:cs="宋体"/>
                <w:b/>
                <w:i w:val="0"/>
                <w:color w:val="000000"/>
                <w:sz w:val="22"/>
                <w:szCs w:val="22"/>
                <w:u w:val="none"/>
              </w:rPr>
            </w:pP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947DFFB">
            <w:pPr>
              <w:jc w:val="center"/>
              <w:rPr>
                <w:rFonts w:hint="eastAsia" w:ascii="宋体" w:hAnsi="宋体" w:eastAsia="宋体" w:cs="宋体"/>
                <w:b/>
                <w:i w:val="0"/>
                <w:color w:val="000000"/>
                <w:sz w:val="22"/>
                <w:szCs w:val="22"/>
                <w:u w:val="none"/>
              </w:rPr>
            </w:pPr>
          </w:p>
        </w:tc>
      </w:tr>
      <w:tr w14:paraId="453B70F9">
        <w:tblPrEx>
          <w:tblCellMar>
            <w:top w:w="0" w:type="dxa"/>
            <w:left w:w="0" w:type="dxa"/>
            <w:bottom w:w="0" w:type="dxa"/>
            <w:right w:w="0" w:type="dxa"/>
          </w:tblCellMar>
        </w:tblPrEx>
        <w:trPr>
          <w:trHeight w:val="339" w:hRule="atLeast"/>
        </w:trPr>
        <w:tc>
          <w:tcPr>
            <w:tcW w:w="7151"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43A1BF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F3A1A3">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812BE7">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1C6D7A">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0AEBBE">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D55A5C">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6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F23FD4">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1F6555D6">
        <w:tblPrEx>
          <w:shd w:val="clear" w:color="auto" w:fill="auto"/>
          <w:tblCellMar>
            <w:top w:w="0" w:type="dxa"/>
            <w:left w:w="0" w:type="dxa"/>
            <w:bottom w:w="0" w:type="dxa"/>
            <w:right w:w="0" w:type="dxa"/>
          </w:tblCellMar>
        </w:tblPrEx>
        <w:trPr>
          <w:trHeight w:val="349" w:hRule="atLeast"/>
        </w:trPr>
        <w:tc>
          <w:tcPr>
            <w:tcW w:w="268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11D271">
            <w:pPr>
              <w:jc w:val="both"/>
              <w:textAlignment w:val="center"/>
              <w:rPr>
                <w:rFonts w:hint="eastAsia" w:ascii="宋体" w:hAnsi="宋体" w:eastAsia="宋体" w:cs="宋体"/>
                <w:i w:val="0"/>
                <w:color w:val="000000"/>
                <w:sz w:val="22"/>
                <w:szCs w:val="22"/>
                <w:u w:val="none"/>
              </w:rPr>
            </w:pPr>
          </w:p>
        </w:tc>
        <w:tc>
          <w:tcPr>
            <w:tcW w:w="44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ED279A">
            <w:pPr>
              <w:jc w:val="both"/>
              <w:textAlignment w:val="center"/>
              <w:rPr>
                <w:rFonts w:hint="eastAsia" w:ascii="宋体" w:hAnsi="宋体" w:eastAsia="宋体" w:cs="宋体"/>
                <w:i w:val="0"/>
                <w:color w:val="000000"/>
                <w:sz w:val="22"/>
                <w:szCs w:val="22"/>
                <w:u w:val="none"/>
              </w:rPr>
            </w:pP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9C7341">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9C01A4">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A1B59F">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BB60DB">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19D9C9">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6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0173B7">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r>
    </w:tbl>
    <w:p w14:paraId="06FF62A6">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备注：本表反映单位本年度政府性基金预算财政拨款收入支出及结转和结余情况。本单位无政府性基金收支，故本表无数据。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59D157AF">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220" w:type="dxa"/>
        <w:tblInd w:w="0" w:type="dxa"/>
        <w:shd w:val="clear" w:color="auto" w:fill="auto"/>
        <w:tblLayout w:type="fixed"/>
        <w:tblCellMar>
          <w:top w:w="0" w:type="dxa"/>
          <w:left w:w="0" w:type="dxa"/>
          <w:bottom w:w="0" w:type="dxa"/>
          <w:right w:w="0" w:type="dxa"/>
        </w:tblCellMar>
      </w:tblPr>
      <w:tblGrid>
        <w:gridCol w:w="2729"/>
        <w:gridCol w:w="4420"/>
        <w:gridCol w:w="4736"/>
        <w:gridCol w:w="5423"/>
        <w:gridCol w:w="4912"/>
      </w:tblGrid>
      <w:tr w14:paraId="5303B787">
        <w:tblPrEx>
          <w:tblCellMar>
            <w:top w:w="0" w:type="dxa"/>
            <w:left w:w="0" w:type="dxa"/>
            <w:bottom w:w="0" w:type="dxa"/>
            <w:right w:w="0" w:type="dxa"/>
          </w:tblCellMar>
        </w:tblPrEx>
        <w:trPr>
          <w:trHeight w:val="650" w:hRule="atLeast"/>
        </w:trPr>
        <w:tc>
          <w:tcPr>
            <w:tcW w:w="22220" w:type="dxa"/>
            <w:gridSpan w:val="5"/>
            <w:tcBorders>
              <w:top w:val="nil"/>
              <w:left w:val="nil"/>
              <w:bottom w:val="nil"/>
              <w:right w:val="nil"/>
            </w:tcBorders>
            <w:shd w:val="clear" w:color="auto" w:fill="auto"/>
            <w:noWrap/>
            <w:tcMar>
              <w:top w:w="15" w:type="dxa"/>
              <w:left w:w="15" w:type="dxa"/>
              <w:right w:w="15" w:type="dxa"/>
            </w:tcMar>
            <w:vAlign w:val="bottom"/>
          </w:tcPr>
          <w:p w14:paraId="40E0E44F">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国有资本经营预算财政拨款支出决算表</w:t>
            </w:r>
          </w:p>
        </w:tc>
      </w:tr>
      <w:tr w14:paraId="37B52CF1">
        <w:tblPrEx>
          <w:shd w:val="clear" w:color="auto" w:fill="auto"/>
          <w:tblCellMar>
            <w:top w:w="0" w:type="dxa"/>
            <w:left w:w="0" w:type="dxa"/>
            <w:bottom w:w="0" w:type="dxa"/>
            <w:right w:w="0" w:type="dxa"/>
          </w:tblCellMar>
        </w:tblPrEx>
        <w:trPr>
          <w:trHeight w:val="332" w:hRule="atLeast"/>
        </w:trPr>
        <w:tc>
          <w:tcPr>
            <w:tcW w:w="7149" w:type="dxa"/>
            <w:gridSpan w:val="2"/>
            <w:vMerge w:val="restart"/>
            <w:tcBorders>
              <w:top w:val="nil"/>
              <w:left w:val="nil"/>
              <w:right w:val="nil"/>
            </w:tcBorders>
            <w:shd w:val="clear" w:color="auto" w:fill="auto"/>
            <w:noWrap/>
            <w:tcMar>
              <w:top w:w="15" w:type="dxa"/>
              <w:left w:w="15" w:type="dxa"/>
              <w:right w:w="15" w:type="dxa"/>
            </w:tcMar>
            <w:vAlign w:val="bottom"/>
          </w:tcPr>
          <w:p w14:paraId="30FB3848">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黔江区城东街道社区事务服务中心</w:t>
            </w:r>
          </w:p>
        </w:tc>
        <w:tc>
          <w:tcPr>
            <w:tcW w:w="4736" w:type="dxa"/>
            <w:tcBorders>
              <w:top w:val="nil"/>
              <w:left w:val="nil"/>
              <w:bottom w:val="nil"/>
              <w:right w:val="nil"/>
            </w:tcBorders>
            <w:shd w:val="clear" w:color="auto" w:fill="auto"/>
            <w:noWrap/>
            <w:tcMar>
              <w:top w:w="15" w:type="dxa"/>
              <w:left w:w="15" w:type="dxa"/>
              <w:right w:w="15" w:type="dxa"/>
            </w:tcMar>
            <w:vAlign w:val="bottom"/>
          </w:tcPr>
          <w:p w14:paraId="1AD72493">
            <w:pPr>
              <w:rPr>
                <w:rFonts w:hint="default" w:ascii="Arial" w:hAnsi="Arial" w:eastAsia="宋体" w:cs="Arial"/>
                <w:i w:val="0"/>
                <w:color w:val="000000"/>
                <w:sz w:val="20"/>
                <w:szCs w:val="20"/>
                <w:u w:val="none"/>
              </w:rPr>
            </w:pPr>
          </w:p>
        </w:tc>
        <w:tc>
          <w:tcPr>
            <w:tcW w:w="5423" w:type="dxa"/>
            <w:tcBorders>
              <w:top w:val="nil"/>
              <w:left w:val="nil"/>
              <w:bottom w:val="nil"/>
              <w:right w:val="nil"/>
            </w:tcBorders>
            <w:shd w:val="clear" w:color="auto" w:fill="auto"/>
            <w:noWrap/>
            <w:tcMar>
              <w:top w:w="15" w:type="dxa"/>
              <w:left w:w="15" w:type="dxa"/>
              <w:right w:w="15" w:type="dxa"/>
            </w:tcMar>
            <w:vAlign w:val="bottom"/>
          </w:tcPr>
          <w:p w14:paraId="76274CDD">
            <w:pPr>
              <w:rPr>
                <w:rFonts w:hint="default" w:ascii="Arial" w:hAnsi="Arial" w:eastAsia="宋体" w:cs="Arial"/>
                <w:i w:val="0"/>
                <w:color w:val="000000"/>
                <w:sz w:val="20"/>
                <w:szCs w:val="20"/>
                <w:u w:val="none"/>
              </w:rPr>
            </w:pPr>
          </w:p>
        </w:tc>
        <w:tc>
          <w:tcPr>
            <w:tcW w:w="4912" w:type="dxa"/>
            <w:tcBorders>
              <w:top w:val="nil"/>
              <w:left w:val="nil"/>
              <w:bottom w:val="nil"/>
              <w:right w:val="nil"/>
            </w:tcBorders>
            <w:shd w:val="clear" w:color="auto" w:fill="auto"/>
            <w:noWrap/>
            <w:tcMar>
              <w:top w:w="15" w:type="dxa"/>
              <w:left w:w="15" w:type="dxa"/>
              <w:right w:w="15" w:type="dxa"/>
            </w:tcMar>
            <w:vAlign w:val="bottom"/>
          </w:tcPr>
          <w:p w14:paraId="566B21AC">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公开08表</w:t>
            </w:r>
          </w:p>
        </w:tc>
      </w:tr>
      <w:tr w14:paraId="712E7B47">
        <w:tblPrEx>
          <w:tblCellMar>
            <w:top w:w="0" w:type="dxa"/>
            <w:left w:w="0" w:type="dxa"/>
            <w:bottom w:w="0" w:type="dxa"/>
            <w:right w:w="0" w:type="dxa"/>
          </w:tblCellMar>
        </w:tblPrEx>
        <w:trPr>
          <w:trHeight w:val="332" w:hRule="atLeast"/>
        </w:trPr>
        <w:tc>
          <w:tcPr>
            <w:tcW w:w="7149" w:type="dxa"/>
            <w:gridSpan w:val="2"/>
            <w:vMerge w:val="continue"/>
            <w:tcBorders>
              <w:left w:val="nil"/>
              <w:bottom w:val="nil"/>
              <w:right w:val="nil"/>
            </w:tcBorders>
            <w:shd w:val="clear" w:color="auto" w:fill="auto"/>
            <w:noWrap/>
            <w:tcMar>
              <w:top w:w="15" w:type="dxa"/>
              <w:left w:w="15" w:type="dxa"/>
              <w:right w:w="15" w:type="dxa"/>
            </w:tcMar>
            <w:vAlign w:val="bottom"/>
          </w:tcPr>
          <w:p w14:paraId="6999F68B">
            <w:pPr>
              <w:rPr>
                <w:rFonts w:hint="default" w:ascii="Arial" w:hAnsi="Arial" w:eastAsia="宋体" w:cs="Arial"/>
                <w:i w:val="0"/>
                <w:color w:val="000000"/>
                <w:sz w:val="22"/>
                <w:szCs w:val="22"/>
                <w:u w:val="none"/>
              </w:rPr>
            </w:pPr>
          </w:p>
        </w:tc>
        <w:tc>
          <w:tcPr>
            <w:tcW w:w="4736" w:type="dxa"/>
            <w:tcBorders>
              <w:top w:val="nil"/>
              <w:left w:val="nil"/>
              <w:bottom w:val="nil"/>
              <w:right w:val="nil"/>
            </w:tcBorders>
            <w:shd w:val="clear" w:color="auto" w:fill="auto"/>
            <w:noWrap/>
            <w:tcMar>
              <w:top w:w="15" w:type="dxa"/>
              <w:left w:w="15" w:type="dxa"/>
              <w:right w:w="15" w:type="dxa"/>
            </w:tcMar>
            <w:vAlign w:val="bottom"/>
          </w:tcPr>
          <w:p w14:paraId="1D12CCA2">
            <w:pPr>
              <w:rPr>
                <w:rFonts w:hint="default" w:ascii="Arial" w:hAnsi="Arial" w:eastAsia="宋体" w:cs="Arial"/>
                <w:i w:val="0"/>
                <w:color w:val="000000"/>
                <w:sz w:val="22"/>
                <w:szCs w:val="22"/>
                <w:u w:val="none"/>
              </w:rPr>
            </w:pPr>
          </w:p>
        </w:tc>
        <w:tc>
          <w:tcPr>
            <w:tcW w:w="5423" w:type="dxa"/>
            <w:tcBorders>
              <w:top w:val="nil"/>
              <w:left w:val="nil"/>
              <w:bottom w:val="nil"/>
              <w:right w:val="nil"/>
            </w:tcBorders>
            <w:shd w:val="clear" w:color="auto" w:fill="auto"/>
            <w:noWrap/>
            <w:tcMar>
              <w:top w:w="15" w:type="dxa"/>
              <w:left w:w="15" w:type="dxa"/>
              <w:right w:w="15" w:type="dxa"/>
            </w:tcMar>
            <w:vAlign w:val="bottom"/>
          </w:tcPr>
          <w:p w14:paraId="44F8F112">
            <w:pPr>
              <w:rPr>
                <w:rFonts w:hint="default" w:ascii="Arial" w:hAnsi="Arial" w:eastAsia="宋体" w:cs="Arial"/>
                <w:i w:val="0"/>
                <w:color w:val="000000"/>
                <w:sz w:val="22"/>
                <w:szCs w:val="22"/>
                <w:u w:val="none"/>
              </w:rPr>
            </w:pPr>
          </w:p>
        </w:tc>
        <w:tc>
          <w:tcPr>
            <w:tcW w:w="4912" w:type="dxa"/>
            <w:tcBorders>
              <w:top w:val="nil"/>
              <w:left w:val="nil"/>
              <w:bottom w:val="nil"/>
              <w:right w:val="nil"/>
            </w:tcBorders>
            <w:shd w:val="clear" w:color="auto" w:fill="auto"/>
            <w:noWrap/>
            <w:tcMar>
              <w:top w:w="15" w:type="dxa"/>
              <w:left w:w="15" w:type="dxa"/>
              <w:right w:w="15" w:type="dxa"/>
            </w:tcMar>
            <w:vAlign w:val="bottom"/>
          </w:tcPr>
          <w:p w14:paraId="5479537A">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255222E8">
        <w:tblPrEx>
          <w:tblCellMar>
            <w:top w:w="0" w:type="dxa"/>
            <w:left w:w="0" w:type="dxa"/>
            <w:bottom w:w="0" w:type="dxa"/>
            <w:right w:w="0" w:type="dxa"/>
          </w:tblCellMar>
        </w:tblPrEx>
        <w:trPr>
          <w:trHeight w:val="422" w:hRule="atLeast"/>
        </w:trPr>
        <w:tc>
          <w:tcPr>
            <w:tcW w:w="7149"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0D1A5BA7">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15071" w:type="dxa"/>
            <w:gridSpan w:val="3"/>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64ABEEED">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r>
      <w:tr w14:paraId="372103B9">
        <w:tblPrEx>
          <w:tblCellMar>
            <w:top w:w="0" w:type="dxa"/>
            <w:left w:w="0" w:type="dxa"/>
            <w:bottom w:w="0" w:type="dxa"/>
            <w:right w:w="0" w:type="dxa"/>
          </w:tblCellMar>
        </w:tblPrEx>
        <w:trPr>
          <w:trHeight w:val="339" w:hRule="atLeast"/>
        </w:trPr>
        <w:tc>
          <w:tcPr>
            <w:tcW w:w="272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DE59E8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442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FF583F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科目名称</w:t>
            </w:r>
          </w:p>
        </w:tc>
        <w:tc>
          <w:tcPr>
            <w:tcW w:w="4736"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FBE397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542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817B76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491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7F886A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r>
      <w:tr w14:paraId="71B528F7">
        <w:tblPrEx>
          <w:shd w:val="clear" w:color="auto" w:fill="auto"/>
          <w:tblCellMar>
            <w:top w:w="0" w:type="dxa"/>
            <w:left w:w="0" w:type="dxa"/>
            <w:bottom w:w="0" w:type="dxa"/>
            <w:right w:w="0" w:type="dxa"/>
          </w:tblCellMar>
        </w:tblPrEx>
        <w:trPr>
          <w:trHeight w:val="339"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41FE419">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013CF54">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0D779AC">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4CB629D">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749F184">
            <w:pPr>
              <w:jc w:val="center"/>
              <w:rPr>
                <w:rFonts w:hint="eastAsia" w:ascii="宋体" w:hAnsi="宋体" w:eastAsia="宋体" w:cs="宋体"/>
                <w:b/>
                <w:i w:val="0"/>
                <w:color w:val="000000"/>
                <w:sz w:val="22"/>
                <w:szCs w:val="22"/>
                <w:u w:val="none"/>
              </w:rPr>
            </w:pPr>
          </w:p>
        </w:tc>
      </w:tr>
      <w:tr w14:paraId="71008FAE">
        <w:tblPrEx>
          <w:shd w:val="clear" w:color="auto" w:fill="auto"/>
          <w:tblCellMar>
            <w:top w:w="0" w:type="dxa"/>
            <w:left w:w="0" w:type="dxa"/>
            <w:bottom w:w="0" w:type="dxa"/>
            <w:right w:w="0" w:type="dxa"/>
          </w:tblCellMar>
        </w:tblPrEx>
        <w:trPr>
          <w:trHeight w:val="339"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F85657B">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F15D300">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F37D94B">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E2DDA9E">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5126307">
            <w:pPr>
              <w:jc w:val="center"/>
              <w:rPr>
                <w:rFonts w:hint="eastAsia" w:ascii="宋体" w:hAnsi="宋体" w:eastAsia="宋体" w:cs="宋体"/>
                <w:b/>
                <w:i w:val="0"/>
                <w:color w:val="000000"/>
                <w:sz w:val="22"/>
                <w:szCs w:val="22"/>
                <w:u w:val="none"/>
              </w:rPr>
            </w:pPr>
          </w:p>
        </w:tc>
      </w:tr>
      <w:tr w14:paraId="53C76132">
        <w:tblPrEx>
          <w:tblCellMar>
            <w:top w:w="0" w:type="dxa"/>
            <w:left w:w="0" w:type="dxa"/>
            <w:bottom w:w="0" w:type="dxa"/>
            <w:right w:w="0" w:type="dxa"/>
          </w:tblCellMar>
        </w:tblPrEx>
        <w:trPr>
          <w:trHeight w:val="312"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6E25130">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085CBB6">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3B09D42">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8BE6930">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B185B3F">
            <w:pPr>
              <w:jc w:val="center"/>
              <w:rPr>
                <w:rFonts w:hint="eastAsia" w:ascii="宋体" w:hAnsi="宋体" w:eastAsia="宋体" w:cs="宋体"/>
                <w:b/>
                <w:i w:val="0"/>
                <w:color w:val="000000"/>
                <w:sz w:val="22"/>
                <w:szCs w:val="22"/>
                <w:u w:val="none"/>
              </w:rPr>
            </w:pPr>
          </w:p>
        </w:tc>
      </w:tr>
      <w:tr w14:paraId="0E3BA044">
        <w:tblPrEx>
          <w:tblCellMar>
            <w:top w:w="0" w:type="dxa"/>
            <w:left w:w="0" w:type="dxa"/>
            <w:bottom w:w="0" w:type="dxa"/>
            <w:right w:w="0" w:type="dxa"/>
          </w:tblCellMar>
        </w:tblPrEx>
        <w:trPr>
          <w:trHeight w:val="611" w:hRule="atLeast"/>
        </w:trPr>
        <w:tc>
          <w:tcPr>
            <w:tcW w:w="7149"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760EEE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7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7652BB">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5E92E0">
            <w:pPr>
              <w:jc w:val="right"/>
              <w:rPr>
                <w:rFonts w:hint="eastAsia" w:ascii="宋体" w:hAnsi="宋体" w:eastAsia="宋体" w:cs="宋体"/>
                <w:b/>
                <w:i w:val="0"/>
                <w:color w:val="000000"/>
                <w:sz w:val="22"/>
                <w:szCs w:val="22"/>
                <w:u w:val="none"/>
              </w:rPr>
            </w:pPr>
          </w:p>
        </w:tc>
        <w:tc>
          <w:tcPr>
            <w:tcW w:w="49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95B976">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0429968B">
        <w:tblPrEx>
          <w:tblCellMar>
            <w:top w:w="0" w:type="dxa"/>
            <w:left w:w="0" w:type="dxa"/>
            <w:bottom w:w="0" w:type="dxa"/>
            <w:right w:w="0" w:type="dxa"/>
          </w:tblCellMar>
        </w:tblPrEx>
        <w:trPr>
          <w:trHeight w:val="488" w:hRule="atLeast"/>
        </w:trPr>
        <w:tc>
          <w:tcPr>
            <w:tcW w:w="27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FE9E61">
            <w:pPr>
              <w:textAlignment w:val="center"/>
              <w:rPr>
                <w:rFonts w:hint="eastAsia" w:ascii="宋体" w:hAnsi="宋体" w:eastAsia="宋体" w:cs="宋体"/>
                <w:i w:val="0"/>
                <w:color w:val="000000"/>
                <w:sz w:val="22"/>
                <w:szCs w:val="22"/>
                <w:u w:val="none"/>
              </w:rPr>
            </w:pPr>
          </w:p>
        </w:tc>
        <w:tc>
          <w:tcPr>
            <w:tcW w:w="44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7EA254">
            <w:pPr>
              <w:textAlignment w:val="center"/>
              <w:rPr>
                <w:rFonts w:hint="eastAsia" w:ascii="宋体" w:hAnsi="宋体" w:eastAsia="宋体" w:cs="宋体"/>
                <w:i w:val="0"/>
                <w:color w:val="000000"/>
                <w:sz w:val="22"/>
                <w:szCs w:val="22"/>
                <w:u w:val="none"/>
              </w:rPr>
            </w:pPr>
          </w:p>
        </w:tc>
        <w:tc>
          <w:tcPr>
            <w:tcW w:w="47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98FFF3">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E645F6">
            <w:pPr>
              <w:jc w:val="right"/>
              <w:rPr>
                <w:rFonts w:hint="eastAsia" w:ascii="宋体" w:hAnsi="宋体" w:eastAsia="宋体" w:cs="宋体"/>
                <w:b/>
                <w:i w:val="0"/>
                <w:color w:val="000000"/>
                <w:sz w:val="22"/>
                <w:szCs w:val="22"/>
                <w:u w:val="none"/>
              </w:rPr>
            </w:pPr>
          </w:p>
        </w:tc>
        <w:tc>
          <w:tcPr>
            <w:tcW w:w="49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31E6E2">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r>
    </w:tbl>
    <w:p w14:paraId="6A688420">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备注：本表反映单位本年度国有资本经营预算财政拨款支出情况。本单位无国有资本经营收支，故本表无数据。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143D2BB3">
      <w:pPr>
        <w:numPr>
          <w:ilvl w:val="0"/>
          <w:numId w:val="0"/>
        </w:num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168" w:type="dxa"/>
        <w:tblInd w:w="0" w:type="dxa"/>
        <w:shd w:val="clear" w:color="auto" w:fill="auto"/>
        <w:tblLayout w:type="fixed"/>
        <w:tblCellMar>
          <w:top w:w="0" w:type="dxa"/>
          <w:left w:w="0" w:type="dxa"/>
          <w:bottom w:w="0" w:type="dxa"/>
          <w:right w:w="0" w:type="dxa"/>
        </w:tblCellMar>
      </w:tblPr>
      <w:tblGrid>
        <w:gridCol w:w="5159"/>
        <w:gridCol w:w="3822"/>
        <w:gridCol w:w="3281"/>
        <w:gridCol w:w="6581"/>
        <w:gridCol w:w="3325"/>
      </w:tblGrid>
      <w:tr w14:paraId="535DF89E">
        <w:tblPrEx>
          <w:tblCellMar>
            <w:top w:w="0" w:type="dxa"/>
            <w:left w:w="0" w:type="dxa"/>
            <w:bottom w:w="0" w:type="dxa"/>
            <w:right w:w="0" w:type="dxa"/>
          </w:tblCellMar>
        </w:tblPrEx>
        <w:trPr>
          <w:trHeight w:val="510" w:hRule="atLeast"/>
        </w:trPr>
        <w:tc>
          <w:tcPr>
            <w:tcW w:w="22168" w:type="dxa"/>
            <w:gridSpan w:val="5"/>
            <w:tcBorders>
              <w:top w:val="nil"/>
              <w:left w:val="nil"/>
              <w:bottom w:val="nil"/>
              <w:right w:val="nil"/>
            </w:tcBorders>
            <w:shd w:val="clear" w:color="auto" w:fill="auto"/>
            <w:noWrap/>
            <w:tcMar>
              <w:top w:w="15" w:type="dxa"/>
              <w:left w:w="15" w:type="dxa"/>
              <w:right w:w="15" w:type="dxa"/>
            </w:tcMar>
            <w:vAlign w:val="bottom"/>
          </w:tcPr>
          <w:p w14:paraId="03CD277A">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机构运行信息表</w:t>
            </w:r>
          </w:p>
        </w:tc>
      </w:tr>
      <w:tr w14:paraId="2BA56BF6">
        <w:tblPrEx>
          <w:tblCellMar>
            <w:top w:w="0" w:type="dxa"/>
            <w:left w:w="0" w:type="dxa"/>
            <w:bottom w:w="0" w:type="dxa"/>
            <w:right w:w="0" w:type="dxa"/>
          </w:tblCellMar>
        </w:tblPrEx>
        <w:trPr>
          <w:trHeight w:val="255" w:hRule="atLeast"/>
        </w:trPr>
        <w:tc>
          <w:tcPr>
            <w:tcW w:w="5159" w:type="dxa"/>
            <w:tcBorders>
              <w:top w:val="nil"/>
              <w:left w:val="nil"/>
              <w:bottom w:val="nil"/>
              <w:right w:val="nil"/>
            </w:tcBorders>
            <w:shd w:val="clear" w:color="auto" w:fill="auto"/>
            <w:noWrap/>
            <w:tcMar>
              <w:top w:w="15" w:type="dxa"/>
              <w:left w:w="15" w:type="dxa"/>
              <w:right w:w="15" w:type="dxa"/>
            </w:tcMar>
            <w:vAlign w:val="bottom"/>
          </w:tcPr>
          <w:p w14:paraId="2A7F3C7E">
            <w:pPr>
              <w:rPr>
                <w:rFonts w:hint="default" w:ascii="Arial" w:hAnsi="Arial" w:eastAsia="宋体" w:cs="Arial"/>
                <w:i w:val="0"/>
                <w:color w:val="000000"/>
                <w:sz w:val="20"/>
                <w:szCs w:val="20"/>
                <w:u w:val="none"/>
              </w:rPr>
            </w:pPr>
          </w:p>
        </w:tc>
        <w:tc>
          <w:tcPr>
            <w:tcW w:w="3822" w:type="dxa"/>
            <w:tcBorders>
              <w:top w:val="nil"/>
              <w:left w:val="nil"/>
              <w:bottom w:val="nil"/>
              <w:right w:val="nil"/>
            </w:tcBorders>
            <w:shd w:val="clear" w:color="auto" w:fill="auto"/>
            <w:noWrap/>
            <w:tcMar>
              <w:top w:w="15" w:type="dxa"/>
              <w:left w:w="15" w:type="dxa"/>
              <w:right w:w="15" w:type="dxa"/>
            </w:tcMar>
            <w:vAlign w:val="bottom"/>
          </w:tcPr>
          <w:p w14:paraId="5854A816">
            <w:pPr>
              <w:jc w:val="center"/>
              <w:rPr>
                <w:rFonts w:hint="default" w:ascii="Arial" w:hAnsi="Arial" w:eastAsia="宋体" w:cs="Arial"/>
                <w:i w:val="0"/>
                <w:color w:val="000000"/>
                <w:sz w:val="20"/>
                <w:szCs w:val="20"/>
                <w:u w:val="none"/>
              </w:rPr>
            </w:pPr>
          </w:p>
        </w:tc>
        <w:tc>
          <w:tcPr>
            <w:tcW w:w="3281" w:type="dxa"/>
            <w:tcBorders>
              <w:top w:val="nil"/>
              <w:left w:val="nil"/>
              <w:bottom w:val="nil"/>
              <w:right w:val="nil"/>
            </w:tcBorders>
            <w:shd w:val="clear" w:color="auto" w:fill="auto"/>
            <w:noWrap/>
            <w:tcMar>
              <w:top w:w="15" w:type="dxa"/>
              <w:left w:w="15" w:type="dxa"/>
              <w:right w:w="15" w:type="dxa"/>
            </w:tcMar>
            <w:vAlign w:val="bottom"/>
          </w:tcPr>
          <w:p w14:paraId="5761945A">
            <w:pPr>
              <w:jc w:val="right"/>
              <w:rPr>
                <w:rFonts w:hint="default" w:ascii="Arial" w:hAnsi="Arial" w:eastAsia="宋体" w:cs="Arial"/>
                <w:i w:val="0"/>
                <w:color w:val="000000"/>
                <w:sz w:val="20"/>
                <w:szCs w:val="20"/>
                <w:u w:val="none"/>
              </w:rPr>
            </w:pPr>
          </w:p>
        </w:tc>
        <w:tc>
          <w:tcPr>
            <w:tcW w:w="6581" w:type="dxa"/>
            <w:tcBorders>
              <w:top w:val="nil"/>
              <w:left w:val="nil"/>
              <w:bottom w:val="nil"/>
              <w:right w:val="nil"/>
            </w:tcBorders>
            <w:shd w:val="clear" w:color="auto" w:fill="auto"/>
            <w:noWrap/>
            <w:tcMar>
              <w:top w:w="15" w:type="dxa"/>
              <w:left w:w="15" w:type="dxa"/>
              <w:right w:w="15" w:type="dxa"/>
            </w:tcMar>
            <w:vAlign w:val="bottom"/>
          </w:tcPr>
          <w:p w14:paraId="0A0D07EB">
            <w:pPr>
              <w:rPr>
                <w:rFonts w:hint="default" w:ascii="Arial" w:hAnsi="Arial" w:eastAsia="宋体" w:cs="Arial"/>
                <w:i w:val="0"/>
                <w:color w:val="000000"/>
                <w:sz w:val="20"/>
                <w:szCs w:val="20"/>
                <w:u w:val="none"/>
              </w:rPr>
            </w:pPr>
          </w:p>
        </w:tc>
        <w:tc>
          <w:tcPr>
            <w:tcW w:w="3325" w:type="dxa"/>
            <w:tcBorders>
              <w:top w:val="nil"/>
              <w:left w:val="nil"/>
              <w:bottom w:val="nil"/>
              <w:right w:val="nil"/>
            </w:tcBorders>
            <w:shd w:val="clear" w:color="auto" w:fill="auto"/>
            <w:noWrap/>
            <w:tcMar>
              <w:top w:w="15" w:type="dxa"/>
              <w:left w:w="15" w:type="dxa"/>
              <w:right w:w="15" w:type="dxa"/>
            </w:tcMar>
            <w:vAlign w:val="bottom"/>
          </w:tcPr>
          <w:p w14:paraId="1384E5B3">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公开09表</w:t>
            </w:r>
          </w:p>
        </w:tc>
      </w:tr>
      <w:tr w14:paraId="40B99970">
        <w:tblPrEx>
          <w:shd w:val="clear" w:color="auto" w:fill="auto"/>
          <w:tblCellMar>
            <w:top w:w="0" w:type="dxa"/>
            <w:left w:w="0" w:type="dxa"/>
            <w:bottom w:w="0" w:type="dxa"/>
            <w:right w:w="0" w:type="dxa"/>
          </w:tblCellMar>
        </w:tblPrEx>
        <w:trPr>
          <w:trHeight w:val="285" w:hRule="atLeast"/>
        </w:trPr>
        <w:tc>
          <w:tcPr>
            <w:tcW w:w="5159" w:type="dxa"/>
            <w:tcBorders>
              <w:top w:val="nil"/>
              <w:left w:val="nil"/>
              <w:bottom w:val="nil"/>
              <w:right w:val="nil"/>
            </w:tcBorders>
            <w:shd w:val="clear" w:color="auto" w:fill="auto"/>
            <w:noWrap/>
            <w:tcMar>
              <w:top w:w="15" w:type="dxa"/>
              <w:left w:w="15" w:type="dxa"/>
              <w:right w:w="15" w:type="dxa"/>
            </w:tcMar>
            <w:vAlign w:val="bottom"/>
          </w:tcPr>
          <w:p w14:paraId="3B1DEF9A">
            <w:pPr>
              <w:keepNext w:val="0"/>
              <w:keepLines w:val="0"/>
              <w:widowControl/>
              <w:suppressLineNumbers w:val="0"/>
              <w:jc w:val="left"/>
              <w:textAlignment w:val="bottom"/>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黔江区城东街道社区事务服务中心</w:t>
            </w:r>
          </w:p>
        </w:tc>
        <w:tc>
          <w:tcPr>
            <w:tcW w:w="3822" w:type="dxa"/>
            <w:tcBorders>
              <w:top w:val="nil"/>
              <w:left w:val="nil"/>
              <w:bottom w:val="nil"/>
              <w:right w:val="nil"/>
            </w:tcBorders>
            <w:shd w:val="clear" w:color="auto" w:fill="auto"/>
            <w:noWrap/>
            <w:tcMar>
              <w:top w:w="15" w:type="dxa"/>
              <w:left w:w="15" w:type="dxa"/>
              <w:right w:w="15" w:type="dxa"/>
            </w:tcMar>
            <w:vAlign w:val="bottom"/>
          </w:tcPr>
          <w:p w14:paraId="7346BAC0">
            <w:pPr>
              <w:jc w:val="center"/>
              <w:rPr>
                <w:rFonts w:hint="eastAsia" w:ascii="宋体" w:hAnsi="宋体" w:eastAsia="宋体" w:cs="宋体"/>
                <w:i w:val="0"/>
                <w:color w:val="000000"/>
                <w:sz w:val="22"/>
                <w:szCs w:val="22"/>
                <w:u w:val="none"/>
              </w:rPr>
            </w:pPr>
          </w:p>
        </w:tc>
        <w:tc>
          <w:tcPr>
            <w:tcW w:w="3281" w:type="dxa"/>
            <w:tcBorders>
              <w:top w:val="nil"/>
              <w:left w:val="nil"/>
              <w:bottom w:val="nil"/>
              <w:right w:val="nil"/>
            </w:tcBorders>
            <w:shd w:val="clear" w:color="auto" w:fill="auto"/>
            <w:noWrap/>
            <w:tcMar>
              <w:top w:w="15" w:type="dxa"/>
              <w:left w:w="15" w:type="dxa"/>
              <w:right w:w="15" w:type="dxa"/>
            </w:tcMar>
            <w:vAlign w:val="bottom"/>
          </w:tcPr>
          <w:p w14:paraId="6AF88986">
            <w:pPr>
              <w:jc w:val="right"/>
              <w:rPr>
                <w:rFonts w:hint="default" w:ascii="Arial" w:hAnsi="Arial" w:eastAsia="宋体" w:cs="Arial"/>
                <w:i w:val="0"/>
                <w:color w:val="000000"/>
                <w:sz w:val="22"/>
                <w:szCs w:val="22"/>
                <w:u w:val="none"/>
              </w:rPr>
            </w:pPr>
          </w:p>
        </w:tc>
        <w:tc>
          <w:tcPr>
            <w:tcW w:w="6581" w:type="dxa"/>
            <w:tcBorders>
              <w:top w:val="nil"/>
              <w:left w:val="nil"/>
              <w:bottom w:val="nil"/>
              <w:right w:val="nil"/>
            </w:tcBorders>
            <w:shd w:val="clear" w:color="auto" w:fill="auto"/>
            <w:noWrap/>
            <w:tcMar>
              <w:top w:w="15" w:type="dxa"/>
              <w:left w:w="15" w:type="dxa"/>
              <w:right w:w="15" w:type="dxa"/>
            </w:tcMar>
            <w:vAlign w:val="bottom"/>
          </w:tcPr>
          <w:p w14:paraId="2595BDF2">
            <w:pPr>
              <w:rPr>
                <w:rFonts w:hint="default" w:ascii="Arial" w:hAnsi="Arial" w:eastAsia="宋体" w:cs="Arial"/>
                <w:i w:val="0"/>
                <w:color w:val="000000"/>
                <w:sz w:val="22"/>
                <w:szCs w:val="22"/>
                <w:u w:val="none"/>
              </w:rPr>
            </w:pPr>
          </w:p>
        </w:tc>
        <w:tc>
          <w:tcPr>
            <w:tcW w:w="3325" w:type="dxa"/>
            <w:tcBorders>
              <w:top w:val="nil"/>
              <w:left w:val="nil"/>
              <w:bottom w:val="nil"/>
              <w:right w:val="nil"/>
            </w:tcBorders>
            <w:shd w:val="clear" w:color="auto" w:fill="auto"/>
            <w:noWrap/>
            <w:tcMar>
              <w:top w:w="15" w:type="dxa"/>
              <w:left w:w="15" w:type="dxa"/>
              <w:right w:w="15" w:type="dxa"/>
            </w:tcMar>
            <w:vAlign w:val="bottom"/>
          </w:tcPr>
          <w:p w14:paraId="585BE71B">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59DE31D8">
        <w:tblPrEx>
          <w:shd w:val="clear" w:color="auto" w:fill="auto"/>
          <w:tblCellMar>
            <w:top w:w="0" w:type="dxa"/>
            <w:left w:w="0" w:type="dxa"/>
            <w:bottom w:w="0" w:type="dxa"/>
            <w:right w:w="0" w:type="dxa"/>
          </w:tblCellMar>
        </w:tblPrEx>
        <w:trPr>
          <w:trHeight w:val="308" w:hRule="atLeast"/>
        </w:trPr>
        <w:tc>
          <w:tcPr>
            <w:tcW w:w="5159" w:type="dxa"/>
            <w:tcBorders>
              <w:top w:val="single" w:color="000000" w:sz="4" w:space="0"/>
              <w:left w:val="single" w:color="000000" w:sz="4" w:space="0"/>
              <w:bottom w:val="single" w:color="000000" w:sz="4" w:space="0"/>
              <w:right w:val="nil"/>
            </w:tcBorders>
            <w:shd w:val="clear" w:color="FFFFFF" w:fill="C0C0C0"/>
            <w:noWrap/>
            <w:tcMar>
              <w:top w:w="15" w:type="dxa"/>
              <w:left w:w="15" w:type="dxa"/>
              <w:right w:w="15" w:type="dxa"/>
            </w:tcMar>
            <w:vAlign w:val="center"/>
          </w:tcPr>
          <w:p w14:paraId="62D1D73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38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F3E2BE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预算数</w:t>
            </w:r>
          </w:p>
        </w:tc>
        <w:tc>
          <w:tcPr>
            <w:tcW w:w="3281" w:type="dxa"/>
            <w:tcBorders>
              <w:top w:val="single" w:color="000000" w:sz="4" w:space="0"/>
              <w:left w:val="nil"/>
              <w:bottom w:val="nil"/>
              <w:right w:val="single" w:color="000000" w:sz="4" w:space="0"/>
            </w:tcBorders>
            <w:shd w:val="clear" w:color="FFFFFF" w:fill="C0C0C0"/>
            <w:noWrap/>
            <w:tcMar>
              <w:top w:w="15" w:type="dxa"/>
              <w:left w:w="15" w:type="dxa"/>
              <w:right w:w="15" w:type="dxa"/>
            </w:tcMar>
            <w:vAlign w:val="center"/>
          </w:tcPr>
          <w:p w14:paraId="18BEC7C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6581" w:type="dxa"/>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14:paraId="597D24E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3325" w:type="dxa"/>
            <w:tcBorders>
              <w:top w:val="single" w:color="000000" w:sz="4" w:space="0"/>
              <w:left w:val="nil"/>
              <w:bottom w:val="nil"/>
              <w:right w:val="single" w:color="000000" w:sz="4" w:space="0"/>
            </w:tcBorders>
            <w:shd w:val="clear" w:color="FFFFFF" w:fill="C0C0C0"/>
            <w:noWrap/>
            <w:tcMar>
              <w:top w:w="15" w:type="dxa"/>
              <w:left w:w="15" w:type="dxa"/>
              <w:right w:w="15" w:type="dxa"/>
            </w:tcMar>
            <w:vAlign w:val="center"/>
          </w:tcPr>
          <w:p w14:paraId="3A19E5F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14:paraId="07BBFD7C">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64C4D22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一、“三公”经费支出</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ECA30F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28330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144524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五</w:t>
            </w:r>
            <w:r>
              <w:rPr>
                <w:rFonts w:hint="eastAsia" w:ascii="宋体" w:hAnsi="宋体" w:eastAsia="宋体" w:cs="宋体"/>
                <w:i w:val="0"/>
                <w:color w:val="000000"/>
                <w:kern w:val="0"/>
                <w:sz w:val="22"/>
                <w:szCs w:val="22"/>
                <w:u w:val="none"/>
                <w:lang w:val="en-US" w:eastAsia="zh-CN" w:bidi="ar"/>
              </w:rPr>
              <w:t>、机关运行经费</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9FBD2C4">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63E3EE3D">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5E5B02A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（一）支出合计</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7C8BF8A4">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49F33B7F">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57B072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（一）行政单位</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485E21E">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2F337DE4">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64114E5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1．因公出国（境）费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70BE3B1C">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1DEA4E47">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1A5DC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（二）参照公务员法管理事业单位</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FC48C49">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101B645B">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1923378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2．公务用车购置及运行维护费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46F4A5ED">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229721B7">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B1D8C3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六</w:t>
            </w:r>
            <w:r>
              <w:rPr>
                <w:rFonts w:hint="eastAsia" w:ascii="宋体" w:hAnsi="宋体" w:eastAsia="宋体" w:cs="宋体"/>
                <w:i w:val="0"/>
                <w:color w:val="000000"/>
                <w:kern w:val="0"/>
                <w:sz w:val="22"/>
                <w:szCs w:val="22"/>
                <w:u w:val="none"/>
                <w:lang w:val="en-US" w:eastAsia="zh-CN" w:bidi="ar"/>
              </w:rPr>
              <w:t>、资产信息</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CA4EF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3B1D079A">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75BCF06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（1）公务用车购置费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11DB07E4">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2F2DE2DD">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378CAE6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（一）车辆数合计（辆）</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23B243D">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263C26E2">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6137FA1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（2）公务用车运行维护费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2C5273F3">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4983F3B0">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13A9B53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1．副部（省）级及以上领导用车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CD26343">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759C15B8">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05A7CBB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3．公务接待费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5AE6AE66">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6D52EBFB">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2A9B793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2．主要领导干部用车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40E1F68">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5E15489B">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7A9107A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（1）国内接待费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05F91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4C36FFAD">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7FFDA43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3．机要通信用车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63DEA3A">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67190FE9">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0A0632F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6535C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1F8F0C58">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3AE4080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4．应急保障用车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0350CF9">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4C6504CE">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5AAF053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（2）国（境）外接待费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43B18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7B50B422">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0C3CE38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5．执法执勤用车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E3EC44A">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0154B0CC">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578ABE9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（二）相关统计数</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6621E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A12DA3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7E01F23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6．特种专业技术用车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83EC994">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713C7F43">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64C44FF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1．因公出国（境）团组数（个）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86747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1F2333EF">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48E095C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7．离退休干部用车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4EC7D39">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54C1B21E">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1A10D00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2．因公出国（境）人次数（人）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0622C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744B8B97">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730EEE5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8．其他用车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A77A0C8">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4ADC902B">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5805EC4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3．公务用车购置数（辆）</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3EBB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411D9D05">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666439B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（二）单价100万元（含）以上设备（不含车辆）</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0CFADA3">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1FD25B68">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0F47D6B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4．公务用车保有量（辆）</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4B7EB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7C8784E4">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F7C5BA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七</w:t>
            </w:r>
            <w:r>
              <w:rPr>
                <w:rFonts w:hint="eastAsia" w:ascii="宋体" w:hAnsi="宋体" w:eastAsia="宋体" w:cs="宋体"/>
                <w:i w:val="0"/>
                <w:color w:val="000000"/>
                <w:kern w:val="0"/>
                <w:sz w:val="22"/>
                <w:szCs w:val="22"/>
                <w:u w:val="none"/>
                <w:lang w:val="en-US" w:eastAsia="zh-CN" w:bidi="ar"/>
              </w:rPr>
              <w:t>、政府采购支出信息</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1DF9A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02506914">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4E29E91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5．国内公务接待批次（个）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AEBE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45FDABD1">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809396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（一）政府采购支出合计</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373E361">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79DF5370">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053710B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D5C78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289BFD52">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0C0778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1．政府采购货物支出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7D12BFF">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513066D7">
        <w:tblPrEx>
          <w:shd w:val="clear" w:color="auto" w:fill="auto"/>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0E02BB2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6．国内公务接待人次（人）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53055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43C4C548">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2A412A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2．政府采购工程支出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8B6BD65">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35FA41F4">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42BA791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E9D08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794371DC">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383BB2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3．政府采购服务支出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8F7A5A1">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7F341E03">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6FCE449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7．国（境）外公务接待批次（个）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77A5A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5CF39F62">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A23951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（二）政府采购授予中小企业合同金额</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5D4D203">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6169618F">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43FFCBD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8．国（境）外公务接待人次（人）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133C4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44921CE8">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FBB8F8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其中：授予小微企业合同金额</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0CBE31F">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1F22C21B">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auto" w:sz="4" w:space="0"/>
              <w:right w:val="nil"/>
            </w:tcBorders>
            <w:shd w:val="clear" w:color="FFFFFF" w:fill="C0C0C0"/>
            <w:noWrap/>
            <w:tcMar>
              <w:top w:w="15" w:type="dxa"/>
              <w:left w:w="15" w:type="dxa"/>
              <w:right w:w="15" w:type="dxa"/>
            </w:tcMar>
            <w:vAlign w:val="center"/>
          </w:tcPr>
          <w:p w14:paraId="6913B1F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二、会议费</w:t>
            </w:r>
          </w:p>
        </w:tc>
        <w:tc>
          <w:tcPr>
            <w:tcW w:w="3822"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5A4D32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6C835469">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p>
        </w:tc>
        <w:tc>
          <w:tcPr>
            <w:tcW w:w="6581" w:type="dxa"/>
            <w:tcBorders>
              <w:top w:val="nil"/>
              <w:left w:val="nil"/>
              <w:bottom w:val="single" w:color="auto" w:sz="4" w:space="0"/>
              <w:right w:val="single" w:color="000000" w:sz="4" w:space="0"/>
            </w:tcBorders>
            <w:shd w:val="clear" w:color="FFFFFF" w:fill="C0C0C0"/>
            <w:noWrap/>
            <w:tcMar>
              <w:top w:w="15" w:type="dxa"/>
              <w:left w:w="15" w:type="dxa"/>
              <w:right w:w="15" w:type="dxa"/>
            </w:tcMar>
            <w:vAlign w:val="center"/>
          </w:tcPr>
          <w:p w14:paraId="5BAB723E">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B2BFF56">
            <w:pPr>
              <w:jc w:val="right"/>
              <w:rPr>
                <w:rFonts w:hint="default" w:ascii="Arial" w:hAnsi="Arial" w:eastAsia="宋体" w:cs="Arial"/>
                <w:i w:val="0"/>
                <w:color w:val="000000"/>
                <w:sz w:val="20"/>
                <w:szCs w:val="20"/>
                <w:u w:val="none"/>
              </w:rPr>
            </w:pPr>
          </w:p>
        </w:tc>
      </w:tr>
      <w:tr w14:paraId="6800E917">
        <w:tblPrEx>
          <w:shd w:val="clear" w:color="auto" w:fill="auto"/>
          <w:tblCellMar>
            <w:top w:w="0" w:type="dxa"/>
            <w:left w:w="0" w:type="dxa"/>
            <w:bottom w:w="0" w:type="dxa"/>
            <w:right w:w="0" w:type="dxa"/>
          </w:tblCellMar>
        </w:tblPrEx>
        <w:trPr>
          <w:trHeight w:val="308" w:hRule="atLeast"/>
        </w:trPr>
        <w:tc>
          <w:tcPr>
            <w:tcW w:w="5159" w:type="dxa"/>
            <w:tcBorders>
              <w:top w:val="single" w:color="auto" w:sz="4" w:space="0"/>
              <w:left w:val="single" w:color="auto" w:sz="4" w:space="0"/>
              <w:bottom w:val="single" w:color="auto" w:sz="4" w:space="0"/>
              <w:right w:val="nil"/>
            </w:tcBorders>
            <w:shd w:val="clear" w:color="FFFFFF" w:fill="C0C0C0"/>
            <w:noWrap/>
            <w:tcMar>
              <w:top w:w="15" w:type="dxa"/>
              <w:left w:w="15" w:type="dxa"/>
              <w:right w:w="15" w:type="dxa"/>
            </w:tcMar>
            <w:vAlign w:val="center"/>
          </w:tcPr>
          <w:p w14:paraId="750D3AA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三、培训费</w:t>
            </w:r>
          </w:p>
        </w:tc>
        <w:tc>
          <w:tcPr>
            <w:tcW w:w="3822"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6F24975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bottom"/>
          </w:tcPr>
          <w:p w14:paraId="7BD1B2A6">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p>
        </w:tc>
        <w:tc>
          <w:tcPr>
            <w:tcW w:w="6581" w:type="dxa"/>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57C5975A">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bottom"/>
          </w:tcPr>
          <w:p w14:paraId="1AC61C14">
            <w:pPr>
              <w:jc w:val="right"/>
              <w:rPr>
                <w:rFonts w:hint="default" w:ascii="Arial" w:hAnsi="Arial" w:eastAsia="宋体" w:cs="Arial"/>
                <w:i w:val="0"/>
                <w:color w:val="000000"/>
                <w:sz w:val="20"/>
                <w:szCs w:val="20"/>
                <w:u w:val="none"/>
              </w:rPr>
            </w:pPr>
          </w:p>
        </w:tc>
      </w:tr>
      <w:tr w14:paraId="4C7A3CBC">
        <w:tblPrEx>
          <w:tblCellMar>
            <w:top w:w="0" w:type="dxa"/>
            <w:left w:w="0" w:type="dxa"/>
            <w:bottom w:w="0" w:type="dxa"/>
            <w:right w:w="0" w:type="dxa"/>
          </w:tblCellMar>
        </w:tblPrEx>
        <w:trPr>
          <w:trHeight w:val="308" w:hRule="atLeast"/>
        </w:trPr>
        <w:tc>
          <w:tcPr>
            <w:tcW w:w="5159" w:type="dxa"/>
            <w:tcBorders>
              <w:top w:val="single" w:color="auto" w:sz="4" w:space="0"/>
              <w:left w:val="single" w:color="auto" w:sz="4" w:space="0"/>
              <w:bottom w:val="single" w:color="auto" w:sz="4" w:space="0"/>
              <w:right w:val="nil"/>
            </w:tcBorders>
            <w:shd w:val="clear" w:color="FFFFFF" w:fill="C0C0C0"/>
            <w:noWrap/>
            <w:tcMar>
              <w:top w:w="15" w:type="dxa"/>
              <w:left w:w="15" w:type="dxa"/>
              <w:right w:w="15" w:type="dxa"/>
            </w:tcMar>
            <w:vAlign w:val="center"/>
          </w:tcPr>
          <w:p w14:paraId="3F6990E0">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四、差旅费</w:t>
            </w:r>
          </w:p>
        </w:tc>
        <w:tc>
          <w:tcPr>
            <w:tcW w:w="3822"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7FA2764D">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bottom"/>
          </w:tcPr>
          <w:p w14:paraId="18A85106">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p>
        </w:tc>
        <w:tc>
          <w:tcPr>
            <w:tcW w:w="6581" w:type="dxa"/>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3A4EAFA4">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bottom"/>
          </w:tcPr>
          <w:p w14:paraId="6F21D285">
            <w:pPr>
              <w:jc w:val="right"/>
              <w:rPr>
                <w:rFonts w:hint="default" w:ascii="Arial" w:hAnsi="Arial" w:eastAsia="宋体" w:cs="Arial"/>
                <w:i w:val="0"/>
                <w:color w:val="000000"/>
                <w:sz w:val="20"/>
                <w:szCs w:val="20"/>
                <w:u w:val="none"/>
              </w:rPr>
            </w:pPr>
          </w:p>
        </w:tc>
      </w:tr>
    </w:tbl>
    <w:p w14:paraId="5F872864">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1703733A">
      <w:pPr>
        <w:rPr>
          <w:rFonts w:hint="eastAsia" w:ascii="宋体" w:hAnsi="宋体" w:eastAsia="宋体" w:cs="宋体"/>
          <w:color w:val="000000"/>
          <w:sz w:val="21"/>
          <w:szCs w:val="21"/>
          <w:lang w:bidi="ar"/>
        </w:rPr>
      </w:pPr>
    </w:p>
    <w:p w14:paraId="20C2D35A">
      <w:pPr>
        <w:rPr>
          <w:rFonts w:hint="eastAsia" w:ascii="宋体" w:hAnsi="宋体" w:eastAsia="宋体" w:cs="宋体"/>
          <w:color w:val="000000"/>
          <w:sz w:val="21"/>
          <w:szCs w:val="21"/>
          <w:lang w:bidi="ar"/>
        </w:rPr>
      </w:pPr>
    </w:p>
    <w:p w14:paraId="62A3E130">
      <w:pPr>
        <w:rPr>
          <w:rFonts w:hint="eastAsia" w:ascii="宋体" w:hAnsi="宋体" w:eastAsia="宋体" w:cs="宋体"/>
          <w:color w:val="000000"/>
          <w:sz w:val="21"/>
          <w:szCs w:val="21"/>
          <w:lang w:bidi="ar"/>
        </w:rPr>
      </w:pPr>
    </w:p>
    <w:p w14:paraId="037C8A61">
      <w:pPr>
        <w:rPr>
          <w:rFonts w:hint="eastAsia" w:ascii="宋体" w:hAnsi="宋体" w:eastAsia="宋体" w:cs="宋体"/>
          <w:color w:val="000000"/>
          <w:sz w:val="21"/>
          <w:szCs w:val="21"/>
          <w:lang w:bidi="ar"/>
        </w:rPr>
      </w:pPr>
    </w:p>
    <w:p w14:paraId="0BF76D91">
      <w:pPr>
        <w:rPr>
          <w:rFonts w:hint="eastAsia" w:ascii="宋体" w:hAnsi="宋体" w:eastAsia="宋体" w:cs="宋体"/>
          <w:color w:val="000000"/>
          <w:sz w:val="21"/>
          <w:szCs w:val="21"/>
          <w:lang w:bidi="ar"/>
        </w:rPr>
      </w:pPr>
    </w:p>
    <w:p w14:paraId="51A2A489">
      <w:pPr>
        <w:rPr>
          <w:rFonts w:hint="eastAsia" w:ascii="宋体" w:hAnsi="宋体" w:eastAsia="宋体" w:cs="宋体"/>
          <w:color w:val="000000"/>
          <w:sz w:val="21"/>
          <w:szCs w:val="21"/>
          <w:lang w:bidi="ar"/>
        </w:rPr>
      </w:pPr>
    </w:p>
    <w:p w14:paraId="7FC4A0E4">
      <w:pPr>
        <w:rPr>
          <w:rFonts w:hint="eastAsia" w:ascii="宋体" w:hAnsi="宋体" w:eastAsia="宋体" w:cs="宋体"/>
          <w:color w:val="000000"/>
          <w:sz w:val="21"/>
          <w:szCs w:val="21"/>
          <w:lang w:bidi="ar"/>
        </w:rPr>
      </w:pPr>
    </w:p>
    <w:p w14:paraId="3745EC60">
      <w:pPr>
        <w:rPr>
          <w:rFonts w:hint="eastAsia" w:ascii="宋体" w:hAnsi="宋体" w:eastAsia="宋体" w:cs="宋体"/>
          <w:color w:val="000000"/>
          <w:sz w:val="21"/>
          <w:szCs w:val="21"/>
          <w:lang w:bidi="ar"/>
        </w:rPr>
      </w:pPr>
    </w:p>
    <w:p w14:paraId="5A370612">
      <w:pPr>
        <w:rPr>
          <w:rFonts w:hint="eastAsia" w:ascii="宋体" w:hAnsi="宋体" w:eastAsia="宋体" w:cs="宋体"/>
          <w:color w:val="000000"/>
          <w:sz w:val="21"/>
          <w:szCs w:val="21"/>
          <w:lang w:bidi="ar"/>
        </w:rPr>
      </w:pPr>
    </w:p>
    <w:p w14:paraId="6FDB4935">
      <w:pPr>
        <w:pStyle w:val="10"/>
        <w:autoSpaceDE w:val="0"/>
        <w:ind w:firstLine="0" w:firstLineChars="0"/>
        <w:rPr>
          <w:rFonts w:hint="default" w:ascii="宋体" w:hAnsi="宋体" w:eastAsia="宋体" w:cs="宋体"/>
          <w:sz w:val="21"/>
          <w:szCs w:val="21"/>
        </w:rPr>
      </w:pPr>
    </w:p>
    <w:sectPr>
      <w:headerReference r:id="rId4" w:type="default"/>
      <w:footerReference r:id="rId5" w:type="default"/>
      <w:pgSz w:w="23811" w:h="16838" w:orient="landscape"/>
      <w:pgMar w:top="567" w:right="454" w:bottom="567" w:left="1037" w:header="0" w:footer="283"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570FF">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264D1B">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8264D1B">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B81BC">
    <w:pPr>
      <w:pStyle w:val="2"/>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9B70689">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fill on="f" focussize="0,0"/>
              <v:stroke on="f" weight="0.5pt"/>
              <v:imagedata o:title=""/>
              <o:lock v:ext="edit" aspectratio="f"/>
              <v:textbox inset="0mm,0mm,0mm,0mm" style="mso-fit-shape-to-text:t;">
                <w:txbxContent>
                  <w:p w14:paraId="49B70689">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14:paraId="12F8A315">
                          <w:pPr>
                            <w:pStyle w:val="2"/>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fill on="f" focussize="0,0"/>
              <v:stroke on="f" weight="0.5pt"/>
              <v:imagedata o:title=""/>
              <o:lock v:ext="edit" aspectratio="f"/>
              <v:textbox inset="0mm,0mm,0mm,0mm">
                <w:txbxContent>
                  <w:p w14:paraId="12F8A315">
                    <w:pPr>
                      <w:pStyle w:val="2"/>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2E8D1">
    <w:pPr>
      <w:pStyle w:val="3"/>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339A02"/>
    <w:multiLevelType w:val="singleLevel"/>
    <w:tmpl w:val="C5339A02"/>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550ABE"/>
    <w:rsid w:val="007B419D"/>
    <w:rsid w:val="009B67B8"/>
    <w:rsid w:val="00B03CCD"/>
    <w:rsid w:val="00F73F90"/>
    <w:rsid w:val="01413F3A"/>
    <w:rsid w:val="01474EBF"/>
    <w:rsid w:val="01F3521E"/>
    <w:rsid w:val="03B87EA0"/>
    <w:rsid w:val="03E3214F"/>
    <w:rsid w:val="044C50BA"/>
    <w:rsid w:val="05524683"/>
    <w:rsid w:val="05BC6D49"/>
    <w:rsid w:val="06194FF1"/>
    <w:rsid w:val="06A2550B"/>
    <w:rsid w:val="06F80EE2"/>
    <w:rsid w:val="07001CCA"/>
    <w:rsid w:val="075678DB"/>
    <w:rsid w:val="079D7CC7"/>
    <w:rsid w:val="07B27100"/>
    <w:rsid w:val="08051BCA"/>
    <w:rsid w:val="086C12F4"/>
    <w:rsid w:val="08705944"/>
    <w:rsid w:val="08BA052C"/>
    <w:rsid w:val="08DB07BA"/>
    <w:rsid w:val="0969353F"/>
    <w:rsid w:val="098305D0"/>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63A6CEE"/>
    <w:rsid w:val="173708E3"/>
    <w:rsid w:val="17C374FC"/>
    <w:rsid w:val="189079DC"/>
    <w:rsid w:val="189B0D0B"/>
    <w:rsid w:val="18B43F7C"/>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4B92327"/>
    <w:rsid w:val="24C14514"/>
    <w:rsid w:val="2533755C"/>
    <w:rsid w:val="25791755"/>
    <w:rsid w:val="26396DF4"/>
    <w:rsid w:val="27167136"/>
    <w:rsid w:val="27B23302"/>
    <w:rsid w:val="29310A5F"/>
    <w:rsid w:val="29C37A35"/>
    <w:rsid w:val="2A076083"/>
    <w:rsid w:val="2A73162E"/>
    <w:rsid w:val="2B026E33"/>
    <w:rsid w:val="2B167953"/>
    <w:rsid w:val="2B200583"/>
    <w:rsid w:val="2B8209DE"/>
    <w:rsid w:val="2C6762A3"/>
    <w:rsid w:val="2FCA4B37"/>
    <w:rsid w:val="2FE029D7"/>
    <w:rsid w:val="2FF06E00"/>
    <w:rsid w:val="30586FEC"/>
    <w:rsid w:val="315F0B22"/>
    <w:rsid w:val="31D84415"/>
    <w:rsid w:val="32285F6F"/>
    <w:rsid w:val="32770556"/>
    <w:rsid w:val="329C0913"/>
    <w:rsid w:val="32AA0460"/>
    <w:rsid w:val="3337290D"/>
    <w:rsid w:val="33E31118"/>
    <w:rsid w:val="33EF7674"/>
    <w:rsid w:val="342D7BC6"/>
    <w:rsid w:val="352930DB"/>
    <w:rsid w:val="35573069"/>
    <w:rsid w:val="355F6038"/>
    <w:rsid w:val="358C217E"/>
    <w:rsid w:val="35D477CE"/>
    <w:rsid w:val="36C9128A"/>
    <w:rsid w:val="37841E99"/>
    <w:rsid w:val="37BF1123"/>
    <w:rsid w:val="383C3F15"/>
    <w:rsid w:val="38BE4696"/>
    <w:rsid w:val="3939115E"/>
    <w:rsid w:val="39B82A39"/>
    <w:rsid w:val="39C42CA8"/>
    <w:rsid w:val="39DC4FD6"/>
    <w:rsid w:val="39F03D7A"/>
    <w:rsid w:val="39F33306"/>
    <w:rsid w:val="3A2C1C67"/>
    <w:rsid w:val="3B1705E5"/>
    <w:rsid w:val="3B18334B"/>
    <w:rsid w:val="3B36794F"/>
    <w:rsid w:val="3C566AD6"/>
    <w:rsid w:val="3C6A5B02"/>
    <w:rsid w:val="3D2757A1"/>
    <w:rsid w:val="3D3D4FC4"/>
    <w:rsid w:val="3DDF3AB1"/>
    <w:rsid w:val="3E1D0952"/>
    <w:rsid w:val="3E42660A"/>
    <w:rsid w:val="3E7555B1"/>
    <w:rsid w:val="3E787ED9"/>
    <w:rsid w:val="3F032E93"/>
    <w:rsid w:val="3F0527E5"/>
    <w:rsid w:val="3F694D83"/>
    <w:rsid w:val="3F885DCC"/>
    <w:rsid w:val="3FCD675E"/>
    <w:rsid w:val="4004000C"/>
    <w:rsid w:val="411B6CE5"/>
    <w:rsid w:val="412070D7"/>
    <w:rsid w:val="41314E40"/>
    <w:rsid w:val="41B70A40"/>
    <w:rsid w:val="41E0734B"/>
    <w:rsid w:val="426C1EA8"/>
    <w:rsid w:val="42736402"/>
    <w:rsid w:val="42E86A87"/>
    <w:rsid w:val="43307B09"/>
    <w:rsid w:val="438C4686"/>
    <w:rsid w:val="439A3EB9"/>
    <w:rsid w:val="43BB152F"/>
    <w:rsid w:val="44C37687"/>
    <w:rsid w:val="45CB699A"/>
    <w:rsid w:val="463D70CE"/>
    <w:rsid w:val="465B470D"/>
    <w:rsid w:val="469D6AD4"/>
    <w:rsid w:val="471E6C84"/>
    <w:rsid w:val="4748792B"/>
    <w:rsid w:val="475D719D"/>
    <w:rsid w:val="47674801"/>
    <w:rsid w:val="48225EF7"/>
    <w:rsid w:val="488F422B"/>
    <w:rsid w:val="48E36915"/>
    <w:rsid w:val="495C4A24"/>
    <w:rsid w:val="497135DF"/>
    <w:rsid w:val="4A263DF2"/>
    <w:rsid w:val="4A6F6675"/>
    <w:rsid w:val="4B135857"/>
    <w:rsid w:val="4B7951CB"/>
    <w:rsid w:val="4B7C315C"/>
    <w:rsid w:val="4DAC4ACA"/>
    <w:rsid w:val="4DBE01D2"/>
    <w:rsid w:val="4F0C6BA3"/>
    <w:rsid w:val="4F186D58"/>
    <w:rsid w:val="50F06B6E"/>
    <w:rsid w:val="51D21804"/>
    <w:rsid w:val="52234D33"/>
    <w:rsid w:val="522F6E0C"/>
    <w:rsid w:val="52463BA1"/>
    <w:rsid w:val="52F163D4"/>
    <w:rsid w:val="531A2DB4"/>
    <w:rsid w:val="53C0244D"/>
    <w:rsid w:val="53DD4D4E"/>
    <w:rsid w:val="53E578CE"/>
    <w:rsid w:val="541330F0"/>
    <w:rsid w:val="54272666"/>
    <w:rsid w:val="543B029D"/>
    <w:rsid w:val="54861779"/>
    <w:rsid w:val="552256E1"/>
    <w:rsid w:val="554E5773"/>
    <w:rsid w:val="555A3CBC"/>
    <w:rsid w:val="5582012B"/>
    <w:rsid w:val="558E4E05"/>
    <w:rsid w:val="55BE2E85"/>
    <w:rsid w:val="56530F5D"/>
    <w:rsid w:val="567700D3"/>
    <w:rsid w:val="56FF7E9E"/>
    <w:rsid w:val="578867FC"/>
    <w:rsid w:val="5842572D"/>
    <w:rsid w:val="5A3B59D6"/>
    <w:rsid w:val="5AD134D8"/>
    <w:rsid w:val="5C263CE4"/>
    <w:rsid w:val="5C5D2777"/>
    <w:rsid w:val="5CF66BF3"/>
    <w:rsid w:val="5D290C69"/>
    <w:rsid w:val="5E973B2A"/>
    <w:rsid w:val="5F2D4A41"/>
    <w:rsid w:val="60C74F6C"/>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EE5541"/>
    <w:rsid w:val="67924660"/>
    <w:rsid w:val="68407834"/>
    <w:rsid w:val="6883293E"/>
    <w:rsid w:val="688412AD"/>
    <w:rsid w:val="68EB1B71"/>
    <w:rsid w:val="6AAD2300"/>
    <w:rsid w:val="6B474EF5"/>
    <w:rsid w:val="6BCA4DEE"/>
    <w:rsid w:val="6C560CAE"/>
    <w:rsid w:val="6C576495"/>
    <w:rsid w:val="6D903FF5"/>
    <w:rsid w:val="6DA955B8"/>
    <w:rsid w:val="6DE346AB"/>
    <w:rsid w:val="6DE5391A"/>
    <w:rsid w:val="6EFD1324"/>
    <w:rsid w:val="6F5A53AC"/>
    <w:rsid w:val="6FAC003D"/>
    <w:rsid w:val="6FE55E12"/>
    <w:rsid w:val="6FFB2E76"/>
    <w:rsid w:val="708F6F7F"/>
    <w:rsid w:val="70D94BD3"/>
    <w:rsid w:val="71C34D91"/>
    <w:rsid w:val="72DB435C"/>
    <w:rsid w:val="72E2613A"/>
    <w:rsid w:val="72F771F4"/>
    <w:rsid w:val="73934AD2"/>
    <w:rsid w:val="74B12342"/>
    <w:rsid w:val="750837F0"/>
    <w:rsid w:val="754758CF"/>
    <w:rsid w:val="764F62AB"/>
    <w:rsid w:val="765C45EC"/>
    <w:rsid w:val="768A7619"/>
    <w:rsid w:val="772E1EBA"/>
    <w:rsid w:val="781926BC"/>
    <w:rsid w:val="796D60A4"/>
    <w:rsid w:val="79A031D5"/>
    <w:rsid w:val="7A1525F7"/>
    <w:rsid w:val="7B420052"/>
    <w:rsid w:val="7BD06A28"/>
    <w:rsid w:val="7C0A4C9B"/>
    <w:rsid w:val="7C3A7C0B"/>
    <w:rsid w:val="7C5248E4"/>
    <w:rsid w:val="7C566698"/>
    <w:rsid w:val="7C5866A3"/>
    <w:rsid w:val="7D7406BB"/>
    <w:rsid w:val="7DE94331"/>
    <w:rsid w:val="7F2C7D5A"/>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5">
    <w:name w:val="Normal (Web)"/>
    <w:basedOn w:val="1"/>
    <w:unhideWhenUsed/>
    <w:qFormat/>
    <w:uiPriority w:val="0"/>
    <w:pPr>
      <w:spacing w:before="100" w:beforeAutospacing="1" w:after="100" w:afterAutospacing="1"/>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qFormat/>
    <w:uiPriority w:val="0"/>
    <w:rPr>
      <w:b/>
    </w:rPr>
  </w:style>
  <w:style w:type="paragraph" w:customStyle="1" w:styleId="10">
    <w:name w:val="列出段落1"/>
    <w:basedOn w:val="1"/>
    <w:qFormat/>
    <w:uiPriority w:val="99"/>
    <w:pPr>
      <w:ind w:firstLine="420" w:firstLineChars="200"/>
    </w:pPr>
    <w:rPr>
      <w:rFonts w:hint="default"/>
    </w:rPr>
  </w:style>
  <w:style w:type="paragraph" w:customStyle="1" w:styleId="11">
    <w:name w:val="普通(网站) Char"/>
    <w:qFormat/>
    <w:uiPriority w:val="0"/>
    <w:pPr>
      <w:spacing w:before="100" w:beforeAutospacing="1" w:after="100" w:afterAutospacing="1"/>
    </w:pPr>
    <w:rPr>
      <w:rFonts w:hint="default" w:ascii="宋体" w:hAnsi="宋体" w:eastAsia="宋体" w:cs="Times New Roman"/>
      <w:sz w:val="24"/>
      <w:szCs w:val="24"/>
      <w:lang w:val="en-US" w:eastAsia="zh-CN" w:bidi="ar-SA"/>
    </w:rPr>
  </w:style>
  <w:style w:type="character" w:customStyle="1" w:styleId="12">
    <w:name w:val="21"/>
    <w:qFormat/>
    <w:uiPriority w:val="0"/>
    <w:rPr>
      <w:rFonts w:hint="default" w:ascii="Wingdings" w:hAnsi="Wingdings" w:cs="Wingdings"/>
      <w:b/>
      <w:bCs/>
    </w:rPr>
  </w:style>
  <w:style w:type="paragraph" w:customStyle="1" w:styleId="13">
    <w:name w:val="List Paragraph"/>
    <w:qFormat/>
    <w:uiPriority w:val="99"/>
    <w:pPr>
      <w:ind w:firstLine="420" w:firstLineChars="200"/>
    </w:pPr>
    <w:rPr>
      <w:rFonts w:hint="default" w:ascii="宋体" w:hAnsi="宋体"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9971</Words>
  <Characters>24334</Characters>
  <Lines>161</Lines>
  <Paragraphs>45</Paragraphs>
  <TotalTime>0</TotalTime>
  <ScaleCrop>false</ScaleCrop>
  <LinksUpToDate>false</LinksUpToDate>
  <CharactersWithSpaces>25266</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admin</cp:lastModifiedBy>
  <dcterms:modified xsi:type="dcterms:W3CDTF">2026-08-25T07:17:04Z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6024FD8904A24229BDDAF9D9C43D3D1A</vt:lpwstr>
  </property>
</Properties>
</file>