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eastAsia="方正仿宋_GBK" w:cs="Times New Roman"/>
        </w:rPr>
      </w:pPr>
    </w:p>
    <w:p>
      <w:pPr>
        <w:spacing w:line="594" w:lineRule="exact"/>
        <w:rPr>
          <w:rFonts w:cs="Times New Roman"/>
        </w:rPr>
      </w:pPr>
    </w:p>
    <w:p>
      <w:pPr>
        <w:pStyle w:val="15"/>
        <w:spacing w:line="594" w:lineRule="exact"/>
      </w:pPr>
    </w:p>
    <w:p>
      <w:pPr>
        <w:pStyle w:val="15"/>
        <w:spacing w:line="594" w:lineRule="exact"/>
        <w:rPr>
          <w:rFonts w:cs="Times New Roman"/>
        </w:rPr>
      </w:pPr>
    </w:p>
    <w:p>
      <w:pPr>
        <w:spacing w:line="594" w:lineRule="exact"/>
        <w:rPr>
          <w:rFonts w:cs="Times New Roman"/>
        </w:rPr>
      </w:pPr>
    </w:p>
    <w:p>
      <w:pPr>
        <w:spacing w:line="594" w:lineRule="exact"/>
        <w:ind w:firstLine="641"/>
        <w:jc w:val="center"/>
        <w:rPr>
          <w:rFonts w:cs="Times New Roman"/>
        </w:rPr>
      </w:pPr>
    </w:p>
    <w:p>
      <w:pPr>
        <w:spacing w:line="594" w:lineRule="exact"/>
        <w:ind w:firstLine="641"/>
        <w:jc w:val="center"/>
        <w:rPr>
          <w:rFonts w:cs="Times New Roman"/>
        </w:rPr>
      </w:pPr>
    </w:p>
    <w:p>
      <w:pPr>
        <w:spacing w:line="594" w:lineRule="exact"/>
        <w:jc w:val="center"/>
        <w:rPr>
          <w:rFonts w:ascii="方正仿宋_GBK" w:eastAsia="方正仿宋_GBK" w:cs="Times New Roman"/>
          <w:sz w:val="32"/>
          <w:szCs w:val="32"/>
        </w:rPr>
      </w:pPr>
      <w:r>
        <w:rPr>
          <w:rFonts w:hint="eastAsia" w:ascii="方正仿宋_GBK" w:eastAsia="方正仿宋_GBK" w:cs="方正仿宋_GBK"/>
          <w:sz w:val="32"/>
          <w:szCs w:val="32"/>
        </w:rPr>
        <w:t>城西办事处发﹝</w:t>
      </w:r>
      <w:r>
        <w:rPr>
          <w:rFonts w:ascii="方正仿宋_GBK" w:eastAsia="方正仿宋_GBK" w:cs="方正仿宋_GBK"/>
          <w:sz w:val="32"/>
          <w:szCs w:val="32"/>
        </w:rPr>
        <w:t>20</w:t>
      </w:r>
      <w:r>
        <w:rPr>
          <w:rFonts w:hint="eastAsia" w:ascii="方正仿宋_GBK" w:eastAsia="方正仿宋_GBK" w:cs="方正仿宋_GBK"/>
          <w:sz w:val="32"/>
          <w:szCs w:val="32"/>
        </w:rPr>
        <w:t>23﹞44号</w:t>
      </w:r>
    </w:p>
    <w:p>
      <w:pPr>
        <w:spacing w:line="594" w:lineRule="exact"/>
        <w:rPr>
          <w:rFonts w:eastAsia="方正小标宋_GBK" w:cs="Times New Roman"/>
          <w:sz w:val="44"/>
          <w:szCs w:val="44"/>
        </w:rPr>
      </w:pPr>
    </w:p>
    <w:p>
      <w:pPr>
        <w:spacing w:line="594"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黔江区人民政府城西街道办事处</w:t>
      </w:r>
    </w:p>
    <w:p>
      <w:pPr>
        <w:spacing w:line="594"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关于印发《城西街道2023年禁毒和社区戒毒</w:t>
      </w:r>
    </w:p>
    <w:p>
      <w:pPr>
        <w:spacing w:line="594"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（康复）工作计划》的通知</w:t>
      </w:r>
    </w:p>
    <w:p>
      <w:pPr>
        <w:spacing w:line="594" w:lineRule="exact"/>
        <w:rPr>
          <w:rFonts w:ascii="Times New Roman" w:hAnsi="Times New Roman" w:eastAsia="仿宋_GB2312" w:cs="仿宋_GB2312"/>
          <w:color w:val="000000"/>
          <w:sz w:val="32"/>
          <w:szCs w:val="32"/>
        </w:rPr>
      </w:pPr>
    </w:p>
    <w:p>
      <w:pPr>
        <w:spacing w:line="594" w:lineRule="exac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各社区（村），街属各部门：</w:t>
      </w:r>
    </w:p>
    <w:p>
      <w:pPr>
        <w:pStyle w:val="14"/>
        <w:spacing w:before="0" w:beforeAutospacing="0" w:after="0" w:afterAutospacing="0" w:line="594"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经街道办事处同意，现将《城西街道2023年禁毒和社区戒毒（康复）工作计划》印发给你们，请认真组织实施。</w:t>
      </w:r>
    </w:p>
    <w:p>
      <w:pPr>
        <w:spacing w:line="594" w:lineRule="exact"/>
        <w:textAlignment w:val="baseline"/>
        <w:rPr>
          <w:rFonts w:ascii="方正仿宋_GBK" w:hAnsi="方正仿宋_GBK" w:eastAsia="方正仿宋_GBK" w:cs="方正仿宋_GBK"/>
          <w:sz w:val="32"/>
          <w:szCs w:val="32"/>
        </w:rPr>
      </w:pPr>
    </w:p>
    <w:p>
      <w:pPr>
        <w:pStyle w:val="2"/>
        <w:spacing w:line="594" w:lineRule="exact"/>
      </w:pP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黔江区人民政府城西街道办事处</w:t>
      </w: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2023年3月20日</w:t>
      </w:r>
    </w:p>
    <w:p>
      <w:pPr>
        <w:pStyle w:val="14"/>
        <w:spacing w:before="0" w:beforeAutospacing="0" w:after="0" w:afterAutospacing="0" w:line="594"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（此件公开发布）</w:t>
      </w:r>
    </w:p>
    <w:p>
      <w:pPr>
        <w:pStyle w:val="14"/>
        <w:spacing w:before="0" w:beforeAutospacing="0" w:after="0" w:afterAutospacing="0" w:line="594" w:lineRule="exact"/>
        <w:jc w:val="center"/>
        <w:rPr>
          <w:rFonts w:ascii="Times New Roman" w:hAnsi="Times New Roman" w:eastAsia="黑体"/>
          <w:b/>
          <w:sz w:val="36"/>
          <w:szCs w:val="36"/>
        </w:rPr>
      </w:pPr>
      <w:bookmarkStart w:id="0" w:name="_GoBack"/>
      <w:bookmarkEnd w:id="0"/>
    </w:p>
    <w:p>
      <w:pPr>
        <w:pStyle w:val="14"/>
        <w:spacing w:before="0" w:beforeAutospacing="0" w:after="0" w:afterAutospacing="0" w:line="594"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城西街道2023年禁毒和社区戒毒（康复）</w:t>
      </w:r>
    </w:p>
    <w:p>
      <w:pPr>
        <w:pStyle w:val="14"/>
        <w:spacing w:before="0" w:beforeAutospacing="0" w:after="0" w:afterAutospacing="0" w:line="594"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工作计划</w:t>
      </w:r>
    </w:p>
    <w:p>
      <w:pPr>
        <w:pStyle w:val="14"/>
        <w:spacing w:before="0" w:beforeAutospacing="0" w:after="0" w:afterAutospacing="0" w:line="594" w:lineRule="exact"/>
        <w:ind w:firstLine="640" w:firstLineChars="200"/>
        <w:rPr>
          <w:rFonts w:ascii="Times New Roman" w:hAnsi="Times New Roman" w:eastAsia="仿宋_GB2312" w:cs="Arial"/>
          <w:sz w:val="32"/>
          <w:szCs w:val="32"/>
        </w:rPr>
      </w:pP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禁毒工作，最大限度地减少毒品对社会的危害，全面推进街道禁毒和社区戒毒（康复）工作迈上新台阶。贯彻落实国家禁毒委、市、区禁毒委对禁毒工作的安排部署，结合我街道实际情况，现将2023年度禁毒和社区戒毒（康复）工作安排如下：</w:t>
      </w:r>
    </w:p>
    <w:p>
      <w:pPr>
        <w:pStyle w:val="14"/>
        <w:spacing w:before="0" w:beforeAutospacing="0" w:after="0" w:afterAutospacing="0" w:line="59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一、加强禁毒和社区戒毒康复工作领导</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社区（村）、辖区各部门要充分认识禁毒和社区戒毒康复工作的紧迫性和重要性，加强禁毒工作领导，成立主要领导任组长的禁毒工作领导小组，社区（村）委会主任为禁毒工作第一责任人，制定本辖区禁毒和社区戒毒康复工作计划。主要领导积极参与禁毒活动，定期听取禁毒工作汇报。</w:t>
      </w:r>
    </w:p>
    <w:p>
      <w:pPr>
        <w:pStyle w:val="14"/>
        <w:spacing w:before="0" w:beforeAutospacing="0" w:after="0" w:afterAutospacing="0" w:line="594" w:lineRule="exact"/>
        <w:ind w:firstLine="640" w:firstLineChars="200"/>
        <w:rPr>
          <w:rFonts w:ascii="Times New Roman" w:hAnsi="Times New Roman" w:eastAsia="仿宋_GB2312" w:cs="Arial"/>
          <w:sz w:val="32"/>
          <w:szCs w:val="32"/>
        </w:rPr>
      </w:pPr>
      <w:r>
        <w:rPr>
          <w:rFonts w:hint="eastAsia" w:ascii="方正仿宋_GBK" w:hAnsi="方正仿宋_GBK" w:eastAsia="方正仿宋_GBK" w:cs="方正仿宋_GBK"/>
          <w:sz w:val="32"/>
          <w:szCs w:val="32"/>
        </w:rPr>
        <w:t xml:space="preserve">（二）将禁毒和社区戒毒康复工作纳入社区（村）平安建设工作计划，纳入平安建设、文明创建考核内容。街道禁毒办组织本辖区各禁毒成员单位开展禁毒工作。 </w:t>
      </w:r>
      <w:r>
        <w:rPr>
          <w:rFonts w:hint="eastAsia" w:ascii="Times New Roman" w:hAnsi="Times New Roman" w:eastAsia="方正仿宋_GBK" w:cs="方正仿宋_GBK"/>
          <w:sz w:val="32"/>
          <w:szCs w:val="32"/>
        </w:rPr>
        <w:t xml:space="preserve">  </w:t>
      </w:r>
    </w:p>
    <w:p>
      <w:pPr>
        <w:pStyle w:val="14"/>
        <w:spacing w:before="0" w:beforeAutospacing="0" w:after="0" w:afterAutospacing="0" w:line="59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二、开展禁毒宣传</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（一）各社区（村）要制定年度禁毒宣传计划并组织实施，在各社区、企业、学校、主要街道等场所要设立宣传栏（橱窗）和禁毒宣传警示标牌（标语），充分利用村规民约开展禁毒宣传。</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（二）加强党员和干部职工禁毒教育。扎实开展“禁毒主题党日”、禁毒主题教育等活动，将毒品预防教育列入职工培训内容。</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（三）组织青年志愿者、社区群众团体和社会各界群众参与禁毒工作。</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督促辖区各中小学校要将中小学生毒品预防知识教育纳入学校教育计划，狠抓“五落实”，常态化开展“五个一”活动。学校要组织开展“远离毒品、关爱未来”等传统教育活动，真正做到“学生不吸毒、校园无毒品”。</w:t>
      </w:r>
    </w:p>
    <w:p>
      <w:pPr>
        <w:pStyle w:val="14"/>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（五）利用新媒体开展禁毒宣传。动员辖区民众关注“中国禁毒”“重庆禁毒在线”微信、微博，关注重庆禁毒在线抖音、快手官方号。</w:t>
      </w:r>
    </w:p>
    <w:p>
      <w:pPr>
        <w:pStyle w:val="14"/>
        <w:spacing w:before="0" w:beforeAutospacing="0" w:after="0" w:afterAutospacing="0" w:line="59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三、开展社区戒毒康复工作</w:t>
      </w:r>
    </w:p>
    <w:p>
      <w:pPr>
        <w:pStyle w:val="14"/>
        <w:spacing w:before="0" w:beforeAutospacing="0" w:after="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社区（村）要组织实施社区戒毒和社区康复的工作，开展排查、登记、戒毒、康复等管理环节一体化，全面掌握本辖区毒情形势和禁毒工作存在的问题，及时提出解决的措施，做好戒毒康复人员的尿检、回访和思想转化工作。</w:t>
      </w:r>
    </w:p>
    <w:p>
      <w:pPr>
        <w:pStyle w:val="14"/>
        <w:numPr>
          <w:ilvl w:val="0"/>
          <w:numId w:val="1"/>
        </w:numPr>
        <w:spacing w:before="0" w:beforeAutospacing="0" w:after="0" w:afterAutospacing="0" w:line="59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严厉打击毒品犯罪</w:t>
      </w:r>
    </w:p>
    <w:p>
      <w:pPr>
        <w:pStyle w:val="14"/>
        <w:spacing w:before="0" w:beforeAutospacing="0" w:after="0" w:afterAutospacing="0" w:line="594" w:lineRule="exact"/>
        <w:ind w:firstLine="640" w:firstLineChars="200"/>
        <w:rPr>
          <w:rFonts w:ascii="Times New Roman" w:hAnsi="Times New Roman" w:eastAsia="仿宋_GB2312" w:cs="Arial"/>
          <w:sz w:val="32"/>
          <w:szCs w:val="32"/>
        </w:rPr>
      </w:pPr>
      <w:r>
        <w:rPr>
          <w:rFonts w:hint="eastAsia" w:ascii="Times New Roman" w:hAnsi="Times New Roman" w:eastAsia="方正仿宋_GBK" w:cs="方正仿宋_GBK"/>
          <w:sz w:val="32"/>
          <w:szCs w:val="32"/>
        </w:rPr>
        <w:t>各社区（村）要全力配合公安部门严厉打击毒品犯罪，坚决遏制毒品在辖区的发展蔓延。</w:t>
      </w:r>
    </w:p>
    <w:p>
      <w:pPr>
        <w:pStyle w:val="14"/>
        <w:spacing w:before="0" w:beforeAutospacing="0" w:after="0" w:afterAutospacing="0" w:line="594" w:lineRule="exact"/>
        <w:ind w:firstLine="640" w:firstLineChars="200"/>
      </w:pPr>
      <w:r>
        <w:rPr>
          <w:rFonts w:hint="eastAsia" w:ascii="Times New Roman" w:hAnsi="Times New Roman" w:eastAsia="方正黑体_GBK" w:cs="方正黑体_GBK"/>
          <w:sz w:val="32"/>
          <w:szCs w:val="32"/>
        </w:rPr>
        <w:t>五、加强禁吸戒毒管控工作</w:t>
      </w:r>
    </w:p>
    <w:p>
      <w:pPr>
        <w:pStyle w:val="14"/>
        <w:spacing w:before="0" w:beforeAutospacing="0" w:after="0" w:afterAutospacing="0"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深入开展吸毒人员排查发现和查处登记工作，力争发现一批社会面隐性吸毒人员或复吸人员，及时纳入管控视线。切实摸清辖区内涉毒病残吸毒人员、已死亡、三年未复吸等七类吸毒人员底数，全面开展排查，掌握现状，按一人一档做好登记。</w:t>
      </w:r>
    </w:p>
    <w:p>
      <w:pPr>
        <w:pStyle w:val="14"/>
        <w:spacing w:before="0" w:beforeAutospacing="0" w:after="0" w:afterAutospacing="0" w:line="594" w:lineRule="exact"/>
        <w:ind w:firstLine="6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做好社区戒毒（康复）工作，完善一人一档。辖区内社区戒毒（康复）实际管控率达100%、脱失人员查处率达100%，执行率90%-99%；吸毒人员社会化管理与服务系统正常使用，人员管控到位，信息100%录入且及时、完整。</w:t>
      </w:r>
    </w:p>
    <w:p>
      <w:pPr>
        <w:pStyle w:val="14"/>
        <w:spacing w:before="0" w:beforeAutospacing="0" w:after="0" w:afterAutospacing="0"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（三）做好吸毒人员网格化服务管理工作。做到街道-社区（村）-组三级网格划分及工作职责明确、网格员配备到位、人员管理动态上墙，网格内吸毒人员底数清、情况明，工作台账完整规范，管理措施到位。</w:t>
      </w:r>
    </w:p>
    <w:p>
      <w:pPr>
        <w:pStyle w:val="14"/>
        <w:spacing w:before="0" w:beforeAutospacing="0" w:after="0" w:afterAutospacing="0" w:line="594" w:lineRule="exact"/>
        <w:ind w:firstLine="640"/>
        <w:rPr>
          <w:rFonts w:ascii="Times New Roman" w:hAnsi="Times New Roman" w:eastAsia="方正仿宋_GBK"/>
          <w:sz w:val="32"/>
          <w:szCs w:val="32"/>
        </w:rPr>
      </w:pPr>
      <w:r>
        <w:rPr>
          <w:rFonts w:hint="eastAsia" w:ascii="方正仿宋_GBK" w:hAnsi="方正仿宋_GBK" w:eastAsia="方正仿宋_GBK" w:cs="方正仿宋_GBK"/>
          <w:sz w:val="32"/>
          <w:szCs w:val="32"/>
        </w:rPr>
        <w:t>（四）做好社会面吸毒人员风险分类评估管控工作。半年组织开展一次吸毒人员风险分类评估，严格依法落实不同风险等级吸毒人员管控措施，一二三级风险吸毒人员按照一人一档建档立卡、落实对应风险等级的管控措施。</w:t>
      </w:r>
    </w:p>
    <w:p>
      <w:pPr>
        <w:pStyle w:val="14"/>
        <w:spacing w:before="0" w:beforeAutospacing="0" w:after="0" w:afterAutospacing="0" w:line="594" w:lineRule="exact"/>
        <w:ind w:firstLine="64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六、做好禁毒管理工作</w:t>
      </w:r>
    </w:p>
    <w:p>
      <w:pPr>
        <w:spacing w:line="594" w:lineRule="exact"/>
        <w:ind w:firstLine="630"/>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kern w:val="0"/>
          <w:sz w:val="32"/>
          <w:szCs w:val="32"/>
        </w:rPr>
        <w:t>制毒物品管理。</w:t>
      </w:r>
      <w:r>
        <w:rPr>
          <w:rFonts w:hint="eastAsia" w:ascii="Times New Roman" w:hAnsi="Times New Roman" w:eastAsia="方正仿宋_GBK"/>
          <w:kern w:val="0"/>
          <w:sz w:val="32"/>
          <w:szCs w:val="32"/>
        </w:rPr>
        <w:t>开展“净边”专项行动，定期对辖区废旧厂房进行核查，全面排查清理辖区可疑制毒厂点、化学品存放窝点，集中开展群众识别举报制毒工厂宣传活动。</w:t>
      </w:r>
    </w:p>
    <w:p>
      <w:pPr>
        <w:spacing w:line="594" w:lineRule="exact"/>
        <w:ind w:firstLine="630"/>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（二）禁种铲毒管理。</w:t>
      </w:r>
      <w:r>
        <w:rPr>
          <w:rFonts w:hint="eastAsia" w:ascii="Times New Roman" w:hAnsi="Times New Roman" w:eastAsia="方正仿宋_GBK"/>
          <w:kern w:val="0"/>
          <w:sz w:val="32"/>
          <w:szCs w:val="32"/>
        </w:rPr>
        <w:t>按要求开展禁种铲毒工作部署、组织集中踏查行动、进行禁种专题宣传，做到辖区内毒品原植物“零种植、零产量”。</w:t>
      </w:r>
    </w:p>
    <w:p>
      <w:pPr>
        <w:spacing w:line="594" w:lineRule="exact"/>
        <w:ind w:firstLine="630"/>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（三）娱乐服务场所管理。</w:t>
      </w:r>
      <w:r>
        <w:rPr>
          <w:rFonts w:hint="eastAsia" w:ascii="Times New Roman" w:hAnsi="Times New Roman" w:eastAsia="方正仿宋_GBK"/>
          <w:kern w:val="0"/>
          <w:sz w:val="32"/>
          <w:szCs w:val="32"/>
        </w:rPr>
        <w:t>落实辖区内宾馆、酒店、网吧等娱乐服务场所巡查、排查和禁毒宣传常态化、制度化，年内巡查不少于2次；签订禁毒工作责任状，开展从业人员禁毒教育培训，建立人员登记台账、巡查举报台账和禁毒教育培训台账。</w:t>
      </w:r>
    </w:p>
    <w:p>
      <w:pPr>
        <w:pStyle w:val="2"/>
        <w:spacing w:line="594" w:lineRule="exact"/>
        <w:rPr>
          <w:rFonts w:ascii="Times New Roman" w:hAnsi="Times New Roman" w:eastAsia="方正仿宋_GBK"/>
          <w:kern w:val="0"/>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spacing w:line="594" w:lineRule="exact"/>
      </w:pPr>
    </w:p>
    <w:p>
      <w:pPr>
        <w:pBdr>
          <w:top w:val="single" w:color="auto" w:sz="6" w:space="1"/>
          <w:bottom w:val="single" w:color="auto" w:sz="6" w:space="1"/>
        </w:pBdr>
        <w:tabs>
          <w:tab w:val="left" w:pos="6120"/>
        </w:tabs>
        <w:spacing w:line="594" w:lineRule="exact"/>
        <w:rPr>
          <w:rFonts w:ascii="Times New Roman" w:hAnsi="Times New Roman" w:eastAsia="方正仿宋_GBK" w:cs="方正仿宋_GBK"/>
          <w:sz w:val="32"/>
          <w:szCs w:val="32"/>
        </w:rPr>
      </w:pPr>
      <w:r>
        <w:rPr>
          <w:rFonts w:hint="eastAsia" w:ascii="Times New Roman" w:hAnsi="Times New Roman" w:eastAsia="方正仿宋_GBK"/>
          <w:sz w:val="28"/>
          <w:szCs w:val="28"/>
        </w:rPr>
        <w:t>黔江区城西街道党政办公室                    2023年3月20日印发</w:t>
      </w:r>
    </w:p>
    <w:sectPr>
      <w:footerReference r:id="rId3" w:type="default"/>
      <w:pgSz w:w="11906" w:h="16838"/>
      <w:pgMar w:top="1984" w:right="1446" w:bottom="1644" w:left="1446"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8"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Arial Unicode MS">
    <w:altName w:val="Times New Roman"/>
    <w:panose1 w:val="020B0604020202020204"/>
    <w:charset w:val="00"/>
    <w:family w:val="roman"/>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rPr>
                              <w:rFonts w:cs="Times New Roma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- 3 -</w:t>
                          </w:r>
                          <w:r>
                            <w:rPr>
                              <w:rFonts w:hint="eastAsia" w:ascii="方正仿宋_GBK" w:hAnsi="方正仿宋_GBK" w:eastAsia="方正仿宋_GBK" w:cs="方正仿宋_GBK"/>
                              <w:sz w:val="28"/>
                              <w:szCs w:val="28"/>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7"/>
                      <w:rPr>
                        <w:rFonts w:cs="Times New Roma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AF518"/>
    <w:multiLevelType w:val="singleLevel"/>
    <w:tmpl w:val="28DAF51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YzRiNTU4OGQ5MjY2MjA3YzdjZDA3YTM4Y2E3NTEifQ=="/>
  </w:docVars>
  <w:rsids>
    <w:rsidRoot w:val="69110104"/>
    <w:rsid w:val="0012193B"/>
    <w:rsid w:val="001237AB"/>
    <w:rsid w:val="001362DB"/>
    <w:rsid w:val="0019111B"/>
    <w:rsid w:val="00195180"/>
    <w:rsid w:val="00223913"/>
    <w:rsid w:val="00257453"/>
    <w:rsid w:val="002A2002"/>
    <w:rsid w:val="002B6E66"/>
    <w:rsid w:val="002D5D23"/>
    <w:rsid w:val="002F33F9"/>
    <w:rsid w:val="00324D05"/>
    <w:rsid w:val="003512FD"/>
    <w:rsid w:val="003963D6"/>
    <w:rsid w:val="003C1EA1"/>
    <w:rsid w:val="003E4BBE"/>
    <w:rsid w:val="004004D2"/>
    <w:rsid w:val="00447AD2"/>
    <w:rsid w:val="00474674"/>
    <w:rsid w:val="004C37AD"/>
    <w:rsid w:val="004E3784"/>
    <w:rsid w:val="00500356"/>
    <w:rsid w:val="00530151"/>
    <w:rsid w:val="00557328"/>
    <w:rsid w:val="005B3C74"/>
    <w:rsid w:val="005C7F85"/>
    <w:rsid w:val="0066550C"/>
    <w:rsid w:val="006833E7"/>
    <w:rsid w:val="006A3F38"/>
    <w:rsid w:val="0081535E"/>
    <w:rsid w:val="00860B04"/>
    <w:rsid w:val="00892052"/>
    <w:rsid w:val="008B7510"/>
    <w:rsid w:val="00940D04"/>
    <w:rsid w:val="00987525"/>
    <w:rsid w:val="009A1CB3"/>
    <w:rsid w:val="009B03D7"/>
    <w:rsid w:val="009C3716"/>
    <w:rsid w:val="00A350E1"/>
    <w:rsid w:val="00A60B93"/>
    <w:rsid w:val="00A82F2D"/>
    <w:rsid w:val="00AD1D97"/>
    <w:rsid w:val="00BF146D"/>
    <w:rsid w:val="00CA506D"/>
    <w:rsid w:val="00CE4786"/>
    <w:rsid w:val="00D20A02"/>
    <w:rsid w:val="00D53EDB"/>
    <w:rsid w:val="00D623AB"/>
    <w:rsid w:val="00D8596C"/>
    <w:rsid w:val="00D97068"/>
    <w:rsid w:val="00DB7187"/>
    <w:rsid w:val="00DD24AB"/>
    <w:rsid w:val="00E33B02"/>
    <w:rsid w:val="00FA4C12"/>
    <w:rsid w:val="05457711"/>
    <w:rsid w:val="09B3142A"/>
    <w:rsid w:val="0DFC1680"/>
    <w:rsid w:val="150A6931"/>
    <w:rsid w:val="18380C9C"/>
    <w:rsid w:val="19945E30"/>
    <w:rsid w:val="224C6C1F"/>
    <w:rsid w:val="4FDF2976"/>
    <w:rsid w:val="549A28F9"/>
    <w:rsid w:val="60356D43"/>
    <w:rsid w:val="63DD70A7"/>
    <w:rsid w:val="69110104"/>
    <w:rsid w:val="69127F56"/>
    <w:rsid w:val="693F642F"/>
    <w:rsid w:val="75ADE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4"/>
    <w:basedOn w:val="1"/>
    <w:next w:val="1"/>
    <w:qFormat/>
    <w:uiPriority w:val="0"/>
    <w:pPr>
      <w:keepNext/>
      <w:keepLines/>
      <w:spacing w:line="579" w:lineRule="exact"/>
      <w:jc w:val="center"/>
      <w:outlineLvl w:val="3"/>
    </w:pPr>
    <w:rPr>
      <w:rFonts w:ascii="Arial" w:hAnsi="Arial" w:eastAsia="方正小标宋_GBK"/>
      <w:sz w:val="44"/>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0"/>
    <w:pPr>
      <w:spacing w:line="600" w:lineRule="exact"/>
      <w:jc w:val="center"/>
    </w:pPr>
    <w:rPr>
      <w:rFonts w:ascii="方正小标宋简体" w:eastAsia="方正小标宋简体"/>
      <w:sz w:val="44"/>
      <w:szCs w:val="36"/>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6">
    <w:name w:val="Normal Indent"/>
    <w:basedOn w:val="1"/>
    <w:next w:val="1"/>
    <w:qFormat/>
    <w:locked/>
    <w:uiPriority w:val="99"/>
    <w:pPr>
      <w:ind w:firstLine="420" w:firstLineChars="200"/>
    </w:pPr>
  </w:style>
  <w:style w:type="paragraph" w:styleId="7">
    <w:name w:val="footer"/>
    <w:basedOn w:val="1"/>
    <w:link w:val="12"/>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locked/>
    <w:uiPriority w:val="0"/>
    <w:pPr>
      <w:widowControl/>
      <w:spacing w:before="100" w:beforeAutospacing="1" w:after="100" w:afterAutospacing="1"/>
      <w:jc w:val="left"/>
    </w:pPr>
    <w:rPr>
      <w:rFonts w:ascii="Arial Unicode MS" w:hAnsi="Arial Unicode MS" w:eastAsia="Arial Unicode MS"/>
      <w:kern w:val="0"/>
      <w:sz w:val="22"/>
      <w:szCs w:val="22"/>
    </w:rPr>
  </w:style>
  <w:style w:type="character" w:customStyle="1" w:styleId="12">
    <w:name w:val="页脚 Char"/>
    <w:basedOn w:val="11"/>
    <w:link w:val="7"/>
    <w:semiHidden/>
    <w:qFormat/>
    <w:locked/>
    <w:uiPriority w:val="99"/>
    <w:rPr>
      <w:sz w:val="18"/>
      <w:szCs w:val="18"/>
    </w:rPr>
  </w:style>
  <w:style w:type="character" w:customStyle="1" w:styleId="13">
    <w:name w:val="页眉 Char"/>
    <w:basedOn w:val="11"/>
    <w:link w:val="8"/>
    <w:semiHidden/>
    <w:qFormat/>
    <w:uiPriority w:val="99"/>
    <w:rPr>
      <w:rFonts w:cs="Calibri"/>
      <w:sz w:val="18"/>
      <w:szCs w:val="18"/>
    </w:rPr>
  </w:style>
  <w:style w:type="paragraph" w:customStyle="1" w:styleId="14">
    <w:name w:val="p0"/>
    <w:basedOn w:val="1"/>
    <w:qFormat/>
    <w:uiPriority w:val="0"/>
    <w:pPr>
      <w:widowControl/>
      <w:spacing w:before="100" w:beforeAutospacing="1" w:after="100" w:afterAutospacing="1" w:line="450" w:lineRule="atLeast"/>
      <w:jc w:val="left"/>
    </w:pPr>
    <w:rPr>
      <w:rFonts w:ascii="宋体" w:hAnsi="宋体" w:cs="宋体"/>
      <w:kern w:val="0"/>
      <w:sz w:val="20"/>
      <w:szCs w:val="20"/>
    </w:rPr>
  </w:style>
  <w:style w:type="paragraph" w:customStyle="1" w:styleId="15">
    <w:name w:val="Default"/>
    <w:qFormat/>
    <w:uiPriority w:val="0"/>
    <w:pPr>
      <w:widowControl w:val="0"/>
      <w:autoSpaceDE w:val="0"/>
      <w:autoSpaceDN w:val="0"/>
      <w:adjustRightInd w:val="0"/>
    </w:pPr>
    <w:rPr>
      <w:rFonts w:ascii="方正楷体_GBK" w:hAnsi="Calibri" w:eastAsia="方正楷体_GBK" w:cs="方正楷体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1672</Words>
  <Characters>211</Characters>
  <Lines>1</Lines>
  <Paragraphs>3</Paragraphs>
  <TotalTime>4</TotalTime>
  <ScaleCrop>false</ScaleCrop>
  <LinksUpToDate>false</LinksUpToDate>
  <CharactersWithSpaces>1880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2018-09-03T10:37:00Z</dcterms:created>
  <dc:creator>就这样1404371248</dc:creator>
  <cp:lastModifiedBy>kylin</cp:lastModifiedBy>
  <cp:lastPrinted>2019-07-22T16:25:00Z</cp:lastPrinted>
  <dcterms:modified xsi:type="dcterms:W3CDTF">2025-08-21T11:15:02Z</dcterms:modified>
  <dc:title>黔江区人民政府城西街道办事处</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D326280CD9A54EACAE8B1770EA04C8AB</vt:lpwstr>
  </property>
  <property fmtid="{D5CDD505-2E9C-101B-9397-08002B2CF9AE}" pid="4" name="KSOSaveFontToCloudKey">
    <vt:lpwstr>521382093_btnclosed</vt:lpwstr>
  </property>
</Properties>
</file>