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0" w:after="10" w:line="240" w:lineRule="auto"/>
        <w:jc w:val="center"/>
        <w:rPr>
          <w:rFonts w:ascii="Times New Roman" w:hAnsi="Times New Roman" w:eastAsia="方正小标宋_GBK" w:cs="Times New Roman"/>
          <w:b w:val="0"/>
          <w:bCs w:val="0"/>
        </w:rPr>
      </w:pPr>
      <w:bookmarkStart w:id="0" w:name="_Toc24724716"/>
      <w:bookmarkStart w:id="1" w:name="_Toc24043_WPSOffice_Level1"/>
      <w:r>
        <w:rPr>
          <w:rFonts w:ascii="Times New Roman" w:hAnsi="Times New Roman" w:eastAsia="方正小标宋_GBK" w:cs="Times New Roman"/>
          <w:b w:val="0"/>
          <w:bCs w:val="0"/>
        </w:rPr>
        <w:t>公共法律服务领域政务公开标准目录</w:t>
      </w:r>
      <w:bookmarkEnd w:id="0"/>
      <w:bookmarkEnd w:id="1"/>
    </w:p>
    <w:tbl>
      <w:tblPr>
        <w:tblStyle w:val="8"/>
        <w:tblW w:w="15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665"/>
        <w:gridCol w:w="1277"/>
        <w:gridCol w:w="1161"/>
        <w:gridCol w:w="2804"/>
        <w:gridCol w:w="861"/>
        <w:gridCol w:w="848"/>
        <w:gridCol w:w="3195"/>
        <w:gridCol w:w="666"/>
        <w:gridCol w:w="600"/>
        <w:gridCol w:w="587"/>
        <w:gridCol w:w="691"/>
        <w:gridCol w:w="678"/>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407"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baseline"/>
              <w:rPr>
                <w:rFonts w:hint="default" w:ascii="Times New Roman" w:hAnsi="Times New Roman" w:eastAsia="方正黑体_GBK" w:cs="Times New Roman"/>
                <w:sz w:val="18"/>
                <w:szCs w:val="18"/>
                <w:lang w:eastAsia="zh-CN"/>
              </w:rPr>
            </w:pPr>
            <w:r>
              <w:rPr>
                <w:rFonts w:hint="default" w:ascii="Times New Roman" w:hAnsi="Times New Roman" w:eastAsia="方正黑体_GBK" w:cs="Times New Roman"/>
                <w:sz w:val="18"/>
                <w:szCs w:val="18"/>
                <w:lang w:eastAsia="zh-CN"/>
              </w:rPr>
              <w:t>序号</w:t>
            </w:r>
          </w:p>
        </w:tc>
        <w:tc>
          <w:tcPr>
            <w:tcW w:w="1942"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公开事项</w:t>
            </w:r>
          </w:p>
        </w:tc>
        <w:tc>
          <w:tcPr>
            <w:tcW w:w="1161"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公开内容</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（要素）</w:t>
            </w:r>
          </w:p>
        </w:tc>
        <w:tc>
          <w:tcPr>
            <w:tcW w:w="2804"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公开依据</w:t>
            </w:r>
          </w:p>
        </w:tc>
        <w:tc>
          <w:tcPr>
            <w:tcW w:w="861"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时限</w:t>
            </w:r>
          </w:p>
        </w:tc>
        <w:tc>
          <w:tcPr>
            <w:tcW w:w="848"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主体</w:t>
            </w:r>
          </w:p>
        </w:tc>
        <w:tc>
          <w:tcPr>
            <w:tcW w:w="3195"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公开渠道</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和载体</w:t>
            </w:r>
          </w:p>
        </w:tc>
        <w:tc>
          <w:tcPr>
            <w:tcW w:w="1266"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公开对象</w:t>
            </w:r>
          </w:p>
        </w:tc>
        <w:tc>
          <w:tcPr>
            <w:tcW w:w="127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公开方式</w:t>
            </w:r>
          </w:p>
        </w:tc>
        <w:tc>
          <w:tcPr>
            <w:tcW w:w="1322"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blHeader/>
          <w:jc w:val="center"/>
        </w:trPr>
        <w:tc>
          <w:tcPr>
            <w:tcW w:w="40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both"/>
              <w:rPr>
                <w:rFonts w:hint="default" w:ascii="Times New Roman" w:hAnsi="Times New Roman" w:eastAsia="方正黑体_GBK" w:cs="Times New Roman"/>
                <w:sz w:val="18"/>
                <w:szCs w:val="18"/>
              </w:rPr>
            </w:pP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一级</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事项</w:t>
            </w:r>
          </w:p>
        </w:tc>
        <w:tc>
          <w:tcPr>
            <w:tcW w:w="127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二级</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事项</w:t>
            </w:r>
          </w:p>
        </w:tc>
        <w:tc>
          <w:tcPr>
            <w:tcW w:w="1161"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280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861"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84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3195"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66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全</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社会</w:t>
            </w:r>
          </w:p>
        </w:tc>
        <w:tc>
          <w:tcPr>
            <w:tcW w:w="60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特定</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群体</w:t>
            </w:r>
          </w:p>
        </w:tc>
        <w:tc>
          <w:tcPr>
            <w:tcW w:w="58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主动</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w:t>
            </w:r>
          </w:p>
        </w:tc>
        <w:tc>
          <w:tcPr>
            <w:tcW w:w="6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依申</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请公开</w:t>
            </w:r>
          </w:p>
        </w:tc>
        <w:tc>
          <w:tcPr>
            <w:tcW w:w="67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lang w:eastAsia="zh-CN"/>
              </w:rPr>
              <w:t>区</w:t>
            </w:r>
            <w:r>
              <w:rPr>
                <w:rFonts w:hint="default" w:ascii="Times New Roman" w:hAnsi="Times New Roman" w:eastAsia="方正黑体_GBK" w:cs="Times New Roman"/>
                <w:sz w:val="18"/>
                <w:szCs w:val="18"/>
              </w:rPr>
              <w:t>级</w:t>
            </w:r>
          </w:p>
        </w:tc>
        <w:tc>
          <w:tcPr>
            <w:tcW w:w="64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lang w:eastAsia="zh-CN"/>
              </w:rPr>
            </w:pPr>
            <w:r>
              <w:rPr>
                <w:rFonts w:hint="default" w:ascii="Times New Roman" w:hAnsi="Times New Roman" w:eastAsia="方正黑体_GBK" w:cs="Times New Roman"/>
                <w:sz w:val="18"/>
                <w:szCs w:val="18"/>
              </w:rPr>
              <w:t>乡</w:t>
            </w:r>
            <w:r>
              <w:rPr>
                <w:rFonts w:hint="default" w:ascii="Times New Roman" w:hAnsi="Times New Roman" w:eastAsia="方正黑体_GBK" w:cs="Times New Roman"/>
                <w:sz w:val="18"/>
                <w:szCs w:val="18"/>
                <w:lang w:eastAsia="zh-CN"/>
              </w:rPr>
              <w:t>镇</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1</w:t>
            </w: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行政给付</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人民调解员补贴发放</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依据、条件、程序以及发放情况</w:t>
            </w:r>
          </w:p>
        </w:tc>
        <w:tc>
          <w:tcPr>
            <w:tcW w:w="2804" w:type="dxa"/>
            <w:noWrap w:val="0"/>
            <w:vAlign w:val="center"/>
          </w:tcPr>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《中华人民共和国人民调解法》</w:t>
            </w:r>
          </w:p>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《中华人民共和国政府信息公开条例》</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区司法局、</w:t>
            </w:r>
            <w:r>
              <w:rPr>
                <w:rFonts w:hint="eastAsia" w:ascii="Times New Roman" w:hAnsi="Times New Roman" w:eastAsia="方正仿宋_GBK" w:cs="Times New Roman"/>
                <w:kern w:val="0"/>
                <w:sz w:val="18"/>
                <w:szCs w:val="18"/>
                <w:lang w:val="en-US" w:eastAsia="zh-CN" w:bidi="ar"/>
              </w:rPr>
              <w:t>金洞乡人民政府</w:t>
            </w:r>
          </w:p>
        </w:tc>
        <w:tc>
          <w:tcPr>
            <w:tcW w:w="3195" w:type="dxa"/>
            <w:noWrap w:val="0"/>
            <w:vAlign w:val="center"/>
          </w:tcPr>
          <w:p>
            <w:pPr>
              <w:keepNext w:val="0"/>
              <w:keepLines w:val="0"/>
              <w:pageBreakBefore w:val="0"/>
              <w:widowControl w:val="0"/>
              <w:kinsoku/>
              <w:wordWrap/>
              <w:overflowPunct w:val="0"/>
              <w:topLinePunct w:val="0"/>
              <w:autoSpaceDE/>
              <w:autoSpaceDN/>
              <w:bidi w:val="0"/>
              <w:adjustRightInd/>
              <w:snapToGrid w:val="0"/>
              <w:spacing w:line="180" w:lineRule="exact"/>
              <w:jc w:val="left"/>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□两微一端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□社区/企事业单位/村公示栏（电子屏）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2</w:t>
            </w: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咨询服务</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公共法律服务实体平台、热线平台、网络平台咨询服务</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lef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公共法律服务实体、热线、网络平台法律咨询服务指南</w:t>
            </w:r>
          </w:p>
        </w:tc>
        <w:tc>
          <w:tcPr>
            <w:tcW w:w="2804" w:type="dxa"/>
            <w:noWrap w:val="0"/>
            <w:vAlign w:val="center"/>
          </w:tcPr>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《司法部办公厅关于印发公共法律服务领域基层政务公开标准指引的通知》（司办通〔2019〕57号）</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eastAsia="zh-CN" w:bidi="ar"/>
              </w:rPr>
              <w:t>区司法局</w:t>
            </w:r>
            <w:r>
              <w:rPr>
                <w:rFonts w:hint="default" w:ascii="Times New Roman" w:hAnsi="Times New Roman" w:eastAsia="方正仿宋_GBK" w:cs="Times New Roman"/>
                <w:kern w:val="0"/>
                <w:sz w:val="18"/>
                <w:szCs w:val="18"/>
                <w:lang w:bidi="ar"/>
              </w:rPr>
              <w:t>、</w:t>
            </w:r>
            <w:r>
              <w:rPr>
                <w:rFonts w:hint="eastAsia" w:ascii="Times New Roman" w:hAnsi="Times New Roman" w:eastAsia="方正仿宋_GBK" w:cs="Times New Roman"/>
                <w:kern w:val="0"/>
                <w:sz w:val="18"/>
                <w:szCs w:val="18"/>
                <w:lang w:val="en-US" w:eastAsia="zh-CN" w:bidi="ar"/>
              </w:rPr>
              <w:t>金洞乡人民政府</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两微一端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□社区/企事业单位/村公示栏（电子屏）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3</w:t>
            </w: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eastAsia="zh-CN"/>
              </w:rPr>
              <w:t>查询服务</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公共法律服务实体、热线、网络平台信息</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公共法律服务平台建设相关规划，实体场所地址、热线电话、中国法网和重庆法网网址，公共法律服务事项清单及服务指南</w:t>
            </w:r>
          </w:p>
        </w:tc>
        <w:tc>
          <w:tcPr>
            <w:tcW w:w="2804" w:type="dxa"/>
            <w:noWrap w:val="0"/>
            <w:vAlign w:val="center"/>
          </w:tcPr>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《司法部办公厅关于印发公共法律服务领域基层政务公开标准指引的通知》（司办通〔2019〕57号）</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eastAsia="zh-CN" w:bidi="ar"/>
              </w:rPr>
              <w:t>区司法局</w:t>
            </w:r>
            <w:r>
              <w:rPr>
                <w:rFonts w:hint="default" w:ascii="Times New Roman" w:hAnsi="Times New Roman" w:eastAsia="方正仿宋_GBK" w:cs="Times New Roman"/>
                <w:kern w:val="0"/>
                <w:sz w:val="18"/>
                <w:szCs w:val="18"/>
                <w:lang w:bidi="ar"/>
              </w:rPr>
              <w:t>、</w:t>
            </w:r>
            <w:r>
              <w:rPr>
                <w:rFonts w:hint="eastAsia" w:ascii="Times New Roman" w:hAnsi="Times New Roman" w:eastAsia="方正仿宋_GBK" w:cs="Times New Roman"/>
                <w:kern w:val="0"/>
                <w:sz w:val="18"/>
                <w:szCs w:val="18"/>
                <w:lang w:val="en-US" w:eastAsia="zh-CN" w:bidi="ar"/>
              </w:rPr>
              <w:t>金洞乡人民政府</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两微一端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□社区/企事业单位/村公示栏（电子屏）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4</w:t>
            </w:r>
          </w:p>
        </w:tc>
        <w:tc>
          <w:tcPr>
            <w:tcW w:w="665"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其他公共服务</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法律知识普及服务</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法律法规资讯、普法动态资讯、普法讲师团信息等</w:t>
            </w:r>
          </w:p>
        </w:tc>
        <w:tc>
          <w:tcPr>
            <w:tcW w:w="2804"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《中共中央、国务院转发〈中央宣传部、司法部关于在公民中开展法治宣传教育的第七个五年规划（2016－2020年）〉的通知》</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《中共重庆市委 重庆市人民政府转发〈中共重庆市委宣传部、重庆市司法局关于在全市公民中开展法治宣传教育的第七个五年规划（2016--2020年）〉的通知》</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eastAsia="zh-CN" w:bidi="ar"/>
              </w:rPr>
              <w:t>区司法局</w:t>
            </w:r>
            <w:r>
              <w:rPr>
                <w:rFonts w:hint="default" w:ascii="Times New Roman" w:hAnsi="Times New Roman" w:eastAsia="方正仿宋_GBK" w:cs="Times New Roman"/>
                <w:kern w:val="0"/>
                <w:sz w:val="18"/>
                <w:szCs w:val="18"/>
                <w:lang w:bidi="ar"/>
              </w:rPr>
              <w:t>、</w:t>
            </w:r>
            <w:r>
              <w:rPr>
                <w:rFonts w:hint="eastAsia" w:ascii="Times New Roman" w:hAnsi="Times New Roman" w:eastAsia="方正仿宋_GBK" w:cs="Times New Roman"/>
                <w:kern w:val="0"/>
                <w:sz w:val="18"/>
                <w:szCs w:val="18"/>
                <w:lang w:val="en-US" w:eastAsia="zh-CN" w:bidi="ar"/>
              </w:rPr>
              <w:t>金洞乡人民政府</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□两微一端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社区/企事业单位/村公示栏（电子屏）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200" w:lineRule="exact"/>
              <w:ind w:left="0" w:leftChars="0" w:right="0" w:rightChars="0"/>
              <w:jc w:val="both"/>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5</w:t>
            </w:r>
          </w:p>
        </w:tc>
        <w:tc>
          <w:tcPr>
            <w:tcW w:w="665" w:type="dxa"/>
            <w:vMerge w:val="continue"/>
            <w:noWrap w:val="0"/>
            <w:vAlign w:val="center"/>
          </w:tcPr>
          <w:p>
            <w:pPr>
              <w:pStyle w:val="2"/>
              <w:keepNext w:val="0"/>
              <w:keepLines w:val="0"/>
              <w:pageBreakBefore w:val="0"/>
              <w:kinsoku/>
              <w:wordWrap/>
              <w:topLinePunct w:val="0"/>
              <w:autoSpaceDE/>
              <w:autoSpaceDN/>
              <w:bidi w:val="0"/>
              <w:adjustRightInd/>
              <w:spacing w:line="200" w:lineRule="exact"/>
              <w:jc w:val="center"/>
              <w:rPr>
                <w:rFonts w:hint="default" w:ascii="Times New Roman" w:hAnsi="Times New Roman" w:eastAsia="方正仿宋_GBK" w:cs="Times New Roman"/>
                <w:sz w:val="18"/>
                <w:szCs w:val="18"/>
              </w:rPr>
            </w:pP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推广法治文化服务</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辖区内法治文化阵地信息，法治文化作品、产品</w:t>
            </w:r>
          </w:p>
        </w:tc>
        <w:tc>
          <w:tcPr>
            <w:tcW w:w="2804"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《中共中央、国务院转发〈中央宣传部、司法部关于在公民中开展法治宣传教育的第七个五年规划（2016－2020年）〉的通知》</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《中共重庆市委 重庆市人民政府转发〈中共重庆市委宣传部、重庆市司法局关于在全市公民中开展法治宣传教育的第七个五年规划（2016--2020年）〉的通知》</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区县司法局、</w:t>
            </w:r>
            <w:r>
              <w:rPr>
                <w:rFonts w:hint="eastAsia" w:ascii="Times New Roman" w:hAnsi="Times New Roman" w:eastAsia="方正仿宋_GBK" w:cs="Times New Roman"/>
                <w:kern w:val="0"/>
                <w:sz w:val="18"/>
                <w:szCs w:val="18"/>
                <w:lang w:val="en-US" w:eastAsia="zh-CN" w:bidi="ar"/>
              </w:rPr>
              <w:t>金洞乡人民政府</w:t>
            </w:r>
            <w:bookmarkStart w:id="2" w:name="_GoBack"/>
            <w:bookmarkEnd w:id="2"/>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□两微一端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社区/企事业单位/村公示栏（电子屏）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bl>
    <w:p>
      <w:pPr>
        <w:rPr>
          <w:rFonts w:ascii="Times New Roman" w:hAnsi="Times New Roman" w:eastAsia="方正仿宋_GBK" w:cs="Times New Roman"/>
          <w:sz w:val="32"/>
          <w:szCs w:val="32"/>
        </w:rPr>
      </w:pPr>
    </w:p>
    <w:sectPr>
      <w:headerReference r:id="rId3" w:type="default"/>
      <w:footerReference r:id="rId4" w:type="default"/>
      <w:pgSz w:w="16838" w:h="11906" w:orient="landscape"/>
      <w:pgMar w:top="1134" w:right="1134" w:bottom="1134" w:left="1134"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swiss"/>
    <w:pitch w:val="default"/>
    <w:sig w:usb0="00000007" w:usb1="00000000" w:usb2="00000000" w:usb3="00000000" w:csb0="00000093"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1.95pt;height:144pt;width:144pt;mso-position-horizontal:outside;mso-position-horizontal-relative:margin;mso-wrap-style:none;z-index:251667456;mso-width-relative:page;mso-height-relative:page;" filled="f" stroked="f" coordsize="21600,21600" o:gfxdata="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ib+7zUAAAABgEAAA8AAAAAAAAA&#10;AQAgAAAAIgAAAGRycy9kb3ducmV2LnhtbFBLAQIUABQAAAAIAIdO4kDU1bNgFQIAABMEAAAOAAAA&#10;AAAAAAEAIAAAACMBAABkcnMvZTJvRG9jLnhtbFBLBQYAAAAABgAGAFkBAACqBQAAAAA=&#10;">
          <v:path/>
          <v:fill on="f" focussize="0,0"/>
          <v:stroke on="f" weight="0.5pt" joinstyle="miter"/>
          <v:imagedata o:title=""/>
          <o:lock v:ext="edit"/>
          <v:textbox inset="0mm,0mm,0mm,0mm" style="mso-fit-shape-to-text:t;">
            <w:txbxContent>
              <w:p>
                <w:pPr>
                  <w:pStyle w:val="5"/>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1E77392"/>
    <w:rsid w:val="00227B44"/>
    <w:rsid w:val="00530A5A"/>
    <w:rsid w:val="00DD437E"/>
    <w:rsid w:val="00FD0370"/>
    <w:rsid w:val="020767B8"/>
    <w:rsid w:val="03E809C2"/>
    <w:rsid w:val="053742F8"/>
    <w:rsid w:val="06DA37D1"/>
    <w:rsid w:val="06F0052A"/>
    <w:rsid w:val="07736519"/>
    <w:rsid w:val="083A4306"/>
    <w:rsid w:val="097266A2"/>
    <w:rsid w:val="0A9E5A6C"/>
    <w:rsid w:val="0AEE5200"/>
    <w:rsid w:val="0F390FB9"/>
    <w:rsid w:val="106C46C1"/>
    <w:rsid w:val="11EB4492"/>
    <w:rsid w:val="13221F92"/>
    <w:rsid w:val="138243DE"/>
    <w:rsid w:val="140C7290"/>
    <w:rsid w:val="140D49B0"/>
    <w:rsid w:val="188622CF"/>
    <w:rsid w:val="19BF1790"/>
    <w:rsid w:val="19C14A13"/>
    <w:rsid w:val="1BFB5968"/>
    <w:rsid w:val="1CEF0E4D"/>
    <w:rsid w:val="1D1204CA"/>
    <w:rsid w:val="1DA24AB7"/>
    <w:rsid w:val="1DCE0D9F"/>
    <w:rsid w:val="1E3A6952"/>
    <w:rsid w:val="1E567A46"/>
    <w:rsid w:val="22905CC1"/>
    <w:rsid w:val="22BF3543"/>
    <w:rsid w:val="23A8177D"/>
    <w:rsid w:val="24A3296B"/>
    <w:rsid w:val="28086B08"/>
    <w:rsid w:val="28EF64BB"/>
    <w:rsid w:val="29D71D48"/>
    <w:rsid w:val="2F505D57"/>
    <w:rsid w:val="3032109F"/>
    <w:rsid w:val="30F639D2"/>
    <w:rsid w:val="318B1096"/>
    <w:rsid w:val="32C43FF6"/>
    <w:rsid w:val="32C748E8"/>
    <w:rsid w:val="32E032B5"/>
    <w:rsid w:val="34740D8F"/>
    <w:rsid w:val="348C3D26"/>
    <w:rsid w:val="34B84027"/>
    <w:rsid w:val="35204CB8"/>
    <w:rsid w:val="36AF7C0B"/>
    <w:rsid w:val="38220BF6"/>
    <w:rsid w:val="3D843A12"/>
    <w:rsid w:val="3DBE6853"/>
    <w:rsid w:val="3FBA12C7"/>
    <w:rsid w:val="41127FD8"/>
    <w:rsid w:val="416A2105"/>
    <w:rsid w:val="4427650B"/>
    <w:rsid w:val="474F4CCA"/>
    <w:rsid w:val="47F114F2"/>
    <w:rsid w:val="480B4B68"/>
    <w:rsid w:val="4963168D"/>
    <w:rsid w:val="49C816C4"/>
    <w:rsid w:val="4A672825"/>
    <w:rsid w:val="4AC47B25"/>
    <w:rsid w:val="52354C1D"/>
    <w:rsid w:val="536C3FF1"/>
    <w:rsid w:val="544A31CA"/>
    <w:rsid w:val="54B22F77"/>
    <w:rsid w:val="580C07C0"/>
    <w:rsid w:val="58E653A2"/>
    <w:rsid w:val="5B100E77"/>
    <w:rsid w:val="5CB21547"/>
    <w:rsid w:val="5DBF40E0"/>
    <w:rsid w:val="5EAA7DC6"/>
    <w:rsid w:val="5EF56028"/>
    <w:rsid w:val="616D6038"/>
    <w:rsid w:val="65A90373"/>
    <w:rsid w:val="67D2434B"/>
    <w:rsid w:val="6B1B7B0F"/>
    <w:rsid w:val="6C4D719D"/>
    <w:rsid w:val="6D601B7B"/>
    <w:rsid w:val="6DBE38FF"/>
    <w:rsid w:val="6FA47997"/>
    <w:rsid w:val="707571EC"/>
    <w:rsid w:val="71B33385"/>
    <w:rsid w:val="71E77392"/>
    <w:rsid w:val="75D37155"/>
    <w:rsid w:val="76156136"/>
    <w:rsid w:val="77154073"/>
    <w:rsid w:val="77585E04"/>
    <w:rsid w:val="79AC7F4F"/>
    <w:rsid w:val="79F16FEA"/>
    <w:rsid w:val="7B1F0256"/>
    <w:rsid w:val="7BAD364C"/>
    <w:rsid w:val="7D2D0CC1"/>
    <w:rsid w:val="7D554062"/>
    <w:rsid w:val="7DAC230B"/>
    <w:rsid w:val="7FD76F59"/>
    <w:rsid w:val="7FEC2F11"/>
    <w:rsid w:val="7FF606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eastAsia="宋体" w:cs="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jc w:val="center"/>
    </w:pPr>
    <w:rPr>
      <w:sz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Emphasis"/>
    <w:qFormat/>
    <w:uiPriority w:val="0"/>
    <w:rPr>
      <w:i/>
      <w:iCs/>
    </w:rPr>
  </w:style>
  <w:style w:type="character" w:styleId="14">
    <w:name w:val="Hyperlink"/>
    <w:basedOn w:val="10"/>
    <w:qFormat/>
    <w:uiPriority w:val="0"/>
    <w:rPr>
      <w:color w:val="0000FF"/>
      <w:u w:val="single"/>
    </w:rPr>
  </w:style>
  <w:style w:type="paragraph" w:customStyle="1" w:styleId="15">
    <w:name w:val="Char"/>
    <w:basedOn w:val="1"/>
    <w:semiHidden/>
    <w:qFormat/>
    <w:uiPriority w:val="0"/>
    <w:rPr>
      <w:rFonts w:eastAsia="宋体"/>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Table Paragraph"/>
    <w:basedOn w:val="1"/>
    <w:qFormat/>
    <w:uiPriority w:val="99"/>
    <w:pPr>
      <w:autoSpaceDE w:val="0"/>
      <w:autoSpaceDN w:val="0"/>
      <w:jc w:val="left"/>
    </w:pPr>
    <w:rPr>
      <w:rFonts w:ascii="Noto Sans Mono CJK JP Regular" w:hAnsi="Noto Sans Mono CJK JP Regular" w:eastAsia="等线" w:cs="Noto Sans Mono CJK JP Regular"/>
      <w:sz w:val="22"/>
      <w:szCs w:val="22"/>
      <w:lang w:eastAsia="en-US"/>
    </w:rPr>
  </w:style>
  <w:style w:type="character" w:customStyle="1" w:styleId="18">
    <w:name w:val="font11"/>
    <w:basedOn w:val="10"/>
    <w:qFormat/>
    <w:uiPriority w:val="0"/>
    <w:rPr>
      <w:rFonts w:hint="eastAsia" w:ascii="宋体" w:hAnsi="宋体" w:eastAsia="宋体" w:cs="宋体"/>
      <w:color w:val="000000"/>
      <w:sz w:val="22"/>
      <w:szCs w:val="22"/>
      <w:u w:val="none"/>
    </w:rPr>
  </w:style>
  <w:style w:type="character" w:customStyle="1" w:styleId="19">
    <w:name w:val="font31"/>
    <w:basedOn w:val="10"/>
    <w:qFormat/>
    <w:uiPriority w:val="0"/>
    <w:rPr>
      <w:rFonts w:hint="eastAsia" w:ascii="宋体" w:hAnsi="宋体" w:eastAsia="宋体" w:cs="宋体"/>
      <w:color w:val="000000"/>
      <w:sz w:val="18"/>
      <w:szCs w:val="18"/>
      <w:u w:val="none"/>
    </w:rPr>
  </w:style>
  <w:style w:type="character" w:customStyle="1" w:styleId="20">
    <w:name w:val="font71"/>
    <w:basedOn w:val="10"/>
    <w:qFormat/>
    <w:uiPriority w:val="0"/>
    <w:rPr>
      <w:rFonts w:ascii="方正仿宋_GBK" w:hAnsi="方正仿宋_GBK" w:eastAsia="方正仿宋_GBK" w:cs="方正仿宋_GBK"/>
      <w:color w:val="000000"/>
      <w:sz w:val="18"/>
      <w:szCs w:val="18"/>
      <w:u w:val="none"/>
    </w:rPr>
  </w:style>
  <w:style w:type="character" w:customStyle="1" w:styleId="21">
    <w:name w:val="font41"/>
    <w:basedOn w:val="10"/>
    <w:qFormat/>
    <w:uiPriority w:val="0"/>
    <w:rPr>
      <w:rFonts w:hint="default" w:ascii="Times New Roman" w:hAnsi="Times New Roman" w:cs="Times New Roman"/>
      <w:color w:val="000000"/>
      <w:sz w:val="18"/>
      <w:szCs w:val="18"/>
      <w:u w:val="none"/>
    </w:rPr>
  </w:style>
  <w:style w:type="character" w:customStyle="1" w:styleId="22">
    <w:name w:val="font81"/>
    <w:basedOn w:val="10"/>
    <w:qFormat/>
    <w:uiPriority w:val="0"/>
    <w:rPr>
      <w:rFonts w:hint="eastAsia" w:ascii="方正仿宋_GBK" w:hAnsi="方正仿宋_GBK" w:eastAsia="方正仿宋_GBK" w:cs="方正仿宋_GBK"/>
      <w:color w:val="000000"/>
      <w:sz w:val="18"/>
      <w:szCs w:val="18"/>
      <w:u w:val="none"/>
    </w:rPr>
  </w:style>
  <w:style w:type="character" w:customStyle="1" w:styleId="23">
    <w:name w:val="font91"/>
    <w:basedOn w:val="10"/>
    <w:qFormat/>
    <w:uiPriority w:val="0"/>
    <w:rPr>
      <w:rFonts w:hint="eastAsia" w:ascii="方正仿宋_GBK" w:hAnsi="方正仿宋_GBK" w:eastAsia="方正仿宋_GBK" w:cs="方正仿宋_GBK"/>
      <w:color w:val="000000"/>
      <w:sz w:val="18"/>
      <w:szCs w:val="18"/>
      <w:u w:val="none"/>
    </w:rPr>
  </w:style>
  <w:style w:type="character" w:customStyle="1" w:styleId="24">
    <w:name w:val="font51"/>
    <w:basedOn w:val="10"/>
    <w:qFormat/>
    <w:uiPriority w:val="0"/>
    <w:rPr>
      <w:rFonts w:hint="default" w:ascii="Times New Roman" w:hAnsi="Times New Roman" w:cs="Times New Roman"/>
      <w:color w:val="000000"/>
      <w:sz w:val="18"/>
      <w:szCs w:val="18"/>
      <w:u w:val="none"/>
    </w:rPr>
  </w:style>
  <w:style w:type="character" w:customStyle="1" w:styleId="25">
    <w:name w:val="font61"/>
    <w:basedOn w:val="10"/>
    <w:qFormat/>
    <w:uiPriority w:val="0"/>
    <w:rPr>
      <w:rFonts w:hint="eastAsia" w:ascii="宋体" w:hAnsi="宋体" w:eastAsia="宋体" w:cs="宋体"/>
      <w:color w:val="000000"/>
      <w:sz w:val="18"/>
      <w:szCs w:val="18"/>
      <w:u w:val="none"/>
    </w:rPr>
  </w:style>
  <w:style w:type="character" w:customStyle="1" w:styleId="26">
    <w:name w:val="font21"/>
    <w:basedOn w:val="10"/>
    <w:qFormat/>
    <w:uiPriority w:val="0"/>
    <w:rPr>
      <w:rFonts w:hint="eastAsia" w:ascii="宋体" w:hAnsi="宋体" w:eastAsia="宋体" w:cs="宋体"/>
      <w:color w:val="000000"/>
      <w:sz w:val="18"/>
      <w:szCs w:val="18"/>
      <w:u w:val="single"/>
    </w:rPr>
  </w:style>
  <w:style w:type="character" w:customStyle="1" w:styleId="27">
    <w:name w:val="font12"/>
    <w:basedOn w:val="10"/>
    <w:qFormat/>
    <w:uiPriority w:val="0"/>
    <w:rPr>
      <w:rFonts w:hint="eastAsia" w:ascii="宋体" w:hAnsi="宋体" w:eastAsia="宋体" w:cs="宋体"/>
      <w:color w:val="FF0000"/>
      <w:sz w:val="18"/>
      <w:szCs w:val="18"/>
      <w:u w:val="single"/>
    </w:rPr>
  </w:style>
  <w:style w:type="paragraph" w:customStyle="1" w:styleId="28">
    <w:name w:val="_Style 4"/>
    <w:basedOn w:val="1"/>
    <w:qFormat/>
    <w:uiPriority w:val="0"/>
    <w:pPr>
      <w:ind w:firstLine="420" w:firstLineChars="200"/>
    </w:pPr>
    <w:rPr>
      <w:rFonts w:ascii="等线" w:hAnsi="等线" w:eastAsia="等线" w:cs="Times New Roman"/>
      <w:sz w:val="32"/>
    </w:rPr>
  </w:style>
  <w:style w:type="paragraph" w:customStyle="1" w:styleId="29">
    <w:name w:val="_Style 2"/>
    <w:basedOn w:val="1"/>
    <w:qFormat/>
    <w:uiPriority w:val="0"/>
    <w:pPr>
      <w:ind w:firstLine="420" w:firstLineChars="200"/>
    </w:pPr>
    <w:rPr>
      <w:rFonts w:ascii="等线" w:hAnsi="等线" w:eastAsia="等线" w:cs="Times New Roman"/>
      <w:sz w:val="32"/>
    </w:rPr>
  </w:style>
  <w:style w:type="paragraph" w:customStyle="1" w:styleId="30">
    <w:name w:val="列出段落2"/>
    <w:basedOn w:val="1"/>
    <w:qFormat/>
    <w:uiPriority w:val="0"/>
    <w:pPr>
      <w:ind w:firstLine="420" w:firstLineChars="200"/>
    </w:pPr>
    <w:rPr>
      <w:rFonts w:ascii="等线" w:hAnsi="等线" w:eastAsia="等线" w:cs="Times New Roman"/>
      <w:sz w:val="32"/>
    </w:rPr>
  </w:style>
  <w:style w:type="character" w:customStyle="1" w:styleId="31">
    <w:name w:val="font121"/>
    <w:basedOn w:val="10"/>
    <w:qFormat/>
    <w:uiPriority w:val="0"/>
    <w:rPr>
      <w:rFonts w:hint="eastAsia" w:ascii="方正仿宋_GBK" w:hAnsi="方正仿宋_GBK" w:eastAsia="方正仿宋_GBK" w:cs="方正仿宋_GBK"/>
      <w:color w:val="000000"/>
      <w:sz w:val="24"/>
      <w:szCs w:val="24"/>
      <w:u w:val="single"/>
    </w:rPr>
  </w:style>
  <w:style w:type="character" w:customStyle="1" w:styleId="32">
    <w:name w:val="font101"/>
    <w:basedOn w:val="10"/>
    <w:qFormat/>
    <w:uiPriority w:val="0"/>
    <w:rPr>
      <w:rFonts w:hint="eastAsia" w:ascii="方正仿宋_GBK" w:hAnsi="方正仿宋_GBK" w:eastAsia="方正仿宋_GBK" w:cs="方正仿宋_GBK"/>
      <w:color w:val="000000"/>
      <w:sz w:val="24"/>
      <w:szCs w:val="24"/>
      <w:u w:val="single"/>
    </w:rPr>
  </w:style>
  <w:style w:type="character" w:customStyle="1" w:styleId="33">
    <w:name w:val="font01"/>
    <w:basedOn w:val="10"/>
    <w:qFormat/>
    <w:uiPriority w:val="0"/>
    <w:rPr>
      <w:rFonts w:hint="eastAsia" w:ascii="方正仿宋_GBK" w:hAnsi="方正仿宋_GBK" w:eastAsia="方正仿宋_GBK" w:cs="方正仿宋_GBK"/>
      <w:color w:val="000000"/>
      <w:sz w:val="24"/>
      <w:szCs w:val="24"/>
      <w:u w:val="single"/>
    </w:rPr>
  </w:style>
  <w:style w:type="character" w:customStyle="1" w:styleId="34">
    <w:name w:val="font112"/>
    <w:basedOn w:val="1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1119</Words>
  <Characters>6379</Characters>
  <Lines>53</Lines>
  <Paragraphs>14</Paragraphs>
  <TotalTime>0</TotalTime>
  <ScaleCrop>false</ScaleCrop>
  <LinksUpToDate>false</LinksUpToDate>
  <CharactersWithSpaces>7484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2020-10-27T06:24:00Z</dcterms:created>
  <dc:creator>邓芳®</dc:creator>
  <cp:lastModifiedBy>小墨鱼</cp:lastModifiedBy>
  <cp:lastPrinted>2020-11-03T07:01:00Z</cp:lastPrinted>
  <dcterms:modified xsi:type="dcterms:W3CDTF">2020-12-04T03:19:29Z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396155982_cloud</vt:lpwstr>
  </property>
</Properties>
</file>