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after="0" w:line="560" w:lineRule="exact"/>
        <w:jc w:val="center"/>
        <w:rPr>
          <w:rFonts w:ascii="Times New Roman" w:hAnsi="Times New Roman" w:eastAsia="方正小标宋_GBK" w:cs="Times New Roman"/>
          <w:b w:val="0"/>
          <w:bCs w:val="0"/>
        </w:rPr>
      </w:pPr>
      <w:bookmarkStart w:id="0" w:name="_Toc24724726"/>
      <w:bookmarkStart w:id="1" w:name="_Toc2445_WPSOffice_Level1"/>
      <w:bookmarkStart w:id="2" w:name="_GoBack"/>
      <w:bookmarkEnd w:id="2"/>
      <w:r>
        <w:rPr>
          <w:rFonts w:ascii="Times New Roman" w:hAnsi="Times New Roman" w:eastAsia="方正小标宋_GBK" w:cs="Times New Roman"/>
          <w:b w:val="0"/>
          <w:bCs w:val="0"/>
        </w:rPr>
        <w:t>救灾领域政务公开标准目录</w:t>
      </w:r>
      <w:bookmarkEnd w:id="0"/>
      <w:bookmarkEnd w:id="1"/>
    </w:p>
    <w:tbl>
      <w:tblPr>
        <w:tblStyle w:val="8"/>
        <w:tblW w:w="15121" w:type="dxa"/>
        <w:jc w:val="center"/>
        <w:tblLayout w:type="fixed"/>
        <w:tblCellMar>
          <w:top w:w="0" w:type="dxa"/>
          <w:left w:w="0" w:type="dxa"/>
          <w:bottom w:w="0" w:type="dxa"/>
          <w:right w:w="0" w:type="dxa"/>
        </w:tblCellMar>
      </w:tblPr>
      <w:tblGrid>
        <w:gridCol w:w="353"/>
        <w:gridCol w:w="533"/>
        <w:gridCol w:w="683"/>
        <w:gridCol w:w="2299"/>
        <w:gridCol w:w="2071"/>
        <w:gridCol w:w="1543"/>
        <w:gridCol w:w="1654"/>
        <w:gridCol w:w="3032"/>
        <w:gridCol w:w="486"/>
        <w:gridCol w:w="485"/>
        <w:gridCol w:w="457"/>
        <w:gridCol w:w="629"/>
        <w:gridCol w:w="457"/>
        <w:gridCol w:w="439"/>
      </w:tblGrid>
      <w:tr>
        <w:tblPrEx>
          <w:tblCellMar>
            <w:top w:w="0" w:type="dxa"/>
            <w:left w:w="0" w:type="dxa"/>
            <w:bottom w:w="0" w:type="dxa"/>
            <w:right w:w="0" w:type="dxa"/>
          </w:tblCellMar>
        </w:tblPrEx>
        <w:trPr>
          <w:trHeight w:val="300" w:hRule="atLeast"/>
          <w:tblHeader/>
          <w:jc w:val="center"/>
        </w:trPr>
        <w:tc>
          <w:tcPr>
            <w:tcW w:w="35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序号</w:t>
            </w:r>
          </w:p>
        </w:tc>
        <w:tc>
          <w:tcPr>
            <w:tcW w:w="121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公开事项</w:t>
            </w:r>
          </w:p>
        </w:tc>
        <w:tc>
          <w:tcPr>
            <w:tcW w:w="2299"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公开内容</w:t>
            </w:r>
          </w:p>
        </w:tc>
        <w:tc>
          <w:tcPr>
            <w:tcW w:w="2071"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公开依据</w:t>
            </w:r>
          </w:p>
        </w:tc>
        <w:tc>
          <w:tcPr>
            <w:tcW w:w="154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公开时限</w:t>
            </w:r>
          </w:p>
        </w:tc>
        <w:tc>
          <w:tcPr>
            <w:tcW w:w="1654"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公开主体</w:t>
            </w:r>
          </w:p>
        </w:tc>
        <w:tc>
          <w:tcPr>
            <w:tcW w:w="3032"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公开渠道和载体</w:t>
            </w:r>
          </w:p>
        </w:tc>
        <w:tc>
          <w:tcPr>
            <w:tcW w:w="971"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公开对象</w:t>
            </w:r>
          </w:p>
        </w:tc>
        <w:tc>
          <w:tcPr>
            <w:tcW w:w="1086" w:type="dxa"/>
            <w:gridSpan w:val="2"/>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公开方式</w:t>
            </w:r>
          </w:p>
        </w:tc>
        <w:tc>
          <w:tcPr>
            <w:tcW w:w="896" w:type="dxa"/>
            <w:gridSpan w:val="2"/>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both"/>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公开层级</w:t>
            </w:r>
          </w:p>
        </w:tc>
      </w:tr>
      <w:tr>
        <w:tblPrEx>
          <w:tblCellMar>
            <w:top w:w="0" w:type="dxa"/>
            <w:left w:w="0" w:type="dxa"/>
            <w:bottom w:w="0" w:type="dxa"/>
            <w:right w:w="0" w:type="dxa"/>
          </w:tblCellMar>
        </w:tblPrEx>
        <w:trPr>
          <w:trHeight w:val="562" w:hRule="atLeast"/>
          <w:tblHeader/>
          <w:jc w:val="center"/>
        </w:trPr>
        <w:tc>
          <w:tcPr>
            <w:tcW w:w="35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一级事项</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二级</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事项</w:t>
            </w:r>
          </w:p>
        </w:tc>
        <w:tc>
          <w:tcPr>
            <w:tcW w:w="2299"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2071"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54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1654"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3032"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全社会</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特定群体</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主动公开</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w w:val="90"/>
                <w:kern w:val="0"/>
                <w:sz w:val="18"/>
                <w:szCs w:val="18"/>
                <w:u w:val="none"/>
                <w:lang w:val="en-US" w:eastAsia="zh-CN" w:bidi="ar"/>
              </w:rPr>
              <w:t>依申请公开</w:t>
            </w: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区级</w:t>
            </w:r>
          </w:p>
        </w:tc>
        <w:tc>
          <w:tcPr>
            <w:tcW w:w="439"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黑体_GBK" w:cs="Times New Roman"/>
                <w:b w:val="0"/>
                <w:bCs w:val="0"/>
                <w:i w:val="0"/>
                <w:color w:val="000000"/>
                <w:kern w:val="0"/>
                <w:sz w:val="18"/>
                <w:szCs w:val="18"/>
                <w:u w:val="none"/>
                <w:lang w:val="en-US" w:eastAsia="zh-CN" w:bidi="ar"/>
              </w:rPr>
            </w:pPr>
            <w:r>
              <w:rPr>
                <w:rFonts w:hint="default" w:ascii="Times New Roman" w:hAnsi="Times New Roman" w:eastAsia="方正黑体_GBK" w:cs="Times New Roman"/>
                <w:b w:val="0"/>
                <w:bCs w:val="0"/>
                <w:i w:val="0"/>
                <w:color w:val="000000"/>
                <w:kern w:val="0"/>
                <w:sz w:val="18"/>
                <w:szCs w:val="18"/>
                <w:u w:val="none"/>
                <w:lang w:val="en-US" w:eastAsia="zh-CN" w:bidi="ar"/>
              </w:rPr>
              <w:t>乡镇级</w:t>
            </w:r>
          </w:p>
        </w:tc>
      </w:tr>
      <w:tr>
        <w:tblPrEx>
          <w:tblCellMar>
            <w:top w:w="0" w:type="dxa"/>
            <w:left w:w="0" w:type="dxa"/>
            <w:bottom w:w="0" w:type="dxa"/>
            <w:right w:w="0" w:type="dxa"/>
          </w:tblCellMar>
        </w:tblPrEx>
        <w:trPr>
          <w:trHeight w:val="153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88"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其他政策文件</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其他可以公开的与救灾有关的政策文件，包括改革方案、发展规划、专项规划、工作计划等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3</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部门和地方规章</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与救灾有关的部门和地方规章、规范性文件</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4</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标准</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救灾领域有关的国家标准、行业标准、地方标准等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区应急管理部门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2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5</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法律法规</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与救灾有关的法律、法规</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7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6</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政策文件</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涉及管理相对人切身利益、需社会广泛知晓的重要改革方案等重大决策，决策前向社会公开决策草案、决策依据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217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7</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重大政策解读及回应</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1.有关重大政策的解读及回应；                       2.相关热点问题的解读及回应。</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          3.《国务院办公厅关于在政务公开工作中进一步做好政务舆情回应的通知》（国办发〔2016〕61号）。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重大决策作出后及时公开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市、区县人民政府应急管理部</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482"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8</w:t>
            </w:r>
          </w:p>
        </w:tc>
        <w:tc>
          <w:tcPr>
            <w:tcW w:w="533" w:type="dxa"/>
            <w:vMerge w:val="continue"/>
            <w:tcBorders>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重要会议</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以会议讨论作出重要改革方案等重大决策时，经党组研究认为有必要公开讨论决策过程的会议</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提前一周发通知邀请</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1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9</w:t>
            </w:r>
          </w:p>
        </w:tc>
        <w:tc>
          <w:tcPr>
            <w:tcW w:w="533" w:type="dxa"/>
            <w:vMerge w:val="continue"/>
            <w:tcBorders>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征集采纳社会公众意见情况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重大决策草案公布后征集到的社会公众意见情况、采纳与否情况及理由等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2.中央办公厅、国务院办公厅《关于全面推进政务公开工作的意见》。</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征求意见时对外公布的时限内公开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0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10</w:t>
            </w:r>
          </w:p>
        </w:tc>
        <w:tc>
          <w:tcPr>
            <w:tcW w:w="53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综合减灾示范社区分布情况（其具体位置、创建时间、创建级别等）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ind w:left="0" w:leftChars="0" w:firstLine="0" w:firstLineChars="0"/>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2.《社会救助暂行办法》（2014）；           3.《国家综合防灾减灾规（2016-2020年）》。</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 xml:space="preserve">■两微一端   </w:t>
            </w:r>
            <w:r>
              <w:rPr>
                <w:rFonts w:hint="default" w:ascii="Times New Roman" w:hAnsi="Times New Roman" w:eastAsia="方正仿宋_GBK" w:cs="Times New Roman"/>
                <w:b w:val="0"/>
                <w:bCs w:val="0"/>
                <w:i w:val="0"/>
                <w:color w:val="000000"/>
                <w:kern w:val="0"/>
                <w:sz w:val="18"/>
                <w:szCs w:val="18"/>
                <w:u w:val="none"/>
                <w:lang w:val="en-US" w:eastAsia="zh-CN" w:bidi="ar"/>
              </w:rPr>
              <w:sym w:font="Wingdings 2" w:char="0052"/>
            </w:r>
            <w:r>
              <w:rPr>
                <w:rFonts w:hint="default" w:ascii="Times New Roman" w:hAnsi="Times New Roman" w:eastAsia="方正仿宋_GBK" w:cs="Times New Roman"/>
                <w:b w:val="0"/>
                <w:bCs w:val="0"/>
                <w:i w:val="0"/>
                <w:color w:val="000000"/>
                <w:kern w:val="0"/>
                <w:sz w:val="18"/>
                <w:szCs w:val="18"/>
                <w:u w:val="none"/>
                <w:lang w:val="en-US" w:eastAsia="zh-CN" w:bidi="ar"/>
              </w:rPr>
              <w:t>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07"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11</w:t>
            </w:r>
          </w:p>
        </w:tc>
        <w:tc>
          <w:tcPr>
            <w:tcW w:w="533" w:type="dxa"/>
            <w:vMerge w:val="restart"/>
            <w:tcBorders>
              <w:top w:val="single" w:color="000000"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备灾管理</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灾害信息员队伍</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县乡两级灾害信息员工作职责和办公电话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2.《社会救助暂行办法》（2014）；           3.《国家综合防灾减灾规划（2016-2020年）》。</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763"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12</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预警信息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气象、地震等单位发布的预警信息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□社</w:t>
            </w:r>
            <w:r>
              <w:rPr>
                <w:rFonts w:hint="default" w:ascii="Times New Roman" w:hAnsi="Times New Roman" w:eastAsia="方正仿宋_GBK" w:cs="Times New Roman"/>
                <w:b w:val="0"/>
                <w:bCs w:val="0"/>
                <w:i w:val="0"/>
                <w:color w:val="000000"/>
                <w:w w:val="90"/>
                <w:kern w:val="0"/>
                <w:sz w:val="18"/>
                <w:szCs w:val="18"/>
                <w:u w:val="none"/>
                <w:lang w:val="en-US" w:eastAsia="zh-CN" w:bidi="ar"/>
              </w:rPr>
              <w:t>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5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13</w:t>
            </w:r>
          </w:p>
        </w:tc>
        <w:tc>
          <w:tcPr>
            <w:tcW w:w="533" w:type="dxa"/>
            <w:vMerge w:val="restar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灾情核定信息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本行政区域内因自然灾害造成的损失情况（受灾时间、灾害种类、受灾范围、灾害造成的损失等）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w:t>
            </w:r>
            <w:r>
              <w:rPr>
                <w:rFonts w:hint="eastAsia" w:ascii="Times New Roman" w:hAnsi="Times New Roman" w:eastAsia="方正仿宋_GBK" w:cs="Times New Roman"/>
                <w:b w:val="0"/>
                <w:bCs w:val="0"/>
                <w:i w:val="0"/>
                <w:color w:val="000000"/>
                <w:kern w:val="0"/>
                <w:sz w:val="18"/>
                <w:szCs w:val="18"/>
                <w:u w:val="none"/>
                <w:lang w:val="en-US" w:eastAsia="zh-CN" w:bidi="ar"/>
              </w:rPr>
              <w:t>自然灾害救助条例</w:t>
            </w:r>
            <w:r>
              <w:rPr>
                <w:rFonts w:hint="default" w:ascii="Times New Roman" w:hAnsi="Times New Roman" w:eastAsia="方正仿宋_GBK" w:cs="Times New Roman"/>
                <w:b w:val="0"/>
                <w:bCs w:val="0"/>
                <w:i w:val="0"/>
                <w:color w:val="000000"/>
                <w:kern w:val="0"/>
                <w:sz w:val="18"/>
                <w:szCs w:val="18"/>
                <w:u w:val="none"/>
                <w:lang w:val="en-US" w:eastAsia="zh-CN" w:bidi="ar"/>
              </w:rPr>
              <w:t>》（国务院令第577号）。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46"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14</w:t>
            </w:r>
          </w:p>
        </w:tc>
        <w:tc>
          <w:tcPr>
            <w:tcW w:w="533" w:type="dxa"/>
            <w:vMerge w:val="continue"/>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救助审定信息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自然灾害救助（6类）的救助对象、申报材料、办理程序及时限等</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1"/>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《中华人民共和国政府信息公开条例》(国务院令第711号）；         </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w:t>
            </w:r>
            <w:r>
              <w:rPr>
                <w:rFonts w:hint="default" w:ascii="Times New Roman" w:hAnsi="Times New Roman" w:eastAsia="方正仿宋_GBK" w:cs="Times New Roman"/>
                <w:b w:val="0"/>
                <w:bCs w:val="0"/>
                <w:i w:val="0"/>
                <w:color w:val="000000"/>
                <w:kern w:val="0"/>
                <w:sz w:val="18"/>
                <w:szCs w:val="18"/>
                <w:u w:val="none"/>
                <w:lang w:val="en-US" w:eastAsia="zh-CN" w:bidi="ar"/>
              </w:rPr>
              <w:t>栏</w:t>
            </w:r>
            <w:r>
              <w:rPr>
                <w:rFonts w:hint="default" w:ascii="Times New Roman" w:hAnsi="Times New Roman" w:eastAsia="方正仿宋_GBK" w:cs="Times New Roman"/>
                <w:b w:val="0"/>
                <w:bCs w:val="0"/>
                <w:i w:val="0"/>
                <w:color w:val="000000"/>
                <w:w w:val="90"/>
                <w:kern w:val="0"/>
                <w:sz w:val="18"/>
                <w:szCs w:val="18"/>
                <w:u w:val="none"/>
                <w:lang w:val="en-US" w:eastAsia="zh-CN" w:bidi="ar"/>
              </w:rPr>
              <w:t>（电子屏）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619"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15</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应急管理部门审批</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救助款物通知及划拨情况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numPr>
                <w:ilvl w:val="0"/>
                <w:numId w:val="2"/>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 xml:space="preserve">《中华人民共和国政府信息公开条例》(国务院令第711号）；          </w:t>
            </w:r>
          </w:p>
          <w:p>
            <w:pPr>
              <w:keepNext w:val="0"/>
              <w:keepLines w:val="0"/>
              <w:pageBreakBefore w:val="0"/>
              <w:widowControl/>
              <w:numPr>
                <w:ilvl w:val="0"/>
                <w:numId w:val="0"/>
              </w:numPr>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50"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16</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灾害救助</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因灾过渡期生活救助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1.因灾过渡期生活救助标准、过渡期生活救助对象评议结果公示（灾民姓名、受灾情况、拟救助金额、监督举报电话）；                                   2.过渡期生活救助对象确定（灾民姓名、受灾情况、救助金额、监督举报电话)。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34"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17</w:t>
            </w:r>
          </w:p>
        </w:tc>
        <w:tc>
          <w:tcPr>
            <w:tcW w:w="53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灾后救助</w:t>
            </w:r>
          </w:p>
        </w:tc>
        <w:tc>
          <w:tcPr>
            <w:tcW w:w="683" w:type="dxa"/>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居民住房恢复重建救助</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1.居民住房恢复重建救助标准（居民因灾倒房、损房恢复重建具体救助标准）；                            2.居民住房恢复重建救助对象评议结果公示（公开灾民姓名、受灾情况、拟救助标准、监督举报电话）。</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1.《中华人民共和国政府信息公开条例》(国务院令第711号）；          2.《自然灾害救助条例》（国务院令第577号）。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信息形成或变更之日起20个工作日内</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auto"/>
                <w:kern w:val="0"/>
                <w:sz w:val="18"/>
                <w:szCs w:val="18"/>
                <w:u w:val="none"/>
                <w:lang w:val="en-US" w:eastAsia="zh-CN" w:bidi="ar"/>
              </w:rPr>
              <w:t>18</w:t>
            </w:r>
          </w:p>
        </w:tc>
        <w:tc>
          <w:tcPr>
            <w:tcW w:w="533" w:type="dxa"/>
            <w:vMerge w:val="restart"/>
            <w:tcBorders>
              <w:top w:val="single" w:color="auto" w:sz="4" w:space="0"/>
              <w:left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款物管理</w:t>
            </w:r>
          </w:p>
        </w:tc>
        <w:tc>
          <w:tcPr>
            <w:tcW w:w="68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捐赠款物信息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年度捐赠款物信息以及款物使用情况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01"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19</w:t>
            </w:r>
          </w:p>
        </w:tc>
        <w:tc>
          <w:tcPr>
            <w:tcW w:w="533" w:type="dxa"/>
            <w:vMerge w:val="continue"/>
            <w:tcBorders>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年度款物使用情况</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年度救灾资金和救灾物资等使用情况</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w w:val="9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r>
        <w:tblPrEx>
          <w:tblCellMar>
            <w:top w:w="0" w:type="dxa"/>
            <w:left w:w="0" w:type="dxa"/>
            <w:bottom w:w="0" w:type="dxa"/>
            <w:right w:w="0" w:type="dxa"/>
          </w:tblCellMar>
        </w:tblPrEx>
        <w:trPr>
          <w:trHeight w:val="1515" w:hRule="atLeast"/>
          <w:jc w:val="center"/>
        </w:trPr>
        <w:tc>
          <w:tcPr>
            <w:tcW w:w="35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20</w:t>
            </w:r>
          </w:p>
        </w:tc>
        <w:tc>
          <w:tcPr>
            <w:tcW w:w="53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工作动态</w:t>
            </w:r>
          </w:p>
        </w:tc>
        <w:tc>
          <w:tcPr>
            <w:tcW w:w="68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工作信息</w:t>
            </w:r>
          </w:p>
        </w:tc>
        <w:tc>
          <w:tcPr>
            <w:tcW w:w="22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防灾减灾救灾其他相关动态信息</w:t>
            </w:r>
          </w:p>
        </w:tc>
        <w:tc>
          <w:tcPr>
            <w:tcW w:w="20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《中华人民共和国政府信息公开条例》（国务院令第711号）</w:t>
            </w:r>
          </w:p>
        </w:tc>
        <w:tc>
          <w:tcPr>
            <w:tcW w:w="154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按进展情况及时公开</w:t>
            </w:r>
          </w:p>
        </w:tc>
        <w:tc>
          <w:tcPr>
            <w:tcW w:w="16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区应急管理局</w:t>
            </w:r>
            <w:r>
              <w:rPr>
                <w:rFonts w:hint="eastAsia" w:ascii="Times New Roman" w:hAnsi="Times New Roman" w:eastAsia="方正仿宋_GBK" w:cs="Times New Roman"/>
                <w:b w:val="0"/>
                <w:bCs w:val="0"/>
                <w:i w:val="0"/>
                <w:color w:val="000000"/>
                <w:kern w:val="0"/>
                <w:sz w:val="18"/>
                <w:szCs w:val="18"/>
                <w:u w:val="none"/>
                <w:lang w:val="en-US" w:eastAsia="zh-CN" w:bidi="ar"/>
              </w:rPr>
              <w:t>、金洞乡人民政府</w:t>
            </w:r>
          </w:p>
        </w:tc>
        <w:tc>
          <w:tcPr>
            <w:tcW w:w="303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left"/>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■政府网站   □政府公报</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■两微一端   □发布会</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■广播电视   ■纸质媒体</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■公开查阅点 □政务服务中心</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□便民服务站 □入户/现场</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w:t>
            </w:r>
            <w:r>
              <w:rPr>
                <w:rFonts w:hint="default" w:ascii="Times New Roman" w:hAnsi="Times New Roman" w:eastAsia="方正仿宋_GBK" w:cs="Times New Roman"/>
                <w:b w:val="0"/>
                <w:bCs w:val="0"/>
                <w:i w:val="0"/>
                <w:color w:val="000000"/>
                <w:w w:val="90"/>
                <w:kern w:val="0"/>
                <w:sz w:val="18"/>
                <w:szCs w:val="18"/>
                <w:u w:val="none"/>
                <w:lang w:val="en-US" w:eastAsia="zh-CN" w:bidi="ar"/>
              </w:rPr>
              <w:t>社区/企事业单位、村公示栏（电子屏）</w:t>
            </w:r>
            <w:r>
              <w:rPr>
                <w:rFonts w:hint="default" w:ascii="Times New Roman" w:hAnsi="Times New Roman" w:eastAsia="方正仿宋_GBK" w:cs="Times New Roman"/>
                <w:b w:val="0"/>
                <w:bCs w:val="0"/>
                <w:i w:val="0"/>
                <w:color w:val="000000"/>
                <w:kern w:val="0"/>
                <w:sz w:val="18"/>
                <w:szCs w:val="18"/>
                <w:u w:val="none"/>
                <w:lang w:val="en-US" w:eastAsia="zh-CN" w:bidi="ar"/>
              </w:rPr>
              <w:br w:type="textWrapping"/>
            </w:r>
            <w:r>
              <w:rPr>
                <w:rFonts w:hint="default" w:ascii="Times New Roman" w:hAnsi="Times New Roman" w:eastAsia="方正仿宋_GBK" w:cs="Times New Roman"/>
                <w:b w:val="0"/>
                <w:bCs w:val="0"/>
                <w:i w:val="0"/>
                <w:color w:val="000000"/>
                <w:kern w:val="0"/>
                <w:sz w:val="18"/>
                <w:szCs w:val="18"/>
                <w:u w:val="none"/>
                <w:lang w:val="en-US" w:eastAsia="zh-CN" w:bidi="ar"/>
              </w:rPr>
              <w:t>□精准推送   □其他</w:t>
            </w:r>
          </w:p>
        </w:tc>
        <w:tc>
          <w:tcPr>
            <w:tcW w:w="48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8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6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p>
        </w:tc>
        <w:tc>
          <w:tcPr>
            <w:tcW w:w="45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c>
          <w:tcPr>
            <w:tcW w:w="43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shd w:val="clear" w:color="auto" w:fill="auto"/>
              <w:kinsoku/>
              <w:wordWrap/>
              <w:overflowPunct/>
              <w:topLinePunct w:val="0"/>
              <w:autoSpaceDE/>
              <w:autoSpaceDN/>
              <w:bidi w:val="0"/>
              <w:adjustRightInd/>
              <w:snapToGrid/>
              <w:spacing w:line="200" w:lineRule="exact"/>
              <w:jc w:val="center"/>
              <w:textAlignment w:val="center"/>
              <w:rPr>
                <w:rFonts w:hint="default" w:ascii="Times New Roman" w:hAnsi="Times New Roman" w:eastAsia="方正仿宋_GBK" w:cs="Times New Roman"/>
                <w:b w:val="0"/>
                <w:bCs w:val="0"/>
                <w:i w:val="0"/>
                <w:color w:val="000000"/>
                <w:kern w:val="0"/>
                <w:sz w:val="18"/>
                <w:szCs w:val="18"/>
                <w:u w:val="none"/>
                <w:lang w:val="en-US" w:eastAsia="zh-CN" w:bidi="ar"/>
              </w:rPr>
            </w:pPr>
            <w:r>
              <w:rPr>
                <w:rFonts w:hint="default" w:ascii="Times New Roman" w:hAnsi="Times New Roman" w:eastAsia="方正仿宋_GBK" w:cs="Times New Roman"/>
                <w:b w:val="0"/>
                <w:bCs w:val="0"/>
                <w:i w:val="0"/>
                <w:color w:val="000000"/>
                <w:kern w:val="0"/>
                <w:sz w:val="18"/>
                <w:szCs w:val="18"/>
                <w:u w:val="none"/>
                <w:lang w:val="en-US" w:eastAsia="zh-CN" w:bidi="ar"/>
              </w:rPr>
              <w:t>√</w:t>
            </w:r>
          </w:p>
        </w:tc>
      </w:tr>
    </w:tbl>
    <w:p>
      <w:pPr>
        <w:rPr>
          <w:rFonts w:ascii="Times New Roman" w:hAnsi="Times New Roman" w:eastAsia="宋体" w:cs="Times New Roman"/>
        </w:rPr>
      </w:pPr>
    </w:p>
    <w:p>
      <w:pPr>
        <w:rPr>
          <w:rFonts w:ascii="Times New Roman" w:hAnsi="Times New Roman" w:eastAsia="宋体" w:cs="Times New Roman"/>
        </w:rPr>
      </w:pPr>
    </w:p>
    <w:sectPr>
      <w:headerReference r:id="rId3" w:type="default"/>
      <w:footerReference r:id="rId4" w:type="default"/>
      <w:pgSz w:w="16838" w:h="11906" w:orient="landscape"/>
      <w:pgMar w:top="1134" w:right="1134" w:bottom="1134" w:left="1134" w:header="851" w:footer="992" w:gutter="0"/>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Helvetica">
    <w:altName w:val="FreeSans"/>
    <w:panose1 w:val="020B0504020202030204"/>
    <w:charset w:val="00"/>
    <w:family w:val="swiss"/>
    <w:pitch w:val="default"/>
    <w:sig w:usb0="00000000" w:usb1="00000000" w:usb2="00000000" w:usb3="00000000" w:csb0="00000093" w:csb1="00000000"/>
  </w:font>
  <w:font w:name="Noto Sans Mono CJK JP Regular">
    <w:altName w:val="DejaVu Math TeX Gyre"/>
    <w:panose1 w:val="00000000000000000000"/>
    <w:charset w:val="00"/>
    <w:family w:val="swiss"/>
    <w:pitch w:val="default"/>
    <w:sig w:usb0="00000000" w:usb1="00000000" w:usb2="00000000" w:usb3="00000000" w:csb0="00000001" w:csb1="00000000"/>
  </w:font>
  <w:font w:name="等线">
    <w:altName w:val="汉仪中宋简"/>
    <w:panose1 w:val="02010600030101010101"/>
    <w:charset w:val="86"/>
    <w:family w:val="auto"/>
    <w:pitch w:val="default"/>
    <w:sig w:usb0="00000000" w:usb1="00000000" w:usb2="00000016" w:usb3="00000000" w:csb0="0004000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24765</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a:effectLst/>
                    </wps:spPr>
                    <wps:txbx>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1.95pt;height:144pt;width:144pt;mso-position-horizontal:outside;mso-position-horizontal-relative:margin;mso-wrap-style:none;z-index:251667456;mso-width-relative:page;mso-height-relative:page;" filled="f" stroked="f" coordsize="21600,21600" o:gfxdata="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FgAAAGRycy9Q&#10;SwECFAAUAAAACACHTuJAGJv7vNQAAAAGAQAADwAAAAAAAAABACAAAAA4AAAAZHJzL2Rvd25yZXYu&#10;eG1sUEsBAhQAFAAAAAgAh07iQDKHu5giAgAANwQAAA4AAAAAAAAAAQAgAAAAOQEAAGRycy9lMm9E&#10;b2MueG1sUEsFBgAAAAAGAAYAWQEAAM0FAAAAAA==&#10;">
              <v:fill on="f" focussize="0,0"/>
              <v:stroke on="f" weight="0.5pt"/>
              <v:imagedata o:title=""/>
              <o:lock v:ext="edit" aspectratio="f"/>
              <v:textbox inset="0mm,0mm,0mm,0mm" style="mso-fit-shape-to-text:t;">
                <w:txbxContent>
                  <w:p>
                    <w:pPr>
                      <w:pStyle w:val="5"/>
                      <w:ind w:left="210" w:leftChars="100" w:right="210" w:rightChars="100"/>
                      <w:rPr>
                        <w:rFonts w:asciiTheme="minorEastAsia" w:hAnsiTheme="minorEastAsia" w:cstheme="minorEastAsia"/>
                        <w:sz w:val="28"/>
                        <w:szCs w:val="28"/>
                      </w:rPr>
                    </w:pPr>
                    <w:r>
                      <w:rPr>
                        <w:rFonts w:hint="eastAsia" w:asciiTheme="minorEastAsia" w:hAnsiTheme="minorEastAsia" w:cstheme="minorEastAsia"/>
                        <w:sz w:val="28"/>
                        <w:szCs w:val="28"/>
                      </w:rPr>
                      <w:t xml:space="preserve">— </w:t>
                    </w:r>
                    <w:r>
                      <w:rPr>
                        <w:rFonts w:hint="eastAsia" w:asciiTheme="minorEastAsia" w:hAnsiTheme="minorEastAsia" w:cstheme="minorEastAsia"/>
                        <w:sz w:val="28"/>
                        <w:szCs w:val="28"/>
                      </w:rPr>
                      <w:fldChar w:fldCharType="begin"/>
                    </w:r>
                    <w:r>
                      <w:rPr>
                        <w:rFonts w:hint="eastAsia" w:asciiTheme="minorEastAsia" w:hAnsiTheme="minorEastAsia" w:cstheme="minorEastAsia"/>
                        <w:sz w:val="28"/>
                        <w:szCs w:val="28"/>
                      </w:rPr>
                      <w:instrText xml:space="preserve"> PAGE  \* MERGEFORMAT </w:instrText>
                    </w:r>
                    <w:r>
                      <w:rPr>
                        <w:rFonts w:hint="eastAsia" w:asciiTheme="minorEastAsia" w:hAnsiTheme="minorEastAsia" w:cstheme="minorEastAsia"/>
                        <w:sz w:val="28"/>
                        <w:szCs w:val="28"/>
                      </w:rPr>
                      <w:fldChar w:fldCharType="separate"/>
                    </w:r>
                    <w:r>
                      <w:rPr>
                        <w:rFonts w:asciiTheme="minorEastAsia" w:hAnsiTheme="minorEastAsia" w:cstheme="minorEastAsia"/>
                        <w:sz w:val="28"/>
                        <w:szCs w:val="28"/>
                      </w:rPr>
                      <w:t>4</w:t>
                    </w:r>
                    <w:r>
                      <w:rPr>
                        <w:rFonts w:hint="eastAsia" w:asciiTheme="minorEastAsia" w:hAnsiTheme="minorEastAsia" w:cstheme="minorEastAsia"/>
                        <w:sz w:val="28"/>
                        <w:szCs w:val="28"/>
                      </w:rPr>
                      <w:fldChar w:fldCharType="end"/>
                    </w:r>
                    <w:r>
                      <w:rPr>
                        <w:rFonts w:hint="eastAsia" w:asciiTheme="minorEastAsia" w:hAnsiTheme="minorEastAsia" w:cstheme="minorEastAsia"/>
                        <w:sz w:val="28"/>
                        <w:szCs w:val="28"/>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9FE521"/>
    <w:multiLevelType w:val="singleLevel"/>
    <w:tmpl w:val="9F9FE521"/>
    <w:lvl w:ilvl="0" w:tentative="0">
      <w:start w:val="1"/>
      <w:numFmt w:val="decimal"/>
      <w:lvlText w:val="%1."/>
      <w:lvlJc w:val="left"/>
      <w:pPr>
        <w:tabs>
          <w:tab w:val="left" w:pos="312"/>
        </w:tabs>
      </w:pPr>
    </w:lvl>
  </w:abstractNum>
  <w:abstractNum w:abstractNumId="1">
    <w:nsid w:val="FDD85869"/>
    <w:multiLevelType w:val="singleLevel"/>
    <w:tmpl w:val="FDD85869"/>
    <w:lvl w:ilvl="0" w:tentative="0">
      <w:start w:val="1"/>
      <w:numFmt w:val="decimal"/>
      <w:lvlText w:val="%1."/>
      <w:lvlJc w:val="left"/>
      <w:pPr>
        <w:tabs>
          <w:tab w:val="left" w:pos="312"/>
        </w:tabs>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true"/>
  <w:bordersDoNotSurroundFooter w:val="true"/>
  <w:documentProtection w:enforcement="0"/>
  <w:defaultTabStop w:val="420"/>
  <w:drawingGridVerticalSpacing w:val="158"/>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E77392"/>
    <w:rsid w:val="001C3465"/>
    <w:rsid w:val="007B3B5B"/>
    <w:rsid w:val="00B01F09"/>
    <w:rsid w:val="00ED0BBB"/>
    <w:rsid w:val="020767B8"/>
    <w:rsid w:val="03E809C2"/>
    <w:rsid w:val="0685406E"/>
    <w:rsid w:val="06F0052A"/>
    <w:rsid w:val="083A4306"/>
    <w:rsid w:val="097266A2"/>
    <w:rsid w:val="0A9E5A6C"/>
    <w:rsid w:val="0AEE5200"/>
    <w:rsid w:val="0C1D59FA"/>
    <w:rsid w:val="0F390FB9"/>
    <w:rsid w:val="106C46C1"/>
    <w:rsid w:val="11EB4492"/>
    <w:rsid w:val="13221F92"/>
    <w:rsid w:val="13300709"/>
    <w:rsid w:val="138243DE"/>
    <w:rsid w:val="140C7290"/>
    <w:rsid w:val="140D49B0"/>
    <w:rsid w:val="17705BAA"/>
    <w:rsid w:val="188622CF"/>
    <w:rsid w:val="19BF1790"/>
    <w:rsid w:val="19C14A13"/>
    <w:rsid w:val="19E45C00"/>
    <w:rsid w:val="1AB018E4"/>
    <w:rsid w:val="1D1204CA"/>
    <w:rsid w:val="1DCE0D9F"/>
    <w:rsid w:val="1E3A6952"/>
    <w:rsid w:val="1E567A46"/>
    <w:rsid w:val="226D37AE"/>
    <w:rsid w:val="228E1606"/>
    <w:rsid w:val="22905CC1"/>
    <w:rsid w:val="22BF3543"/>
    <w:rsid w:val="23A8177D"/>
    <w:rsid w:val="25D14D0D"/>
    <w:rsid w:val="28086B08"/>
    <w:rsid w:val="28EF64BB"/>
    <w:rsid w:val="29832A04"/>
    <w:rsid w:val="29D71D48"/>
    <w:rsid w:val="2F505D57"/>
    <w:rsid w:val="3032109F"/>
    <w:rsid w:val="30F639D2"/>
    <w:rsid w:val="318B1096"/>
    <w:rsid w:val="32C43FF6"/>
    <w:rsid w:val="32C748E8"/>
    <w:rsid w:val="32E032B5"/>
    <w:rsid w:val="346057F1"/>
    <w:rsid w:val="34740D8F"/>
    <w:rsid w:val="348C3D26"/>
    <w:rsid w:val="34B31AD5"/>
    <w:rsid w:val="36AF7C0B"/>
    <w:rsid w:val="37E14F79"/>
    <w:rsid w:val="3AB07DE5"/>
    <w:rsid w:val="3F7F4A53"/>
    <w:rsid w:val="3FBA12C7"/>
    <w:rsid w:val="41127FD8"/>
    <w:rsid w:val="416A2105"/>
    <w:rsid w:val="4427650B"/>
    <w:rsid w:val="44421407"/>
    <w:rsid w:val="474F4CCA"/>
    <w:rsid w:val="47F114F2"/>
    <w:rsid w:val="480B4B68"/>
    <w:rsid w:val="4963168D"/>
    <w:rsid w:val="49C816C4"/>
    <w:rsid w:val="4A672825"/>
    <w:rsid w:val="4AC47B25"/>
    <w:rsid w:val="4E665DEE"/>
    <w:rsid w:val="52354C1D"/>
    <w:rsid w:val="52E077C9"/>
    <w:rsid w:val="536C3FF1"/>
    <w:rsid w:val="544A31CA"/>
    <w:rsid w:val="54B22F77"/>
    <w:rsid w:val="58E653A2"/>
    <w:rsid w:val="5B100E77"/>
    <w:rsid w:val="5B1F3A4B"/>
    <w:rsid w:val="5B480271"/>
    <w:rsid w:val="5CB21547"/>
    <w:rsid w:val="5DBF40E0"/>
    <w:rsid w:val="616D6038"/>
    <w:rsid w:val="65A90373"/>
    <w:rsid w:val="67D2434B"/>
    <w:rsid w:val="6B1B7B0F"/>
    <w:rsid w:val="6C4D719D"/>
    <w:rsid w:val="6D947B67"/>
    <w:rsid w:val="6DBE38FF"/>
    <w:rsid w:val="707571EC"/>
    <w:rsid w:val="71B33385"/>
    <w:rsid w:val="71E77392"/>
    <w:rsid w:val="75AB12CF"/>
    <w:rsid w:val="75D37155"/>
    <w:rsid w:val="76156136"/>
    <w:rsid w:val="77154073"/>
    <w:rsid w:val="77585E04"/>
    <w:rsid w:val="7992B46A"/>
    <w:rsid w:val="79AC7F4F"/>
    <w:rsid w:val="79F16FEA"/>
    <w:rsid w:val="7B1F0256"/>
    <w:rsid w:val="7B791F93"/>
    <w:rsid w:val="7BAD364C"/>
    <w:rsid w:val="7D2D0CC1"/>
    <w:rsid w:val="7D554062"/>
    <w:rsid w:val="7D9A5941"/>
    <w:rsid w:val="7DAC230B"/>
    <w:rsid w:val="7FD76F59"/>
    <w:rsid w:val="7FEC2F11"/>
    <w:rsid w:val="7FF606C0"/>
    <w:rsid w:val="7FF96AD4"/>
    <w:rsid w:val="BBFF54A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qFormat/>
    <w:uiPriority w:val="99"/>
    <w:pPr>
      <w:ind w:left="100" w:leftChars="100" w:right="100" w:rightChars="100"/>
    </w:pPr>
    <w:rPr>
      <w:rFonts w:eastAsia="宋体" w:cs="Times New Roma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jc w:val="center"/>
    </w:pPr>
    <w:rPr>
      <w:sz w:val="18"/>
    </w:rPr>
  </w:style>
  <w:style w:type="paragraph" w:styleId="7">
    <w:name w:val="toc 1"/>
    <w:basedOn w:val="1"/>
    <w:next w:val="1"/>
    <w:semiHidden/>
    <w:qFormat/>
    <w:uiPriority w:val="0"/>
    <w:pPr>
      <w:tabs>
        <w:tab w:val="right" w:leader="dot" w:pos="14760"/>
      </w:tabs>
      <w:spacing w:line="700" w:lineRule="exact"/>
      <w:ind w:left="359" w:leftChars="171" w:right="332" w:rightChars="158"/>
    </w:p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1">
    <w:name w:val="page number"/>
    <w:basedOn w:val="10"/>
    <w:qFormat/>
    <w:uiPriority w:val="0"/>
  </w:style>
  <w:style w:type="character" w:styleId="12">
    <w:name w:val="FollowedHyperlink"/>
    <w:basedOn w:val="10"/>
    <w:qFormat/>
    <w:uiPriority w:val="0"/>
    <w:rPr>
      <w:color w:val="800080"/>
      <w:u w:val="single"/>
    </w:rPr>
  </w:style>
  <w:style w:type="character" w:styleId="13">
    <w:name w:val="Emphasis"/>
    <w:qFormat/>
    <w:uiPriority w:val="0"/>
    <w:rPr>
      <w:i/>
      <w:iCs/>
    </w:rPr>
  </w:style>
  <w:style w:type="character" w:styleId="14">
    <w:name w:val="Hyperlink"/>
    <w:basedOn w:val="10"/>
    <w:qFormat/>
    <w:uiPriority w:val="0"/>
    <w:rPr>
      <w:color w:val="0000FF"/>
      <w:u w:val="single"/>
    </w:rPr>
  </w:style>
  <w:style w:type="paragraph" w:customStyle="1" w:styleId="15">
    <w:name w:val="Char"/>
    <w:basedOn w:val="1"/>
    <w:semiHidden/>
    <w:qFormat/>
    <w:uiPriority w:val="0"/>
    <w:rPr>
      <w:rFonts w:eastAsia="宋体"/>
    </w:rPr>
  </w:style>
  <w:style w:type="paragraph" w:customStyle="1" w:styleId="16">
    <w:name w:val="WPSOffice手动目录 1"/>
    <w:qFormat/>
    <w:uiPriority w:val="0"/>
    <w:rPr>
      <w:rFonts w:ascii="Times New Roman" w:hAnsi="Times New Roman" w:eastAsia="宋体" w:cs="Times New Roman"/>
      <w:lang w:val="en-US" w:eastAsia="zh-CN" w:bidi="ar-SA"/>
    </w:rPr>
  </w:style>
  <w:style w:type="paragraph" w:customStyle="1" w:styleId="17">
    <w:name w:val="Table Paragraph"/>
    <w:basedOn w:val="1"/>
    <w:qFormat/>
    <w:uiPriority w:val="99"/>
    <w:pPr>
      <w:autoSpaceDE w:val="0"/>
      <w:autoSpaceDN w:val="0"/>
      <w:jc w:val="left"/>
    </w:pPr>
    <w:rPr>
      <w:rFonts w:ascii="Noto Sans Mono CJK JP Regular" w:hAnsi="Noto Sans Mono CJK JP Regular" w:eastAsia="等线" w:cs="Noto Sans Mono CJK JP Regular"/>
      <w:sz w:val="22"/>
      <w:szCs w:val="22"/>
      <w:lang w:eastAsia="en-US"/>
    </w:rPr>
  </w:style>
  <w:style w:type="character" w:customStyle="1" w:styleId="18">
    <w:name w:val="font11"/>
    <w:basedOn w:val="10"/>
    <w:qFormat/>
    <w:uiPriority w:val="0"/>
    <w:rPr>
      <w:rFonts w:hint="eastAsia" w:ascii="宋体" w:hAnsi="宋体" w:eastAsia="宋体" w:cs="宋体"/>
      <w:color w:val="000000"/>
      <w:sz w:val="22"/>
      <w:szCs w:val="22"/>
      <w:u w:val="none"/>
    </w:rPr>
  </w:style>
  <w:style w:type="character" w:customStyle="1" w:styleId="19">
    <w:name w:val="font31"/>
    <w:basedOn w:val="10"/>
    <w:qFormat/>
    <w:uiPriority w:val="0"/>
    <w:rPr>
      <w:rFonts w:hint="eastAsia" w:ascii="宋体" w:hAnsi="宋体" w:eastAsia="宋体" w:cs="宋体"/>
      <w:color w:val="000000"/>
      <w:sz w:val="18"/>
      <w:szCs w:val="18"/>
      <w:u w:val="none"/>
    </w:rPr>
  </w:style>
  <w:style w:type="character" w:customStyle="1" w:styleId="20">
    <w:name w:val="font71"/>
    <w:basedOn w:val="10"/>
    <w:qFormat/>
    <w:uiPriority w:val="0"/>
    <w:rPr>
      <w:rFonts w:ascii="方正仿宋_GBK" w:hAnsi="方正仿宋_GBK" w:eastAsia="方正仿宋_GBK" w:cs="方正仿宋_GBK"/>
      <w:color w:val="000000"/>
      <w:sz w:val="18"/>
      <w:szCs w:val="18"/>
      <w:u w:val="none"/>
    </w:rPr>
  </w:style>
  <w:style w:type="character" w:customStyle="1" w:styleId="21">
    <w:name w:val="font41"/>
    <w:basedOn w:val="10"/>
    <w:qFormat/>
    <w:uiPriority w:val="0"/>
    <w:rPr>
      <w:rFonts w:hint="default" w:ascii="Times New Roman" w:hAnsi="Times New Roman" w:cs="Times New Roman"/>
      <w:color w:val="000000"/>
      <w:sz w:val="18"/>
      <w:szCs w:val="18"/>
      <w:u w:val="none"/>
    </w:rPr>
  </w:style>
  <w:style w:type="character" w:customStyle="1" w:styleId="22">
    <w:name w:val="font81"/>
    <w:basedOn w:val="10"/>
    <w:qFormat/>
    <w:uiPriority w:val="0"/>
    <w:rPr>
      <w:rFonts w:hint="eastAsia" w:ascii="方正仿宋_GBK" w:hAnsi="方正仿宋_GBK" w:eastAsia="方正仿宋_GBK" w:cs="方正仿宋_GBK"/>
      <w:color w:val="000000"/>
      <w:sz w:val="18"/>
      <w:szCs w:val="18"/>
      <w:u w:val="none"/>
    </w:rPr>
  </w:style>
  <w:style w:type="character" w:customStyle="1" w:styleId="23">
    <w:name w:val="font91"/>
    <w:basedOn w:val="10"/>
    <w:qFormat/>
    <w:uiPriority w:val="0"/>
    <w:rPr>
      <w:rFonts w:hint="eastAsia" w:ascii="方正仿宋_GBK" w:hAnsi="方正仿宋_GBK" w:eastAsia="方正仿宋_GBK" w:cs="方正仿宋_GBK"/>
      <w:color w:val="000000"/>
      <w:sz w:val="18"/>
      <w:szCs w:val="18"/>
      <w:u w:val="none"/>
    </w:rPr>
  </w:style>
  <w:style w:type="character" w:customStyle="1" w:styleId="24">
    <w:name w:val="font51"/>
    <w:basedOn w:val="10"/>
    <w:qFormat/>
    <w:uiPriority w:val="0"/>
    <w:rPr>
      <w:rFonts w:hint="default" w:ascii="Times New Roman" w:hAnsi="Times New Roman" w:cs="Times New Roman"/>
      <w:color w:val="000000"/>
      <w:sz w:val="18"/>
      <w:szCs w:val="18"/>
      <w:u w:val="none"/>
    </w:rPr>
  </w:style>
  <w:style w:type="character" w:customStyle="1" w:styleId="25">
    <w:name w:val="font61"/>
    <w:basedOn w:val="10"/>
    <w:qFormat/>
    <w:uiPriority w:val="0"/>
    <w:rPr>
      <w:rFonts w:hint="eastAsia" w:ascii="宋体" w:hAnsi="宋体" w:eastAsia="宋体" w:cs="宋体"/>
      <w:color w:val="000000"/>
      <w:sz w:val="18"/>
      <w:szCs w:val="18"/>
      <w:u w:val="none"/>
    </w:rPr>
  </w:style>
  <w:style w:type="character" w:customStyle="1" w:styleId="26">
    <w:name w:val="font21"/>
    <w:basedOn w:val="10"/>
    <w:qFormat/>
    <w:uiPriority w:val="0"/>
    <w:rPr>
      <w:rFonts w:hint="eastAsia" w:ascii="宋体" w:hAnsi="宋体" w:eastAsia="宋体" w:cs="宋体"/>
      <w:color w:val="000000"/>
      <w:sz w:val="18"/>
      <w:szCs w:val="18"/>
      <w:u w:val="single"/>
    </w:rPr>
  </w:style>
  <w:style w:type="character" w:customStyle="1" w:styleId="27">
    <w:name w:val="font12"/>
    <w:basedOn w:val="10"/>
    <w:qFormat/>
    <w:uiPriority w:val="0"/>
    <w:rPr>
      <w:rFonts w:hint="eastAsia" w:ascii="宋体" w:hAnsi="宋体" w:eastAsia="宋体" w:cs="宋体"/>
      <w:color w:val="FF0000"/>
      <w:sz w:val="18"/>
      <w:szCs w:val="18"/>
      <w:u w:val="single"/>
    </w:rPr>
  </w:style>
  <w:style w:type="paragraph" w:customStyle="1" w:styleId="28">
    <w:name w:val="_Style 4"/>
    <w:basedOn w:val="1"/>
    <w:qFormat/>
    <w:uiPriority w:val="0"/>
    <w:pPr>
      <w:ind w:firstLine="420" w:firstLineChars="200"/>
    </w:pPr>
    <w:rPr>
      <w:rFonts w:ascii="等线" w:hAnsi="等线" w:eastAsia="等线" w:cs="Times New Roman"/>
      <w:sz w:val="32"/>
    </w:rPr>
  </w:style>
  <w:style w:type="paragraph" w:customStyle="1" w:styleId="29">
    <w:name w:val="_Style 2"/>
    <w:basedOn w:val="1"/>
    <w:qFormat/>
    <w:uiPriority w:val="0"/>
    <w:pPr>
      <w:ind w:firstLine="420" w:firstLineChars="200"/>
    </w:pPr>
    <w:rPr>
      <w:rFonts w:ascii="等线" w:hAnsi="等线" w:eastAsia="等线" w:cs="Times New Roman"/>
      <w:sz w:val="32"/>
    </w:rPr>
  </w:style>
  <w:style w:type="paragraph" w:customStyle="1" w:styleId="30">
    <w:name w:val="列出段落2"/>
    <w:basedOn w:val="1"/>
    <w:qFormat/>
    <w:uiPriority w:val="0"/>
    <w:pPr>
      <w:ind w:firstLine="420" w:firstLineChars="200"/>
    </w:pPr>
    <w:rPr>
      <w:rFonts w:ascii="等线" w:hAnsi="等线" w:eastAsia="等线" w:cs="Times New Roman"/>
      <w:sz w:val="32"/>
    </w:rPr>
  </w:style>
  <w:style w:type="character" w:customStyle="1" w:styleId="31">
    <w:name w:val="font121"/>
    <w:basedOn w:val="10"/>
    <w:qFormat/>
    <w:uiPriority w:val="0"/>
    <w:rPr>
      <w:rFonts w:hint="eastAsia" w:ascii="方正仿宋_GBK" w:hAnsi="方正仿宋_GBK" w:eastAsia="方正仿宋_GBK" w:cs="方正仿宋_GBK"/>
      <w:color w:val="000000"/>
      <w:sz w:val="24"/>
      <w:szCs w:val="24"/>
      <w:u w:val="single"/>
    </w:rPr>
  </w:style>
  <w:style w:type="character" w:customStyle="1" w:styleId="32">
    <w:name w:val="font101"/>
    <w:basedOn w:val="10"/>
    <w:qFormat/>
    <w:uiPriority w:val="0"/>
    <w:rPr>
      <w:rFonts w:hint="eastAsia" w:ascii="方正仿宋_GBK" w:hAnsi="方正仿宋_GBK" w:eastAsia="方正仿宋_GBK" w:cs="方正仿宋_GBK"/>
      <w:color w:val="000000"/>
      <w:sz w:val="24"/>
      <w:szCs w:val="24"/>
      <w:u w:val="single"/>
    </w:rPr>
  </w:style>
  <w:style w:type="character" w:customStyle="1" w:styleId="33">
    <w:name w:val="font01"/>
    <w:basedOn w:val="10"/>
    <w:qFormat/>
    <w:uiPriority w:val="0"/>
    <w:rPr>
      <w:rFonts w:hint="eastAsia" w:ascii="方正仿宋_GBK" w:hAnsi="方正仿宋_GBK" w:eastAsia="方正仿宋_GBK" w:cs="方正仿宋_GBK"/>
      <w:color w:val="000000"/>
      <w:sz w:val="24"/>
      <w:szCs w:val="24"/>
      <w:u w:val="single"/>
    </w:rPr>
  </w:style>
  <w:style w:type="character" w:customStyle="1" w:styleId="34">
    <w:name w:val="font112"/>
    <w:basedOn w:val="10"/>
    <w:qFormat/>
    <w:uiPriority w:val="0"/>
    <w:rPr>
      <w:rFonts w:hint="default" w:ascii="Times New Roman" w:hAnsi="Times New Roman" w:cs="Times New Roman"/>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4</Pages>
  <Words>768</Words>
  <Characters>4378</Characters>
  <Lines>36</Lines>
  <Paragraphs>10</Paragraphs>
  <TotalTime>3</TotalTime>
  <ScaleCrop>false</ScaleCrop>
  <LinksUpToDate>false</LinksUpToDate>
  <CharactersWithSpaces>5136</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2020-10-27T22:24:00Z</dcterms:created>
  <dc:creator>邓芳®</dc:creator>
  <cp:lastModifiedBy>kylin</cp:lastModifiedBy>
  <cp:lastPrinted>2020-11-03T23:01:00Z</cp:lastPrinted>
  <dcterms:modified xsi:type="dcterms:W3CDTF">2024-01-03T10:43:57Z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396155982_cloud</vt:lpwstr>
  </property>
</Properties>
</file>