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0" w:after="10" w:line="240" w:lineRule="auto"/>
        <w:jc w:val="center"/>
        <w:rPr>
          <w:rFonts w:ascii="Times New Roman" w:hAnsi="Times New Roman" w:eastAsia="方正小标宋_GBK" w:cs="Times New Roman"/>
          <w:b w:val="0"/>
          <w:bCs w:val="0"/>
        </w:rPr>
      </w:pPr>
      <w:bookmarkStart w:id="0" w:name="_Toc31309_WPSOffice_Level1"/>
      <w:bookmarkStart w:id="1" w:name="_Toc24724706"/>
      <w:bookmarkStart w:id="2" w:name="_GoBack"/>
      <w:r>
        <w:rPr>
          <w:rFonts w:ascii="Times New Roman" w:hAnsi="Times New Roman" w:eastAsia="方正小标宋_GBK" w:cs="Times New Roman"/>
          <w:b w:val="0"/>
          <w:bCs w:val="0"/>
        </w:rPr>
        <w:t>财政预决算领域政务公开标准目录</w:t>
      </w:r>
      <w:bookmarkEnd w:id="0"/>
      <w:bookmarkEnd w:id="1"/>
    </w:p>
    <w:bookmarkEnd w:id="2"/>
    <w:tbl>
      <w:tblPr>
        <w:tblStyle w:val="8"/>
        <w:tblW w:w="145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640"/>
        <w:gridCol w:w="640"/>
        <w:gridCol w:w="5308"/>
        <w:gridCol w:w="2"/>
        <w:gridCol w:w="971"/>
        <w:gridCol w:w="7"/>
        <w:gridCol w:w="720"/>
        <w:gridCol w:w="954"/>
        <w:gridCol w:w="1100"/>
        <w:gridCol w:w="829"/>
        <w:gridCol w:w="614"/>
        <w:gridCol w:w="543"/>
        <w:gridCol w:w="628"/>
        <w:gridCol w:w="481"/>
        <w:gridCol w:w="550"/>
        <w:gridCol w:w="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tblHeader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5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公开内容（要素）及要求</w:t>
            </w:r>
          </w:p>
        </w:tc>
        <w:tc>
          <w:tcPr>
            <w:tcW w:w="9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Header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</w:t>
            </w:r>
          </w:p>
        </w:tc>
        <w:tc>
          <w:tcPr>
            <w:tcW w:w="5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群体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</w:t>
            </w:r>
          </w:p>
        </w:tc>
        <w:tc>
          <w:tcPr>
            <w:tcW w:w="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</w:t>
            </w:r>
            <w:r>
              <w:rPr>
                <w:rFonts w:hint="eastAsia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4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</w:t>
            </w: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区级各部门预算在区财政局批复后20日内向社会公开。乡镇街道预算在本级人民代表大会批准预算草案后20日内向社会公开。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区级各部门、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                                                                                                                                                                                                    □便民服务站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53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0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42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37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专项预算的绩效目标等情况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1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2" w:hRule="atLeast"/>
        </w:trPr>
        <w:tc>
          <w:tcPr>
            <w:tcW w:w="5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决算</w:t>
            </w: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9"/>
                <w:rFonts w:hint="default" w:ascii="Times New Roman" w:hAnsi="Times New Roman" w:eastAsia="方正仿宋_GBK" w:cs="Times New Roman"/>
                <w:sz w:val="18"/>
                <w:szCs w:val="18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《中华人民共和国预算法》、《重庆市预算审查监督条例》、《重庆市预决算信息公开管理办法》、《地方预决算公开操作规程》（财预〔2016〕143号）等法律法规和文件规定</w:t>
            </w:r>
          </w:p>
        </w:tc>
        <w:tc>
          <w:tcPr>
            <w:tcW w:w="7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区级各部门决算在区财政局批复后20日内向社会公开。乡镇街道决算在本级人民代表大会批准决算草案后20日内向社会公开。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区级各部门、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金洞乡人民政府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■政府网站    □政府公报                                                                                                                                                                                                                □两微一端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□便民服务站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（电子屏）                                                                                                                                                                                          □精准推送</w:t>
            </w:r>
          </w:p>
        </w:tc>
        <w:tc>
          <w:tcPr>
            <w:tcW w:w="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6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93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25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022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38" w:hRule="atLeast"/>
        </w:trPr>
        <w:tc>
          <w:tcPr>
            <w:tcW w:w="5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没有数据的表格应当列出空表并说明。</w:t>
            </w:r>
          </w:p>
        </w:tc>
        <w:tc>
          <w:tcPr>
            <w:tcW w:w="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FreeSans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Sans Mono CJK JP Regular">
    <w:altName w:val="DejaVu Math TeX Gyr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24765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95pt;height:144pt;width:144pt;mso-position-horizontal:outside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GJv7vNQAAAAGAQAADwAAAAAAAAABACAAAAA4AAAAZHJzL2Rvd25yZXYu&#10;eG1sUEsBAhQAFAAAAAgAh07iQDKHu5giAgAANw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7392"/>
    <w:rsid w:val="0012671A"/>
    <w:rsid w:val="0018268C"/>
    <w:rsid w:val="002B4CF9"/>
    <w:rsid w:val="00491CE1"/>
    <w:rsid w:val="0057059D"/>
    <w:rsid w:val="00EA2D53"/>
    <w:rsid w:val="020767B8"/>
    <w:rsid w:val="03B93D2E"/>
    <w:rsid w:val="03E809C2"/>
    <w:rsid w:val="06F0052A"/>
    <w:rsid w:val="083A4306"/>
    <w:rsid w:val="097266A2"/>
    <w:rsid w:val="0A686391"/>
    <w:rsid w:val="0A9E5A6C"/>
    <w:rsid w:val="0AEE5200"/>
    <w:rsid w:val="0F390FB9"/>
    <w:rsid w:val="0F731A26"/>
    <w:rsid w:val="106C46C1"/>
    <w:rsid w:val="11EB4492"/>
    <w:rsid w:val="13221F92"/>
    <w:rsid w:val="138243DE"/>
    <w:rsid w:val="140C7290"/>
    <w:rsid w:val="140D49B0"/>
    <w:rsid w:val="188622CF"/>
    <w:rsid w:val="19BF1790"/>
    <w:rsid w:val="19C14A13"/>
    <w:rsid w:val="1D1204CA"/>
    <w:rsid w:val="1DCE0D9F"/>
    <w:rsid w:val="1E3A6952"/>
    <w:rsid w:val="1E567A46"/>
    <w:rsid w:val="22905CC1"/>
    <w:rsid w:val="22BF3543"/>
    <w:rsid w:val="23A8177D"/>
    <w:rsid w:val="24A3296B"/>
    <w:rsid w:val="28086B08"/>
    <w:rsid w:val="28EF64BB"/>
    <w:rsid w:val="29D71D48"/>
    <w:rsid w:val="2A291C7F"/>
    <w:rsid w:val="2F505D57"/>
    <w:rsid w:val="3032109F"/>
    <w:rsid w:val="30F639D2"/>
    <w:rsid w:val="318B1096"/>
    <w:rsid w:val="32C43FF6"/>
    <w:rsid w:val="32C748E8"/>
    <w:rsid w:val="32E032B5"/>
    <w:rsid w:val="34740D8F"/>
    <w:rsid w:val="348C3D26"/>
    <w:rsid w:val="36AF7C0B"/>
    <w:rsid w:val="38220BF6"/>
    <w:rsid w:val="3FBA12C7"/>
    <w:rsid w:val="41127FD8"/>
    <w:rsid w:val="416A2105"/>
    <w:rsid w:val="42CC6B5F"/>
    <w:rsid w:val="4427650B"/>
    <w:rsid w:val="474F4CCA"/>
    <w:rsid w:val="47F114F2"/>
    <w:rsid w:val="480B4B68"/>
    <w:rsid w:val="4963168D"/>
    <w:rsid w:val="49C816C4"/>
    <w:rsid w:val="4A672825"/>
    <w:rsid w:val="4AC47B25"/>
    <w:rsid w:val="52354C1D"/>
    <w:rsid w:val="536C3FF1"/>
    <w:rsid w:val="544A31CA"/>
    <w:rsid w:val="54B22F77"/>
    <w:rsid w:val="58E653A2"/>
    <w:rsid w:val="5B100E77"/>
    <w:rsid w:val="5CB21547"/>
    <w:rsid w:val="5DBF40E0"/>
    <w:rsid w:val="616D6038"/>
    <w:rsid w:val="65A90373"/>
    <w:rsid w:val="67D2434B"/>
    <w:rsid w:val="6B1B7B0F"/>
    <w:rsid w:val="6BA17D0F"/>
    <w:rsid w:val="6C4D719D"/>
    <w:rsid w:val="6DBE38FF"/>
    <w:rsid w:val="6FA47997"/>
    <w:rsid w:val="707571EC"/>
    <w:rsid w:val="71B33385"/>
    <w:rsid w:val="71E77392"/>
    <w:rsid w:val="73FE1EFA"/>
    <w:rsid w:val="75D37155"/>
    <w:rsid w:val="76156136"/>
    <w:rsid w:val="77154073"/>
    <w:rsid w:val="77585E04"/>
    <w:rsid w:val="79AC7F4F"/>
    <w:rsid w:val="79F16FEA"/>
    <w:rsid w:val="7B1F0256"/>
    <w:rsid w:val="7BAD364C"/>
    <w:rsid w:val="7D2D0CC1"/>
    <w:rsid w:val="7D554062"/>
    <w:rsid w:val="7DAC230B"/>
    <w:rsid w:val="7FD76F59"/>
    <w:rsid w:val="7FEC2F11"/>
    <w:rsid w:val="7FF606C0"/>
    <w:rsid w:val="FEADB7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link w:val="11"/>
    <w:semiHidden/>
    <w:unhideWhenUsed/>
    <w:qFormat/>
    <w:uiPriority w:val="1"/>
    <w:rPr>
      <w:rFonts w:eastAsia="宋体"/>
      <w:sz w:val="21"/>
      <w:szCs w:val="24"/>
    </w:rPr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  <w:rPr>
      <w:rFonts w:eastAsia="宋体" w:cs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 Char"/>
    <w:basedOn w:val="1"/>
    <w:link w:val="10"/>
    <w:semiHidden/>
    <w:qFormat/>
    <w:uiPriority w:val="0"/>
    <w:rPr>
      <w:rFonts w:eastAsia="宋体"/>
      <w:sz w:val="21"/>
      <w:szCs w:val="24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singl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basedOn w:val="10"/>
    <w:qFormat/>
    <w:uiPriority w:val="0"/>
    <w:rPr>
      <w:color w:val="0000FF"/>
      <w:u w:val="single"/>
    </w:rPr>
  </w:style>
  <w:style w:type="paragraph" w:customStyle="1" w:styleId="16">
    <w:name w:val="Char"/>
    <w:basedOn w:val="1"/>
    <w:semiHidden/>
    <w:qFormat/>
    <w:uiPriority w:val="0"/>
    <w:rPr>
      <w:rFonts w:eastAsia="宋体"/>
    </w:rPr>
  </w:style>
  <w:style w:type="paragraph" w:customStyle="1" w:styleId="1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8">
    <w:name w:val="Table Paragraph"/>
    <w:basedOn w:val="1"/>
    <w:qFormat/>
    <w:uiPriority w:val="99"/>
    <w:pPr>
      <w:autoSpaceDE w:val="0"/>
      <w:autoSpaceDN w:val="0"/>
      <w:jc w:val="left"/>
    </w:pPr>
    <w:rPr>
      <w:rFonts w:ascii="Noto Sans Mono CJK JP Regular" w:hAnsi="Noto Sans Mono CJK JP Regular" w:eastAsia="等线" w:cs="Noto Sans Mono CJK JP Regular"/>
      <w:sz w:val="22"/>
      <w:szCs w:val="22"/>
      <w:lang w:eastAsia="en-US"/>
    </w:rPr>
  </w:style>
  <w:style w:type="character" w:customStyle="1" w:styleId="19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71"/>
    <w:basedOn w:val="10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2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3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4">
    <w:name w:val="font9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25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8">
    <w:name w:val="font12"/>
    <w:basedOn w:val="10"/>
    <w:qFormat/>
    <w:uiPriority w:val="0"/>
    <w:rPr>
      <w:rFonts w:hint="eastAsia" w:ascii="宋体" w:hAnsi="宋体" w:eastAsia="宋体" w:cs="宋体"/>
      <w:color w:val="FF0000"/>
      <w:sz w:val="18"/>
      <w:szCs w:val="18"/>
      <w:u w:val="single"/>
    </w:rPr>
  </w:style>
  <w:style w:type="paragraph" w:customStyle="1" w:styleId="29">
    <w:name w:val="_Style 4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0">
    <w:name w:val="_Style 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paragraph" w:customStyle="1" w:styleId="31">
    <w:name w:val="列出段落2"/>
    <w:basedOn w:val="1"/>
    <w:qFormat/>
    <w:uiPriority w:val="0"/>
    <w:pPr>
      <w:ind w:firstLine="420" w:firstLineChars="200"/>
    </w:pPr>
    <w:rPr>
      <w:rFonts w:ascii="等线" w:hAnsi="等线" w:eastAsia="等线" w:cs="Times New Roman"/>
      <w:sz w:val="32"/>
    </w:rPr>
  </w:style>
  <w:style w:type="character" w:customStyle="1" w:styleId="32">
    <w:name w:val="font12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3">
    <w:name w:val="font1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4">
    <w:name w:val="font0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35">
    <w:name w:val="font112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599</Words>
  <Characters>3419</Characters>
  <Lines>28</Lines>
  <Paragraphs>8</Paragraphs>
  <TotalTime>2</TotalTime>
  <ScaleCrop>false</ScaleCrop>
  <LinksUpToDate>false</LinksUpToDate>
  <CharactersWithSpaces>4010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2020-10-27T14:24:00Z</dcterms:created>
  <dc:creator>邓芳®</dc:creator>
  <cp:lastModifiedBy>kylin</cp:lastModifiedBy>
  <cp:lastPrinted>2020-11-03T15:01:00Z</cp:lastPrinted>
  <dcterms:modified xsi:type="dcterms:W3CDTF">2024-01-03T15:36:33Z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396155982_cloud</vt:lpwstr>
  </property>
</Properties>
</file>