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 w:after="10" w:line="240" w:lineRule="auto"/>
        <w:jc w:val="center"/>
        <w:rPr>
          <w:rFonts w:ascii="Times New Roman" w:hAnsi="Times New Roman" w:eastAsia="方正小标宋_GBK" w:cs="Times New Roman"/>
          <w:b w:val="0"/>
          <w:bCs w:val="0"/>
        </w:rPr>
      </w:pPr>
      <w:bookmarkStart w:id="0" w:name="_Toc24043_WPSOffice_Level1"/>
      <w:bookmarkStart w:id="1" w:name="_Toc24724716"/>
      <w:bookmarkStart w:id="2" w:name="_GoBack"/>
      <w:r>
        <w:rPr>
          <w:rFonts w:ascii="Times New Roman" w:hAnsi="Times New Roman" w:eastAsia="方正小标宋_GBK" w:cs="Times New Roman"/>
          <w:b w:val="0"/>
          <w:bCs w:val="0"/>
        </w:rPr>
        <w:t>公共法律服务领域政务公开标准目录</w:t>
      </w:r>
      <w:bookmarkEnd w:id="0"/>
      <w:bookmarkEnd w:id="1"/>
    </w:p>
    <w:bookmarkEnd w:id="2"/>
    <w:tbl>
      <w:tblPr>
        <w:tblStyle w:val="8"/>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65"/>
        <w:gridCol w:w="1277"/>
        <w:gridCol w:w="1161"/>
        <w:gridCol w:w="2804"/>
        <w:gridCol w:w="861"/>
        <w:gridCol w:w="848"/>
        <w:gridCol w:w="3195"/>
        <w:gridCol w:w="666"/>
        <w:gridCol w:w="600"/>
        <w:gridCol w:w="587"/>
        <w:gridCol w:w="691"/>
        <w:gridCol w:w="67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0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序号</w:t>
            </w:r>
          </w:p>
        </w:tc>
        <w:tc>
          <w:tcPr>
            <w:tcW w:w="194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公开事项</w:t>
            </w:r>
          </w:p>
        </w:tc>
        <w:tc>
          <w:tcPr>
            <w:tcW w:w="11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公开内容</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（要素）</w:t>
            </w:r>
          </w:p>
        </w:tc>
        <w:tc>
          <w:tcPr>
            <w:tcW w:w="280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公开依据</w:t>
            </w:r>
          </w:p>
        </w:tc>
        <w:tc>
          <w:tcPr>
            <w:tcW w:w="8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时限</w:t>
            </w:r>
          </w:p>
        </w:tc>
        <w:tc>
          <w:tcPr>
            <w:tcW w:w="8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319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公开渠道</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和载体</w:t>
            </w:r>
          </w:p>
        </w:tc>
        <w:tc>
          <w:tcPr>
            <w:tcW w:w="126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公开对象</w:t>
            </w:r>
          </w:p>
        </w:tc>
        <w:tc>
          <w:tcPr>
            <w:tcW w:w="127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公开方式</w:t>
            </w:r>
          </w:p>
        </w:tc>
        <w:tc>
          <w:tcPr>
            <w:tcW w:w="1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40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both"/>
              <w:rPr>
                <w:rFonts w:hint="default" w:ascii="Times New Roman" w:hAnsi="Times New Roman" w:eastAsia="方正黑体_GBK" w:cs="Times New Roman"/>
                <w:sz w:val="18"/>
                <w:szCs w:val="18"/>
              </w:rPr>
            </w:pP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二级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1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280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319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6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社会</w:t>
            </w:r>
          </w:p>
        </w:tc>
        <w:tc>
          <w:tcPr>
            <w:tcW w:w="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特定</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群体</w:t>
            </w:r>
          </w:p>
        </w:tc>
        <w:tc>
          <w:tcPr>
            <w:tcW w:w="5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tc>
        <w:tc>
          <w:tcPr>
            <w:tcW w:w="6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依申</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请公开</w:t>
            </w:r>
          </w:p>
        </w:tc>
        <w:tc>
          <w:tcPr>
            <w:tcW w:w="6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区</w:t>
            </w:r>
            <w:r>
              <w:rPr>
                <w:rFonts w:hint="default" w:ascii="Times New Roman" w:hAnsi="Times New Roman" w:eastAsia="方正黑体_GBK" w:cs="Times New Roman"/>
                <w:sz w:val="18"/>
                <w:szCs w:val="18"/>
              </w:rPr>
              <w:t>级</w:t>
            </w:r>
          </w:p>
        </w:tc>
        <w:tc>
          <w:tcPr>
            <w:tcW w:w="6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乡</w:t>
            </w:r>
            <w:r>
              <w:rPr>
                <w:rFonts w:hint="default" w:ascii="Times New Roman" w:hAnsi="Times New Roman" w:eastAsia="方正黑体_GBK" w:cs="Times New Roman"/>
                <w:sz w:val="18"/>
                <w:szCs w:val="18"/>
                <w:lang w:eastAsia="zh-CN"/>
              </w:rPr>
              <w:t>镇</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行政给付</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人民调解员补贴发放</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依据、条件、程序以及发放情况</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《中华人民共和国人民调解法》</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《中华人民共和国政府信息公开条例》</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区司法局、</w:t>
            </w:r>
            <w:r>
              <w:rPr>
                <w:rFonts w:hint="eastAsia" w:ascii="Times New Roman" w:hAnsi="Times New Roman" w:eastAsia="方正仿宋_GBK" w:cs="Times New Roman"/>
                <w:kern w:val="0"/>
                <w:sz w:val="18"/>
                <w:szCs w:val="18"/>
                <w:lang w:val="en-US" w:eastAsia="zh-CN" w:bidi="ar"/>
              </w:rPr>
              <w:t>金洞乡人民政府</w:t>
            </w:r>
          </w:p>
        </w:tc>
        <w:tc>
          <w:tcPr>
            <w:tcW w:w="31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咨询服务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公共法律服务实体平台、热线平台、网络平台咨询服务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lef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公共法律服务实体、热线、网络平台法律咨询服务指南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w:t>
            </w:r>
            <w:r>
              <w:rPr>
                <w:rFonts w:hint="eastAsia" w:ascii="Times New Roman" w:hAnsi="Times New Roman" w:eastAsia="方正仿宋_GBK" w:cs="Times New Roman"/>
                <w:kern w:val="0"/>
                <w:sz w:val="18"/>
                <w:szCs w:val="18"/>
                <w:lang w:val="en-US" w:eastAsia="zh-CN" w:bidi="ar"/>
              </w:rPr>
              <w:t>金洞乡人民政府</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查询服务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公共法律服务实体、热线、网络平台信息</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公共法律服务平台建设相关规划，实体场所地址、热线电话、中国法网和重庆法网网址，公共法律服务事项清单及服务指南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w:t>
            </w:r>
            <w:r>
              <w:rPr>
                <w:rFonts w:hint="eastAsia" w:ascii="Times New Roman" w:hAnsi="Times New Roman" w:eastAsia="方正仿宋_GBK" w:cs="Times New Roman"/>
                <w:kern w:val="0"/>
                <w:sz w:val="18"/>
                <w:szCs w:val="18"/>
                <w:lang w:val="en-US" w:eastAsia="zh-CN" w:bidi="ar"/>
              </w:rPr>
              <w:t>金洞乡人民政府</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66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其他公共服务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法律知识普及服务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法律法规资讯、普法动态资讯、普法讲师团信息等</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w:t>
            </w:r>
            <w:r>
              <w:rPr>
                <w:rFonts w:hint="eastAsia" w:ascii="Times New Roman" w:hAnsi="Times New Roman" w:eastAsia="方正仿宋_GBK" w:cs="Times New Roman"/>
                <w:kern w:val="0"/>
                <w:sz w:val="18"/>
                <w:szCs w:val="18"/>
                <w:lang w:val="en-US" w:eastAsia="zh-CN" w:bidi="ar"/>
              </w:rPr>
              <w:t>金洞乡人民政府</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665" w:type="dxa"/>
            <w:vMerge w:val="continue"/>
            <w:noWrap w:val="0"/>
            <w:vAlign w:val="center"/>
          </w:tcPr>
          <w:p>
            <w:pPr>
              <w:pStyle w:val="2"/>
              <w:keepNext w:val="0"/>
              <w:keepLines w:val="0"/>
              <w:pageBreakBefore w:val="0"/>
              <w:kinsoku/>
              <w:wordWrap/>
              <w:topLinePunct w:val="0"/>
              <w:autoSpaceDE/>
              <w:autoSpaceDN/>
              <w:bidi w:val="0"/>
              <w:adjustRightInd/>
              <w:spacing w:line="200" w:lineRule="exact"/>
              <w:jc w:val="center"/>
              <w:rPr>
                <w:rFonts w:hint="default" w:ascii="Times New Roman" w:hAnsi="Times New Roman" w:eastAsia="方正仿宋_GBK" w:cs="Times New Roman"/>
                <w:sz w:val="18"/>
                <w:szCs w:val="18"/>
              </w:rPr>
            </w:pP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推广法治文化服务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辖区内法治文化阵地信息，法治文化作品、产品</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区县司法局、</w:t>
            </w:r>
            <w:r>
              <w:rPr>
                <w:rFonts w:hint="eastAsia" w:ascii="Times New Roman" w:hAnsi="Times New Roman" w:eastAsia="方正仿宋_GBK" w:cs="Times New Roman"/>
                <w:kern w:val="0"/>
                <w:sz w:val="18"/>
                <w:szCs w:val="18"/>
                <w:lang w:val="en-US" w:eastAsia="zh-CN" w:bidi="ar"/>
              </w:rPr>
              <w:t>金洞乡人民政府</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bl>
    <w:p>
      <w:pPr>
        <w:rPr>
          <w:rFonts w:ascii="Times New Roman" w:hAnsi="Times New Roman" w:eastAsia="方正仿宋_GBK" w:cs="Times New Roman"/>
          <w:sz w:val="32"/>
          <w:szCs w:val="32"/>
        </w:rPr>
      </w:pPr>
    </w:p>
    <w:sectPr>
      <w:headerReference r:id="rId3" w:type="default"/>
      <w:footerReference r:id="rId4" w:type="default"/>
      <w:pgSz w:w="16838" w:h="11906" w:orient="landscape"/>
      <w:pgMar w:top="1134" w:right="1134" w:bottom="113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Moe7mCICAAA3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Jv7vNQAAAAGAQAADwAAAAAAAAABACAAAAA4AAAAZHJzL2Rvd25yZXYu&#10;eG1sUEsBAhQAFAAAAAgAh07iQDKHu5giAgAANwQAAA4AAAAAAAAAAQAgAAAAOQEAAGRycy9lMm9E&#10;b2MueG1sUEsFBgAAAAAGAAYAWQEAAM0FAAAAAA==&#10;">
              <v:fill on="f" focussize="0,0"/>
              <v:stroke on="f" weight="0.5pt"/>
              <v:imagedata o:title=""/>
              <o:lock v:ext="edit" aspectratio="f"/>
              <v:textbox inset="0mm,0mm,0mm,0mm" style="mso-fit-shape-to-text:t;">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7392"/>
    <w:rsid w:val="00227B44"/>
    <w:rsid w:val="00530A5A"/>
    <w:rsid w:val="00DD437E"/>
    <w:rsid w:val="00FD0370"/>
    <w:rsid w:val="020767B8"/>
    <w:rsid w:val="03E809C2"/>
    <w:rsid w:val="053742F8"/>
    <w:rsid w:val="06DA37D1"/>
    <w:rsid w:val="06F0052A"/>
    <w:rsid w:val="07736519"/>
    <w:rsid w:val="083A4306"/>
    <w:rsid w:val="097266A2"/>
    <w:rsid w:val="0A9E5A6C"/>
    <w:rsid w:val="0AEE5200"/>
    <w:rsid w:val="0F390FB9"/>
    <w:rsid w:val="106C46C1"/>
    <w:rsid w:val="11EB4492"/>
    <w:rsid w:val="13221F92"/>
    <w:rsid w:val="138243DE"/>
    <w:rsid w:val="140C7290"/>
    <w:rsid w:val="140D49B0"/>
    <w:rsid w:val="188622CF"/>
    <w:rsid w:val="19BF1790"/>
    <w:rsid w:val="19C14A13"/>
    <w:rsid w:val="1BFB5968"/>
    <w:rsid w:val="1CEF0E4D"/>
    <w:rsid w:val="1D1204CA"/>
    <w:rsid w:val="1DA24AB7"/>
    <w:rsid w:val="1DCE0D9F"/>
    <w:rsid w:val="1E3A6952"/>
    <w:rsid w:val="1E567A46"/>
    <w:rsid w:val="22905CC1"/>
    <w:rsid w:val="22BF3543"/>
    <w:rsid w:val="23A8177D"/>
    <w:rsid w:val="24A3296B"/>
    <w:rsid w:val="28086B08"/>
    <w:rsid w:val="28EF64BB"/>
    <w:rsid w:val="29D71D48"/>
    <w:rsid w:val="2F505D57"/>
    <w:rsid w:val="3032109F"/>
    <w:rsid w:val="30F639D2"/>
    <w:rsid w:val="318B1096"/>
    <w:rsid w:val="32C43FF6"/>
    <w:rsid w:val="32C748E8"/>
    <w:rsid w:val="32E032B5"/>
    <w:rsid w:val="34740D8F"/>
    <w:rsid w:val="348C3D26"/>
    <w:rsid w:val="34B84027"/>
    <w:rsid w:val="35204CB8"/>
    <w:rsid w:val="36AF7C0B"/>
    <w:rsid w:val="38220BF6"/>
    <w:rsid w:val="3D843A12"/>
    <w:rsid w:val="3DBE6853"/>
    <w:rsid w:val="3FBA12C7"/>
    <w:rsid w:val="41127FD8"/>
    <w:rsid w:val="416A2105"/>
    <w:rsid w:val="4427650B"/>
    <w:rsid w:val="474F4CCA"/>
    <w:rsid w:val="47F114F2"/>
    <w:rsid w:val="480B4B68"/>
    <w:rsid w:val="4963168D"/>
    <w:rsid w:val="49C816C4"/>
    <w:rsid w:val="4A672825"/>
    <w:rsid w:val="4AC47B25"/>
    <w:rsid w:val="52354C1D"/>
    <w:rsid w:val="536C3FF1"/>
    <w:rsid w:val="544A31CA"/>
    <w:rsid w:val="54B22F77"/>
    <w:rsid w:val="580C07C0"/>
    <w:rsid w:val="58E653A2"/>
    <w:rsid w:val="5B100E77"/>
    <w:rsid w:val="5CB21547"/>
    <w:rsid w:val="5DBF40E0"/>
    <w:rsid w:val="5EAA7DC6"/>
    <w:rsid w:val="5EF56028"/>
    <w:rsid w:val="616D6038"/>
    <w:rsid w:val="65A90373"/>
    <w:rsid w:val="67D2434B"/>
    <w:rsid w:val="6B1B7B0F"/>
    <w:rsid w:val="6C4D719D"/>
    <w:rsid w:val="6D601B7B"/>
    <w:rsid w:val="6DBE38FF"/>
    <w:rsid w:val="6FA47997"/>
    <w:rsid w:val="707571EC"/>
    <w:rsid w:val="71B33385"/>
    <w:rsid w:val="71E77392"/>
    <w:rsid w:val="75D37155"/>
    <w:rsid w:val="76156136"/>
    <w:rsid w:val="77154073"/>
    <w:rsid w:val="77585E04"/>
    <w:rsid w:val="79AC7F4F"/>
    <w:rsid w:val="79F16FEA"/>
    <w:rsid w:val="7B1F0256"/>
    <w:rsid w:val="7BAD364C"/>
    <w:rsid w:val="7CEE4B2A"/>
    <w:rsid w:val="7D2D0CC1"/>
    <w:rsid w:val="7D554062"/>
    <w:rsid w:val="7DAC230B"/>
    <w:rsid w:val="7FD76F59"/>
    <w:rsid w:val="7FEC2F11"/>
    <w:rsid w:val="7FF60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Emphasis"/>
    <w:qFormat/>
    <w:uiPriority w:val="0"/>
    <w:rPr>
      <w:i/>
      <w:iCs/>
    </w:rPr>
  </w:style>
  <w:style w:type="character" w:styleId="14">
    <w:name w:val="Hyperlink"/>
    <w:basedOn w:val="10"/>
    <w:qFormat/>
    <w:uiPriority w:val="0"/>
    <w:rPr>
      <w:color w:val="0000FF"/>
      <w:u w:val="single"/>
    </w:rPr>
  </w:style>
  <w:style w:type="paragraph" w:customStyle="1" w:styleId="15">
    <w:name w:val="Char"/>
    <w:basedOn w:val="1"/>
    <w:semiHidden/>
    <w:qFormat/>
    <w:uiPriority w:val="0"/>
    <w:rPr>
      <w:rFonts w:eastAsia="宋体"/>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character" w:customStyle="1" w:styleId="18">
    <w:name w:val="font11"/>
    <w:basedOn w:val="10"/>
    <w:qFormat/>
    <w:uiPriority w:val="0"/>
    <w:rPr>
      <w:rFonts w:hint="eastAsia" w:ascii="宋体" w:hAnsi="宋体" w:eastAsia="宋体" w:cs="宋体"/>
      <w:color w:val="000000"/>
      <w:sz w:val="22"/>
      <w:szCs w:val="22"/>
      <w:u w:val="none"/>
    </w:rPr>
  </w:style>
  <w:style w:type="character" w:customStyle="1" w:styleId="19">
    <w:name w:val="font31"/>
    <w:basedOn w:val="10"/>
    <w:qFormat/>
    <w:uiPriority w:val="0"/>
    <w:rPr>
      <w:rFonts w:hint="eastAsia" w:ascii="宋体" w:hAnsi="宋体" w:eastAsia="宋体" w:cs="宋体"/>
      <w:color w:val="000000"/>
      <w:sz w:val="18"/>
      <w:szCs w:val="18"/>
      <w:u w:val="none"/>
    </w:rPr>
  </w:style>
  <w:style w:type="character" w:customStyle="1" w:styleId="20">
    <w:name w:val="font71"/>
    <w:basedOn w:val="10"/>
    <w:qFormat/>
    <w:uiPriority w:val="0"/>
    <w:rPr>
      <w:rFonts w:ascii="方正仿宋_GBK" w:hAnsi="方正仿宋_GBK" w:eastAsia="方正仿宋_GBK" w:cs="方正仿宋_GBK"/>
      <w:color w:val="000000"/>
      <w:sz w:val="18"/>
      <w:szCs w:val="18"/>
      <w:u w:val="none"/>
    </w:rPr>
  </w:style>
  <w:style w:type="character" w:customStyle="1" w:styleId="21">
    <w:name w:val="font41"/>
    <w:basedOn w:val="10"/>
    <w:qFormat/>
    <w:uiPriority w:val="0"/>
    <w:rPr>
      <w:rFonts w:hint="default" w:ascii="Times New Roman" w:hAnsi="Times New Roman" w:cs="Times New Roman"/>
      <w:color w:val="000000"/>
      <w:sz w:val="18"/>
      <w:szCs w:val="18"/>
      <w:u w:val="none"/>
    </w:rPr>
  </w:style>
  <w:style w:type="character" w:customStyle="1" w:styleId="22">
    <w:name w:val="font81"/>
    <w:basedOn w:val="10"/>
    <w:qFormat/>
    <w:uiPriority w:val="0"/>
    <w:rPr>
      <w:rFonts w:hint="eastAsia" w:ascii="方正仿宋_GBK" w:hAnsi="方正仿宋_GBK" w:eastAsia="方正仿宋_GBK" w:cs="方正仿宋_GBK"/>
      <w:color w:val="000000"/>
      <w:sz w:val="18"/>
      <w:szCs w:val="18"/>
      <w:u w:val="none"/>
    </w:rPr>
  </w:style>
  <w:style w:type="character" w:customStyle="1" w:styleId="23">
    <w:name w:val="font91"/>
    <w:basedOn w:val="10"/>
    <w:qFormat/>
    <w:uiPriority w:val="0"/>
    <w:rPr>
      <w:rFonts w:hint="eastAsia" w:ascii="方正仿宋_GBK" w:hAnsi="方正仿宋_GBK" w:eastAsia="方正仿宋_GBK" w:cs="方正仿宋_GBK"/>
      <w:color w:val="000000"/>
      <w:sz w:val="18"/>
      <w:szCs w:val="18"/>
      <w:u w:val="none"/>
    </w:rPr>
  </w:style>
  <w:style w:type="character" w:customStyle="1" w:styleId="24">
    <w:name w:val="font51"/>
    <w:basedOn w:val="10"/>
    <w:qFormat/>
    <w:uiPriority w:val="0"/>
    <w:rPr>
      <w:rFonts w:hint="default" w:ascii="Times New Roman" w:hAnsi="Times New Roman" w:cs="Times New Roman"/>
      <w:color w:val="000000"/>
      <w:sz w:val="18"/>
      <w:szCs w:val="18"/>
      <w:u w:val="none"/>
    </w:rPr>
  </w:style>
  <w:style w:type="character" w:customStyle="1" w:styleId="25">
    <w:name w:val="font61"/>
    <w:basedOn w:val="10"/>
    <w:qFormat/>
    <w:uiPriority w:val="0"/>
    <w:rPr>
      <w:rFonts w:hint="eastAsia" w:ascii="宋体" w:hAnsi="宋体" w:eastAsia="宋体" w:cs="宋体"/>
      <w:color w:val="000000"/>
      <w:sz w:val="18"/>
      <w:szCs w:val="18"/>
      <w:u w:val="none"/>
    </w:rPr>
  </w:style>
  <w:style w:type="character" w:customStyle="1" w:styleId="26">
    <w:name w:val="font21"/>
    <w:basedOn w:val="10"/>
    <w:qFormat/>
    <w:uiPriority w:val="0"/>
    <w:rPr>
      <w:rFonts w:hint="eastAsia" w:ascii="宋体" w:hAnsi="宋体" w:eastAsia="宋体" w:cs="宋体"/>
      <w:color w:val="000000"/>
      <w:sz w:val="18"/>
      <w:szCs w:val="18"/>
      <w:u w:val="single"/>
    </w:rPr>
  </w:style>
  <w:style w:type="character" w:customStyle="1" w:styleId="27">
    <w:name w:val="font12"/>
    <w:basedOn w:val="10"/>
    <w:qFormat/>
    <w:uiPriority w:val="0"/>
    <w:rPr>
      <w:rFonts w:hint="eastAsia" w:ascii="宋体" w:hAnsi="宋体" w:eastAsia="宋体" w:cs="宋体"/>
      <w:color w:val="FF0000"/>
      <w:sz w:val="18"/>
      <w:szCs w:val="18"/>
      <w:u w:val="single"/>
    </w:rPr>
  </w:style>
  <w:style w:type="paragraph" w:customStyle="1" w:styleId="28">
    <w:name w:val="_Style 4"/>
    <w:basedOn w:val="1"/>
    <w:qFormat/>
    <w:uiPriority w:val="0"/>
    <w:pPr>
      <w:ind w:firstLine="420" w:firstLineChars="200"/>
    </w:pPr>
    <w:rPr>
      <w:rFonts w:ascii="等线" w:hAnsi="等线" w:eastAsia="等线" w:cs="Times New Roman"/>
      <w:sz w:val="32"/>
    </w:rPr>
  </w:style>
  <w:style w:type="paragraph" w:customStyle="1" w:styleId="29">
    <w:name w:val="_Style 2"/>
    <w:basedOn w:val="1"/>
    <w:qFormat/>
    <w:uiPriority w:val="0"/>
    <w:pPr>
      <w:ind w:firstLine="420" w:firstLineChars="200"/>
    </w:pPr>
    <w:rPr>
      <w:rFonts w:ascii="等线" w:hAnsi="等线" w:eastAsia="等线" w:cs="Times New Roman"/>
      <w:sz w:val="32"/>
    </w:rPr>
  </w:style>
  <w:style w:type="paragraph" w:customStyle="1" w:styleId="30">
    <w:name w:val="列出段落2"/>
    <w:basedOn w:val="1"/>
    <w:qFormat/>
    <w:uiPriority w:val="0"/>
    <w:pPr>
      <w:ind w:firstLine="420" w:firstLineChars="200"/>
    </w:pPr>
    <w:rPr>
      <w:rFonts w:ascii="等线" w:hAnsi="等线" w:eastAsia="等线" w:cs="Times New Roman"/>
      <w:sz w:val="32"/>
    </w:rPr>
  </w:style>
  <w:style w:type="character" w:customStyle="1" w:styleId="31">
    <w:name w:val="font121"/>
    <w:basedOn w:val="10"/>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0"/>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0"/>
    <w:qFormat/>
    <w:uiPriority w:val="0"/>
    <w:rPr>
      <w:rFonts w:hint="eastAsia" w:ascii="方正仿宋_GBK" w:hAnsi="方正仿宋_GBK" w:eastAsia="方正仿宋_GBK" w:cs="方正仿宋_GBK"/>
      <w:color w:val="000000"/>
      <w:sz w:val="24"/>
      <w:szCs w:val="24"/>
      <w:u w:val="single"/>
    </w:rPr>
  </w:style>
  <w:style w:type="character" w:customStyle="1" w:styleId="34">
    <w:name w:val="font112"/>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1119</Words>
  <Characters>6379</Characters>
  <Lines>53</Lines>
  <Paragraphs>14</Paragraphs>
  <TotalTime>0</TotalTime>
  <ScaleCrop>false</ScaleCrop>
  <LinksUpToDate>false</LinksUpToDate>
  <CharactersWithSpaces>7484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2020-10-27T14:24:00Z</dcterms:created>
  <dc:creator>邓芳®</dc:creator>
  <cp:lastModifiedBy>kylin</cp:lastModifiedBy>
  <cp:lastPrinted>2020-11-03T15:01:00Z</cp:lastPrinted>
  <dcterms:modified xsi:type="dcterms:W3CDTF">2024-01-03T15:39:10Z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