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rPr>
          <w:rFonts w:ascii="Times New Roman" w:hAnsi="Times New Roman" w:eastAsia="方正小标宋_GBK" w:cs="Times New Roman"/>
          <w:b w:val="0"/>
          <w:bCs w:val="0"/>
        </w:rPr>
      </w:pPr>
      <w:bookmarkStart w:id="2" w:name="_GoBack"/>
      <w:bookmarkStart w:id="0" w:name="_Toc24724712"/>
      <w:bookmarkStart w:id="1" w:name="_Toc4603_WPSOffice_Level1"/>
      <w:r>
        <w:rPr>
          <w:rFonts w:ascii="Times New Roman" w:hAnsi="Times New Roman" w:eastAsia="方正小标宋_GBK" w:cs="Times New Roman"/>
          <w:b w:val="0"/>
          <w:bCs w:val="0"/>
        </w:rPr>
        <w:t>涉农补贴领域政务公开标准目录</w:t>
      </w:r>
      <w:bookmarkEnd w:id="0"/>
      <w:bookmarkEnd w:id="1"/>
    </w:p>
    <w:bookmarkEnd w:id="2"/>
    <w:tbl>
      <w:tblPr>
        <w:tblStyle w:val="8"/>
        <w:tblW w:w="15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51"/>
        <w:gridCol w:w="757"/>
        <w:gridCol w:w="1878"/>
        <w:gridCol w:w="2191"/>
        <w:gridCol w:w="1486"/>
        <w:gridCol w:w="872"/>
        <w:gridCol w:w="2985"/>
        <w:gridCol w:w="700"/>
        <w:gridCol w:w="600"/>
        <w:gridCol w:w="643"/>
        <w:gridCol w:w="806"/>
        <w:gridCol w:w="589"/>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序号</w:t>
            </w:r>
          </w:p>
        </w:tc>
        <w:tc>
          <w:tcPr>
            <w:tcW w:w="1408"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公开事项</w:t>
            </w:r>
          </w:p>
        </w:tc>
        <w:tc>
          <w:tcPr>
            <w:tcW w:w="1878"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lang w:val="en-US" w:eastAsia="zh-CN"/>
              </w:rPr>
            </w:pPr>
            <w:r>
              <w:rPr>
                <w:rFonts w:hint="default" w:ascii="Times New Roman" w:hAnsi="Times New Roman" w:eastAsia="方正黑体_GBK" w:cs="Times New Roman"/>
                <w:color w:val="auto"/>
                <w:kern w:val="0"/>
                <w:sz w:val="18"/>
                <w:szCs w:val="18"/>
              </w:rPr>
              <w:t>公开内容</w:t>
            </w:r>
            <w:r>
              <w:rPr>
                <w:rFonts w:hint="default" w:ascii="Times New Roman" w:hAnsi="Times New Roman" w:eastAsia="方正黑体_GBK" w:cs="Times New Roman"/>
                <w:color w:val="auto"/>
                <w:kern w:val="0"/>
                <w:sz w:val="18"/>
                <w:szCs w:val="18"/>
              </w:rPr>
              <w:br w:type="textWrapping"/>
            </w:r>
            <w:r>
              <w:rPr>
                <w:rFonts w:hint="default" w:ascii="Times New Roman" w:hAnsi="Times New Roman" w:eastAsia="方正黑体_GBK" w:cs="Times New Roman"/>
                <w:color w:val="auto"/>
                <w:kern w:val="0"/>
                <w:sz w:val="18"/>
                <w:szCs w:val="18"/>
              </w:rPr>
              <w:t>(要素)</w:t>
            </w:r>
          </w:p>
        </w:tc>
        <w:tc>
          <w:tcPr>
            <w:tcW w:w="2191"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lang w:val="en-US" w:eastAsia="zh-CN"/>
              </w:rPr>
            </w:pPr>
            <w:r>
              <w:rPr>
                <w:rFonts w:hint="default" w:ascii="Times New Roman" w:hAnsi="Times New Roman" w:eastAsia="方正黑体_GBK" w:cs="Times New Roman"/>
                <w:color w:val="auto"/>
                <w:kern w:val="0"/>
                <w:sz w:val="18"/>
                <w:szCs w:val="18"/>
              </w:rPr>
              <w:t>公开依据</w:t>
            </w:r>
          </w:p>
        </w:tc>
        <w:tc>
          <w:tcPr>
            <w:tcW w:w="1486"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公开时限</w:t>
            </w:r>
          </w:p>
        </w:tc>
        <w:tc>
          <w:tcPr>
            <w:tcW w:w="872"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公开主体</w:t>
            </w:r>
          </w:p>
        </w:tc>
        <w:tc>
          <w:tcPr>
            <w:tcW w:w="2985"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公开渠道和载体</w:t>
            </w:r>
          </w:p>
        </w:tc>
        <w:tc>
          <w:tcPr>
            <w:tcW w:w="1300"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公开对象</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公开方式</w:t>
            </w: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一级</w:t>
            </w:r>
          </w:p>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事项</w:t>
            </w:r>
          </w:p>
        </w:tc>
        <w:tc>
          <w:tcPr>
            <w:tcW w:w="757"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二级       事项</w:t>
            </w:r>
          </w:p>
        </w:tc>
        <w:tc>
          <w:tcPr>
            <w:tcW w:w="1878" w:type="dxa"/>
            <w:vMerge w:val="continue"/>
            <w:tcBorders>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p>
        </w:tc>
        <w:tc>
          <w:tcPr>
            <w:tcW w:w="2191" w:type="dxa"/>
            <w:vMerge w:val="continue"/>
            <w:tcBorders>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p>
        </w:tc>
        <w:tc>
          <w:tcPr>
            <w:tcW w:w="1486"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p>
        </w:tc>
        <w:tc>
          <w:tcPr>
            <w:tcW w:w="872"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p>
        </w:tc>
        <w:tc>
          <w:tcPr>
            <w:tcW w:w="2985"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全</w:t>
            </w:r>
          </w:p>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社会</w:t>
            </w:r>
          </w:p>
        </w:tc>
        <w:tc>
          <w:tcPr>
            <w:tcW w:w="60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特定</w:t>
            </w:r>
          </w:p>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群体</w:t>
            </w:r>
          </w:p>
        </w:tc>
        <w:tc>
          <w:tcPr>
            <w:tcW w:w="643"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主动公开</w:t>
            </w:r>
          </w:p>
        </w:tc>
        <w:tc>
          <w:tcPr>
            <w:tcW w:w="806"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lang w:eastAsia="zh-CN"/>
              </w:rPr>
            </w:pPr>
            <w:r>
              <w:rPr>
                <w:rFonts w:hint="default" w:ascii="Times New Roman" w:hAnsi="Times New Roman" w:eastAsia="方正黑体_GBK" w:cs="Times New Roman"/>
                <w:color w:val="auto"/>
                <w:kern w:val="0"/>
                <w:sz w:val="18"/>
                <w:szCs w:val="18"/>
              </w:rPr>
              <w:t>依申请公开</w:t>
            </w:r>
          </w:p>
        </w:tc>
        <w:tc>
          <w:tcPr>
            <w:tcW w:w="589"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lang w:eastAsia="zh-CN"/>
              </w:rPr>
            </w:pPr>
            <w:r>
              <w:rPr>
                <w:rFonts w:hint="default" w:ascii="Times New Roman" w:hAnsi="Times New Roman" w:eastAsia="方正黑体_GBK" w:cs="Times New Roman"/>
                <w:color w:val="auto"/>
                <w:kern w:val="0"/>
                <w:sz w:val="18"/>
                <w:szCs w:val="18"/>
                <w:lang w:eastAsia="zh-CN"/>
              </w:rPr>
              <w:t>区级</w:t>
            </w:r>
          </w:p>
        </w:tc>
        <w:tc>
          <w:tcPr>
            <w:tcW w:w="577"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中央农业生产发展资金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支持新型农业经营主体</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 xml:space="preserve">1.政策依据。       </w:t>
            </w:r>
            <w:r>
              <w:rPr>
                <w:rFonts w:hint="default" w:ascii="Times New Roman" w:hAnsi="Times New Roman" w:eastAsia="方正仿宋_GBK" w:cs="Times New Roman"/>
                <w:color w:val="auto"/>
                <w:kern w:val="0"/>
                <w:sz w:val="18"/>
                <w:szCs w:val="18"/>
                <w:lang w:val="en-US" w:eastAsia="zh-CN"/>
              </w:rPr>
              <w:t xml:space="preserve">      </w:t>
            </w:r>
            <w:r>
              <w:rPr>
                <w:rFonts w:hint="default" w:ascii="Times New Roman" w:hAnsi="Times New Roman" w:eastAsia="方正仿宋_GBK" w:cs="Times New Roman"/>
                <w:color w:val="auto"/>
                <w:kern w:val="0"/>
                <w:sz w:val="18"/>
                <w:szCs w:val="18"/>
              </w:rPr>
              <w:t xml:space="preserve">     2.申请指南：补贴对象、补贴范围、补贴标准、申请程序、申请材料、咨询电话、受理单位等。</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3.补贴结果。</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黔江区农业农村委员会</w:t>
            </w:r>
            <w:r>
              <w:rPr>
                <w:rFonts w:hint="default" w:ascii="Times New Roman" w:hAnsi="Times New Roman" w:eastAsia="方正仿宋_GBK" w:cs="Times New Roman"/>
                <w:color w:val="auto"/>
                <w:kern w:val="0"/>
                <w:sz w:val="18"/>
                <w:szCs w:val="18"/>
                <w:lang w:eastAsia="zh-CN"/>
              </w:rPr>
              <w:t>、</w:t>
            </w:r>
            <w:r>
              <w:rPr>
                <w:rFonts w:hint="eastAsia" w:ascii="Times New Roman" w:hAnsi="Times New Roman" w:eastAsia="方正仿宋_GBK" w:cs="Times New Roman"/>
                <w:color w:val="auto"/>
                <w:kern w:val="0"/>
                <w:sz w:val="18"/>
                <w:szCs w:val="18"/>
                <w:lang w:val="en-US" w:eastAsia="zh-CN"/>
              </w:rPr>
              <w:t>金洞乡人民政府</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5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动物防疫等补助经费</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强制扑杀补助、养殖环节无害化处理补助、强制免疫补助</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 xml:space="preserve">1.政策依据；   </w:t>
            </w:r>
            <w:r>
              <w:rPr>
                <w:rFonts w:hint="default" w:ascii="Times New Roman" w:hAnsi="Times New Roman" w:eastAsia="方正仿宋_GBK" w:cs="Times New Roman"/>
                <w:color w:val="auto"/>
                <w:kern w:val="0"/>
                <w:sz w:val="18"/>
                <w:szCs w:val="18"/>
                <w:lang w:val="en-US" w:eastAsia="zh-CN"/>
              </w:rPr>
              <w:t xml:space="preserve">              </w:t>
            </w:r>
            <w:r>
              <w:rPr>
                <w:rFonts w:hint="default" w:ascii="Times New Roman" w:hAnsi="Times New Roman" w:eastAsia="方正仿宋_GBK" w:cs="Times New Roman"/>
                <w:color w:val="auto"/>
                <w:kern w:val="0"/>
                <w:sz w:val="18"/>
                <w:szCs w:val="18"/>
              </w:rPr>
              <w:t>2.申报指南：包括补助对象、补助范围、补助标准、申请程序、申请材料、咨询电话、受理单位、办理时限、联系方式等；         3.补贴结果；   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《中华人民共和国动物防疫法》、《财政部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黔江区农业农村委员会</w:t>
            </w:r>
            <w:r>
              <w:rPr>
                <w:rFonts w:hint="default" w:ascii="Times New Roman" w:hAnsi="Times New Roman" w:eastAsia="方正仿宋_GBK" w:cs="Times New Roman"/>
                <w:color w:val="auto"/>
                <w:kern w:val="0"/>
                <w:sz w:val="18"/>
                <w:szCs w:val="18"/>
                <w:lang w:eastAsia="zh-CN"/>
              </w:rPr>
              <w:t>、</w:t>
            </w:r>
            <w:r>
              <w:rPr>
                <w:rFonts w:hint="eastAsia" w:ascii="Times New Roman" w:hAnsi="Times New Roman" w:eastAsia="方正仿宋_GBK" w:cs="Times New Roman"/>
                <w:color w:val="auto"/>
                <w:kern w:val="0"/>
                <w:sz w:val="18"/>
                <w:szCs w:val="18"/>
                <w:lang w:val="en-US" w:eastAsia="zh-CN"/>
              </w:rPr>
              <w:t>金洞乡人民政府</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耕地地力保护和种粮大户补贴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 xml:space="preserve">1.政策依据。           </w:t>
            </w:r>
            <w:r>
              <w:rPr>
                <w:rFonts w:hint="default" w:ascii="Times New Roman" w:hAnsi="Times New Roman" w:eastAsia="方正仿宋_GBK" w:cs="Times New Roman"/>
                <w:color w:val="auto"/>
                <w:kern w:val="0"/>
                <w:sz w:val="18"/>
                <w:szCs w:val="18"/>
                <w:lang w:val="en-US" w:eastAsia="zh-CN"/>
              </w:rPr>
              <w:t xml:space="preserve">     </w:t>
            </w:r>
            <w:r>
              <w:rPr>
                <w:rFonts w:hint="default" w:ascii="Times New Roman" w:hAnsi="Times New Roman" w:eastAsia="方正仿宋_GBK" w:cs="Times New Roman"/>
                <w:color w:val="auto"/>
                <w:kern w:val="0"/>
                <w:sz w:val="18"/>
                <w:szCs w:val="18"/>
              </w:rPr>
              <w:t xml:space="preserve"> 2.申请指南：补贴对象、补贴范围、补贴标准、申请程序、申请材料、咨询电话、受理单位等。</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3.补贴结果。</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《财政部 农业农村部关于修订印发农业相关转移支付资金管理办法的通知》（财农〔2020〕10号）、《财政部农业部关于全面推开农业三项补贴改革工作的通知》(财农[2016]26号)、《重庆市</w:t>
            </w:r>
            <w:r>
              <w:rPr>
                <w:rFonts w:hint="default" w:ascii="Times New Roman" w:hAnsi="Times New Roman" w:eastAsia="方正仿宋_GBK" w:cs="Times New Roman"/>
                <w:color w:val="auto"/>
                <w:kern w:val="0"/>
                <w:sz w:val="18"/>
                <w:szCs w:val="18"/>
                <w:lang w:val="en-US" w:eastAsia="zh-CN"/>
              </w:rPr>
              <w:t>2020</w:t>
            </w:r>
            <w:r>
              <w:rPr>
                <w:rFonts w:hint="default" w:ascii="Times New Roman" w:hAnsi="Times New Roman" w:eastAsia="方正仿宋_GBK" w:cs="Times New Roman"/>
                <w:color w:val="auto"/>
                <w:kern w:val="0"/>
                <w:sz w:val="18"/>
                <w:szCs w:val="18"/>
              </w:rPr>
              <w:t>年耕地地力保护和种粮大户补贴工作实施方案》</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黔江区农业农村委员会</w:t>
            </w:r>
            <w:r>
              <w:rPr>
                <w:rFonts w:hint="default" w:ascii="Times New Roman" w:hAnsi="Times New Roman" w:eastAsia="方正仿宋_GBK" w:cs="Times New Roman"/>
                <w:color w:val="auto"/>
                <w:kern w:val="0"/>
                <w:sz w:val="18"/>
                <w:szCs w:val="18"/>
                <w:lang w:eastAsia="zh-CN"/>
              </w:rPr>
              <w:t>、</w:t>
            </w:r>
            <w:r>
              <w:rPr>
                <w:rFonts w:hint="eastAsia" w:ascii="Times New Roman" w:hAnsi="Times New Roman" w:eastAsia="方正仿宋_GBK" w:cs="Times New Roman"/>
                <w:color w:val="auto"/>
                <w:kern w:val="0"/>
                <w:sz w:val="18"/>
                <w:szCs w:val="18"/>
                <w:lang w:val="en-US" w:eastAsia="zh-CN"/>
              </w:rPr>
              <w:t>金洞乡人民政府</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w:t>
            </w:r>
          </w:p>
        </w:tc>
        <w:tc>
          <w:tcPr>
            <w:tcW w:w="65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农机购置补贴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1.政策依据：</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2.申请指南：包括补贴对象、补贴范围、补贴标准、申请程序、申请材料、咨询电话、受理单位、办理时限、联系方式等；</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3.补贴结果：</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《中华人民共和国农业机械化促进法》（中华人民共和国主席令第十六号）、《财政部 农业农村部关于修订印发农业相关转移支付资金管理办法的通知》（财农〔2020〕10号）、《2018-2020年农机购置补贴实施指导意见》（农办财〔2018〕13号）、《重庆市2018-2020年农机购置补贴实施方案》（渝农发〔2018〕100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黔江区农业农村委员会</w:t>
            </w:r>
            <w:r>
              <w:rPr>
                <w:rFonts w:hint="default" w:ascii="Times New Roman" w:hAnsi="Times New Roman" w:eastAsia="方正仿宋_GBK" w:cs="Times New Roman"/>
                <w:color w:val="auto"/>
                <w:kern w:val="0"/>
                <w:sz w:val="18"/>
                <w:szCs w:val="18"/>
                <w:lang w:eastAsia="zh-CN"/>
              </w:rPr>
              <w:t>、</w:t>
            </w:r>
            <w:r>
              <w:rPr>
                <w:rFonts w:hint="eastAsia" w:ascii="Times New Roman" w:hAnsi="Times New Roman" w:eastAsia="方正仿宋_GBK" w:cs="Times New Roman"/>
                <w:color w:val="auto"/>
                <w:kern w:val="0"/>
                <w:sz w:val="18"/>
                <w:szCs w:val="18"/>
                <w:lang w:val="en-US" w:eastAsia="zh-CN"/>
              </w:rPr>
              <w:t>金洞乡人民政府</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■政府网站    □政府公报                                                                                                                                                                                                                </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■社区、村公示栏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□精准推送    ■其他，重庆市农机购补贴信息公开专栏</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6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新型职业农民培育</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 xml:space="preserve">1.政策依据。 </w:t>
            </w:r>
            <w:r>
              <w:rPr>
                <w:rFonts w:hint="default" w:ascii="Times New Roman" w:hAnsi="Times New Roman" w:eastAsia="方正仿宋_GBK" w:cs="Times New Roman"/>
                <w:color w:val="auto"/>
                <w:kern w:val="0"/>
                <w:sz w:val="18"/>
                <w:szCs w:val="18"/>
                <w:lang w:val="en-US" w:eastAsia="zh-CN"/>
              </w:rPr>
              <w:t xml:space="preserve">             </w:t>
            </w:r>
            <w:r>
              <w:rPr>
                <w:rFonts w:hint="default" w:ascii="Times New Roman" w:hAnsi="Times New Roman" w:eastAsia="方正仿宋_GBK" w:cs="Times New Roman"/>
                <w:color w:val="auto"/>
                <w:kern w:val="0"/>
                <w:sz w:val="18"/>
                <w:szCs w:val="18"/>
              </w:rPr>
              <w:t xml:space="preserve">   2.申请指南：补贴对象、补贴范围、补贴标准、申请程序、申请材料、咨询电话、受理单位等。</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3.补贴结果。</w:t>
            </w:r>
            <w:r>
              <w:rPr>
                <w:rFonts w:hint="default" w:ascii="Times New Roman" w:hAnsi="Times New Roman" w:eastAsia="方正仿宋_GBK" w:cs="Times New Roman"/>
                <w:color w:val="auto"/>
                <w:kern w:val="0"/>
                <w:sz w:val="18"/>
                <w:szCs w:val="18"/>
              </w:rPr>
              <w:br w:type="textWrapping"/>
            </w:r>
            <w:r>
              <w:rPr>
                <w:rFonts w:hint="default" w:ascii="Times New Roman" w:hAnsi="Times New Roman" w:eastAsia="方正仿宋_GBK" w:cs="Times New Roman"/>
                <w:color w:val="auto"/>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《中共中央办公厅  国务院办公厅关于引导农村土地经营权有序流转发展农业适度规模经营的意见》、《国务院办公厅关于支持返乡下乡人员创业创新促进农村一二三产业融合发展的意见》(国办发[2016]84号)、《财政部 农业农村部关于修订印发农业相关转移支付资金管理办法的通知》（财农〔2020〕10号）、《“十三五”全国新型职业农民培育发展规划》(农科教发[2017]2号)、《重庆市</w:t>
            </w:r>
            <w:r>
              <w:rPr>
                <w:rFonts w:hint="default" w:ascii="Times New Roman" w:hAnsi="Times New Roman" w:eastAsia="方正仿宋_GBK" w:cs="Times New Roman"/>
                <w:color w:val="auto"/>
                <w:kern w:val="0"/>
                <w:sz w:val="18"/>
                <w:szCs w:val="18"/>
                <w:lang w:val="en-US" w:eastAsia="zh-CN"/>
              </w:rPr>
              <w:t>2020</w:t>
            </w:r>
            <w:r>
              <w:rPr>
                <w:rFonts w:hint="default" w:ascii="Times New Roman" w:hAnsi="Times New Roman" w:eastAsia="方正仿宋_GBK" w:cs="Times New Roman"/>
                <w:color w:val="auto"/>
                <w:kern w:val="0"/>
                <w:sz w:val="18"/>
                <w:szCs w:val="18"/>
              </w:rPr>
              <w:t>年关于做好农民教育培训的通知》</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黔江区农业农村委员会</w:t>
            </w:r>
            <w:r>
              <w:rPr>
                <w:rFonts w:hint="default" w:ascii="Times New Roman" w:hAnsi="Times New Roman" w:eastAsia="方正仿宋_GBK" w:cs="Times New Roman"/>
                <w:color w:val="auto"/>
                <w:kern w:val="0"/>
                <w:sz w:val="18"/>
                <w:szCs w:val="18"/>
                <w:lang w:eastAsia="zh-CN"/>
              </w:rPr>
              <w:t>、</w:t>
            </w:r>
            <w:r>
              <w:rPr>
                <w:rFonts w:hint="eastAsia" w:ascii="Times New Roman" w:hAnsi="Times New Roman" w:eastAsia="方正仿宋_GBK" w:cs="Times New Roman"/>
                <w:color w:val="auto"/>
                <w:kern w:val="0"/>
                <w:sz w:val="18"/>
                <w:szCs w:val="18"/>
                <w:lang w:val="en-US" w:eastAsia="zh-CN"/>
              </w:rPr>
              <w:t>金洞乡人民政府</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w:t>
            </w:r>
          </w:p>
        </w:tc>
      </w:tr>
    </w:tbl>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方正仿宋_GBK" w:cs="Times New Roman"/>
          <w:sz w:val="32"/>
          <w:szCs w:val="32"/>
        </w:rPr>
      </w:pPr>
    </w:p>
    <w:sectPr>
      <w:headerReference r:id="rId3" w:type="default"/>
      <w:footerReference r:id="rId4" w:type="default"/>
      <w:pgSz w:w="16838" w:h="11906" w:orient="landscape"/>
      <w:pgMar w:top="1134" w:right="1134" w:bottom="1134" w:left="113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Noto Sans Mono CJK JP Regular">
    <w:altName w:val="DejaVu Math TeX Gyre"/>
    <w:panose1 w:val="00000000000000000000"/>
    <w:charset w:val="00"/>
    <w:family w:val="swiss"/>
    <w:pitch w:val="default"/>
    <w:sig w:usb0="00000000" w:usb1="00000000" w:usb2="00000000" w:usb3="00000000" w:csb0="00000001"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Jv7vNQAAAAGAQAADwAAAAAAAAABACAAAAA4AAAAZHJzL2Rvd25yZXYu&#10;eG1sUEsBAhQAFAAAAAgAh07iQDKHu5giAgAANwQAAA4AAAAAAAAAAQAgAAAAOQEAAGRycy9lMm9E&#10;b2MueG1sUEsFBgAAAAAGAAYAWQEAAM0FAAAAAA==&#10;">
              <v:fill on="f" focussize="0,0"/>
              <v:stroke on="f" weight="0.5pt"/>
              <v:imagedata o:title=""/>
              <o:lock v:ext="edit" aspectratio="f"/>
              <v:textbox inset="0mm,0mm,0mm,0mm" style="mso-fit-shape-to-text:t;">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77392"/>
    <w:rsid w:val="00164E44"/>
    <w:rsid w:val="001E7398"/>
    <w:rsid w:val="00374F1B"/>
    <w:rsid w:val="00670E37"/>
    <w:rsid w:val="006868C2"/>
    <w:rsid w:val="00E3304A"/>
    <w:rsid w:val="020767B8"/>
    <w:rsid w:val="03E809C2"/>
    <w:rsid w:val="06DA37D1"/>
    <w:rsid w:val="06F0052A"/>
    <w:rsid w:val="083A4306"/>
    <w:rsid w:val="097266A2"/>
    <w:rsid w:val="0A9E5A6C"/>
    <w:rsid w:val="0AEE5200"/>
    <w:rsid w:val="0F390FB9"/>
    <w:rsid w:val="106C46C1"/>
    <w:rsid w:val="11EB4492"/>
    <w:rsid w:val="13221F92"/>
    <w:rsid w:val="138243DE"/>
    <w:rsid w:val="140C7290"/>
    <w:rsid w:val="140D49B0"/>
    <w:rsid w:val="188622CF"/>
    <w:rsid w:val="19BF1790"/>
    <w:rsid w:val="19C14A13"/>
    <w:rsid w:val="1BFB5968"/>
    <w:rsid w:val="1D1204CA"/>
    <w:rsid w:val="1DCE0D9F"/>
    <w:rsid w:val="1E3A6952"/>
    <w:rsid w:val="1E567A46"/>
    <w:rsid w:val="22905CC1"/>
    <w:rsid w:val="22BF3543"/>
    <w:rsid w:val="23A8177D"/>
    <w:rsid w:val="24A3296B"/>
    <w:rsid w:val="265308FD"/>
    <w:rsid w:val="28086B08"/>
    <w:rsid w:val="28EF64BB"/>
    <w:rsid w:val="29D71D48"/>
    <w:rsid w:val="2F505D57"/>
    <w:rsid w:val="2FD53BCB"/>
    <w:rsid w:val="3032109F"/>
    <w:rsid w:val="30F639D2"/>
    <w:rsid w:val="318B1096"/>
    <w:rsid w:val="32C43FF6"/>
    <w:rsid w:val="32C748E8"/>
    <w:rsid w:val="32E032B5"/>
    <w:rsid w:val="34740D8F"/>
    <w:rsid w:val="348C3D26"/>
    <w:rsid w:val="34B84027"/>
    <w:rsid w:val="35204CB8"/>
    <w:rsid w:val="36AF7C0B"/>
    <w:rsid w:val="38220BF6"/>
    <w:rsid w:val="3C5E3504"/>
    <w:rsid w:val="3D843A12"/>
    <w:rsid w:val="3DBE6853"/>
    <w:rsid w:val="3FBA12C7"/>
    <w:rsid w:val="41127FD8"/>
    <w:rsid w:val="416A2105"/>
    <w:rsid w:val="4427650B"/>
    <w:rsid w:val="474F4CCA"/>
    <w:rsid w:val="47F114F2"/>
    <w:rsid w:val="480B4B68"/>
    <w:rsid w:val="4963168D"/>
    <w:rsid w:val="49C816C4"/>
    <w:rsid w:val="4A672825"/>
    <w:rsid w:val="4AC47B25"/>
    <w:rsid w:val="52354C1D"/>
    <w:rsid w:val="536C3FF1"/>
    <w:rsid w:val="544A31CA"/>
    <w:rsid w:val="54B22F77"/>
    <w:rsid w:val="58E653A2"/>
    <w:rsid w:val="5B100E77"/>
    <w:rsid w:val="5CB21547"/>
    <w:rsid w:val="5DBF40E0"/>
    <w:rsid w:val="616D6038"/>
    <w:rsid w:val="65A90373"/>
    <w:rsid w:val="67D2434B"/>
    <w:rsid w:val="6B1B7B0F"/>
    <w:rsid w:val="6C4D719D"/>
    <w:rsid w:val="6D07173B"/>
    <w:rsid w:val="6DBE38FF"/>
    <w:rsid w:val="6FA47997"/>
    <w:rsid w:val="707571EC"/>
    <w:rsid w:val="71B33385"/>
    <w:rsid w:val="71E77392"/>
    <w:rsid w:val="75D37155"/>
    <w:rsid w:val="76156136"/>
    <w:rsid w:val="77154073"/>
    <w:rsid w:val="77585E04"/>
    <w:rsid w:val="79AC7F4F"/>
    <w:rsid w:val="79F16FEA"/>
    <w:rsid w:val="7B1F0256"/>
    <w:rsid w:val="7B777CFF"/>
    <w:rsid w:val="7BAD364C"/>
    <w:rsid w:val="7D2D0CC1"/>
    <w:rsid w:val="7D554062"/>
    <w:rsid w:val="7D6D41F1"/>
    <w:rsid w:val="7DAC230B"/>
    <w:rsid w:val="7FD76F59"/>
    <w:rsid w:val="7FEC2F11"/>
    <w:rsid w:val="7FF60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eastAsia="宋体" w:cs="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Emphasis"/>
    <w:qFormat/>
    <w:uiPriority w:val="0"/>
    <w:rPr>
      <w:i/>
      <w:iCs/>
    </w:rPr>
  </w:style>
  <w:style w:type="character" w:styleId="14">
    <w:name w:val="Hyperlink"/>
    <w:basedOn w:val="10"/>
    <w:qFormat/>
    <w:uiPriority w:val="0"/>
    <w:rPr>
      <w:color w:val="0000FF"/>
      <w:u w:val="single"/>
    </w:rPr>
  </w:style>
  <w:style w:type="paragraph" w:customStyle="1" w:styleId="15">
    <w:name w:val="Char"/>
    <w:basedOn w:val="1"/>
    <w:semiHidden/>
    <w:qFormat/>
    <w:uiPriority w:val="0"/>
    <w:rPr>
      <w:rFonts w:eastAsia="宋体"/>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Table Paragraph"/>
    <w:basedOn w:val="1"/>
    <w:qFormat/>
    <w:uiPriority w:val="99"/>
    <w:pPr>
      <w:autoSpaceDE w:val="0"/>
      <w:autoSpaceDN w:val="0"/>
      <w:jc w:val="left"/>
    </w:pPr>
    <w:rPr>
      <w:rFonts w:ascii="Noto Sans Mono CJK JP Regular" w:hAnsi="Noto Sans Mono CJK JP Regular" w:eastAsia="等线" w:cs="Noto Sans Mono CJK JP Regular"/>
      <w:sz w:val="22"/>
      <w:szCs w:val="22"/>
      <w:lang w:eastAsia="en-US"/>
    </w:rPr>
  </w:style>
  <w:style w:type="character" w:customStyle="1" w:styleId="18">
    <w:name w:val="font11"/>
    <w:basedOn w:val="10"/>
    <w:qFormat/>
    <w:uiPriority w:val="0"/>
    <w:rPr>
      <w:rFonts w:hint="eastAsia" w:ascii="宋体" w:hAnsi="宋体" w:eastAsia="宋体" w:cs="宋体"/>
      <w:color w:val="000000"/>
      <w:sz w:val="22"/>
      <w:szCs w:val="22"/>
      <w:u w:val="none"/>
    </w:rPr>
  </w:style>
  <w:style w:type="character" w:customStyle="1" w:styleId="19">
    <w:name w:val="font31"/>
    <w:basedOn w:val="10"/>
    <w:qFormat/>
    <w:uiPriority w:val="0"/>
    <w:rPr>
      <w:rFonts w:hint="eastAsia" w:ascii="宋体" w:hAnsi="宋体" w:eastAsia="宋体" w:cs="宋体"/>
      <w:color w:val="000000"/>
      <w:sz w:val="18"/>
      <w:szCs w:val="18"/>
      <w:u w:val="none"/>
    </w:rPr>
  </w:style>
  <w:style w:type="character" w:customStyle="1" w:styleId="20">
    <w:name w:val="font71"/>
    <w:basedOn w:val="10"/>
    <w:qFormat/>
    <w:uiPriority w:val="0"/>
    <w:rPr>
      <w:rFonts w:ascii="方正仿宋_GBK" w:hAnsi="方正仿宋_GBK" w:eastAsia="方正仿宋_GBK" w:cs="方正仿宋_GBK"/>
      <w:color w:val="000000"/>
      <w:sz w:val="18"/>
      <w:szCs w:val="18"/>
      <w:u w:val="none"/>
    </w:rPr>
  </w:style>
  <w:style w:type="character" w:customStyle="1" w:styleId="21">
    <w:name w:val="font41"/>
    <w:basedOn w:val="10"/>
    <w:qFormat/>
    <w:uiPriority w:val="0"/>
    <w:rPr>
      <w:rFonts w:hint="default" w:ascii="Times New Roman" w:hAnsi="Times New Roman" w:cs="Times New Roman"/>
      <w:color w:val="000000"/>
      <w:sz w:val="18"/>
      <w:szCs w:val="18"/>
      <w:u w:val="none"/>
    </w:rPr>
  </w:style>
  <w:style w:type="character" w:customStyle="1" w:styleId="22">
    <w:name w:val="font81"/>
    <w:basedOn w:val="10"/>
    <w:qFormat/>
    <w:uiPriority w:val="0"/>
    <w:rPr>
      <w:rFonts w:hint="eastAsia" w:ascii="方正仿宋_GBK" w:hAnsi="方正仿宋_GBK" w:eastAsia="方正仿宋_GBK" w:cs="方正仿宋_GBK"/>
      <w:color w:val="000000"/>
      <w:sz w:val="18"/>
      <w:szCs w:val="18"/>
      <w:u w:val="none"/>
    </w:rPr>
  </w:style>
  <w:style w:type="character" w:customStyle="1" w:styleId="23">
    <w:name w:val="font91"/>
    <w:basedOn w:val="10"/>
    <w:qFormat/>
    <w:uiPriority w:val="0"/>
    <w:rPr>
      <w:rFonts w:hint="eastAsia" w:ascii="方正仿宋_GBK" w:hAnsi="方正仿宋_GBK" w:eastAsia="方正仿宋_GBK" w:cs="方正仿宋_GBK"/>
      <w:color w:val="000000"/>
      <w:sz w:val="18"/>
      <w:szCs w:val="18"/>
      <w:u w:val="none"/>
    </w:rPr>
  </w:style>
  <w:style w:type="character" w:customStyle="1" w:styleId="24">
    <w:name w:val="font51"/>
    <w:basedOn w:val="10"/>
    <w:qFormat/>
    <w:uiPriority w:val="0"/>
    <w:rPr>
      <w:rFonts w:hint="default" w:ascii="Times New Roman" w:hAnsi="Times New Roman" w:cs="Times New Roman"/>
      <w:color w:val="000000"/>
      <w:sz w:val="18"/>
      <w:szCs w:val="18"/>
      <w:u w:val="none"/>
    </w:rPr>
  </w:style>
  <w:style w:type="character" w:customStyle="1" w:styleId="25">
    <w:name w:val="font61"/>
    <w:basedOn w:val="10"/>
    <w:qFormat/>
    <w:uiPriority w:val="0"/>
    <w:rPr>
      <w:rFonts w:hint="eastAsia" w:ascii="宋体" w:hAnsi="宋体" w:eastAsia="宋体" w:cs="宋体"/>
      <w:color w:val="000000"/>
      <w:sz w:val="18"/>
      <w:szCs w:val="18"/>
      <w:u w:val="none"/>
    </w:rPr>
  </w:style>
  <w:style w:type="character" w:customStyle="1" w:styleId="26">
    <w:name w:val="font21"/>
    <w:basedOn w:val="10"/>
    <w:qFormat/>
    <w:uiPriority w:val="0"/>
    <w:rPr>
      <w:rFonts w:hint="eastAsia" w:ascii="宋体" w:hAnsi="宋体" w:eastAsia="宋体" w:cs="宋体"/>
      <w:color w:val="000000"/>
      <w:sz w:val="18"/>
      <w:szCs w:val="18"/>
      <w:u w:val="single"/>
    </w:rPr>
  </w:style>
  <w:style w:type="character" w:customStyle="1" w:styleId="27">
    <w:name w:val="font12"/>
    <w:basedOn w:val="10"/>
    <w:qFormat/>
    <w:uiPriority w:val="0"/>
    <w:rPr>
      <w:rFonts w:hint="eastAsia" w:ascii="宋体" w:hAnsi="宋体" w:eastAsia="宋体" w:cs="宋体"/>
      <w:color w:val="FF0000"/>
      <w:sz w:val="18"/>
      <w:szCs w:val="18"/>
      <w:u w:val="single"/>
    </w:rPr>
  </w:style>
  <w:style w:type="paragraph" w:customStyle="1" w:styleId="28">
    <w:name w:val="_Style 4"/>
    <w:basedOn w:val="1"/>
    <w:qFormat/>
    <w:uiPriority w:val="0"/>
    <w:pPr>
      <w:ind w:firstLine="420" w:firstLineChars="200"/>
    </w:pPr>
    <w:rPr>
      <w:rFonts w:ascii="等线" w:hAnsi="等线" w:eastAsia="等线" w:cs="Times New Roman"/>
      <w:sz w:val="32"/>
    </w:rPr>
  </w:style>
  <w:style w:type="paragraph" w:customStyle="1" w:styleId="29">
    <w:name w:val="_Style 2"/>
    <w:basedOn w:val="1"/>
    <w:qFormat/>
    <w:uiPriority w:val="0"/>
    <w:pPr>
      <w:ind w:firstLine="420" w:firstLineChars="200"/>
    </w:pPr>
    <w:rPr>
      <w:rFonts w:ascii="等线" w:hAnsi="等线" w:eastAsia="等线" w:cs="Times New Roman"/>
      <w:sz w:val="32"/>
    </w:rPr>
  </w:style>
  <w:style w:type="paragraph" w:customStyle="1" w:styleId="30">
    <w:name w:val="列出段落2"/>
    <w:basedOn w:val="1"/>
    <w:qFormat/>
    <w:uiPriority w:val="0"/>
    <w:pPr>
      <w:ind w:firstLine="420" w:firstLineChars="200"/>
    </w:pPr>
    <w:rPr>
      <w:rFonts w:ascii="等线" w:hAnsi="等线" w:eastAsia="等线" w:cs="Times New Roman"/>
      <w:sz w:val="32"/>
    </w:rPr>
  </w:style>
  <w:style w:type="character" w:customStyle="1" w:styleId="31">
    <w:name w:val="font121"/>
    <w:basedOn w:val="10"/>
    <w:qFormat/>
    <w:uiPriority w:val="0"/>
    <w:rPr>
      <w:rFonts w:hint="eastAsia" w:ascii="方正仿宋_GBK" w:hAnsi="方正仿宋_GBK" w:eastAsia="方正仿宋_GBK" w:cs="方正仿宋_GBK"/>
      <w:color w:val="000000"/>
      <w:sz w:val="24"/>
      <w:szCs w:val="24"/>
      <w:u w:val="single"/>
    </w:rPr>
  </w:style>
  <w:style w:type="character" w:customStyle="1" w:styleId="32">
    <w:name w:val="font101"/>
    <w:basedOn w:val="10"/>
    <w:qFormat/>
    <w:uiPriority w:val="0"/>
    <w:rPr>
      <w:rFonts w:hint="eastAsia" w:ascii="方正仿宋_GBK" w:hAnsi="方正仿宋_GBK" w:eastAsia="方正仿宋_GBK" w:cs="方正仿宋_GBK"/>
      <w:color w:val="000000"/>
      <w:sz w:val="24"/>
      <w:szCs w:val="24"/>
      <w:u w:val="single"/>
    </w:rPr>
  </w:style>
  <w:style w:type="character" w:customStyle="1" w:styleId="33">
    <w:name w:val="font01"/>
    <w:basedOn w:val="10"/>
    <w:qFormat/>
    <w:uiPriority w:val="0"/>
    <w:rPr>
      <w:rFonts w:hint="eastAsia" w:ascii="方正仿宋_GBK" w:hAnsi="方正仿宋_GBK" w:eastAsia="方正仿宋_GBK" w:cs="方正仿宋_GBK"/>
      <w:color w:val="000000"/>
      <w:sz w:val="24"/>
      <w:szCs w:val="24"/>
      <w:u w:val="single"/>
    </w:rPr>
  </w:style>
  <w:style w:type="character" w:customStyle="1" w:styleId="34">
    <w:name w:val="font112"/>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372</Words>
  <Characters>2126</Characters>
  <Lines>17</Lines>
  <Paragraphs>4</Paragraphs>
  <TotalTime>1</TotalTime>
  <ScaleCrop>false</ScaleCrop>
  <LinksUpToDate>false</LinksUpToDate>
  <CharactersWithSpaces>2494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2020-10-27T14:24:00Z</dcterms:created>
  <dc:creator>邓芳®</dc:creator>
  <cp:lastModifiedBy>kylin</cp:lastModifiedBy>
  <cp:lastPrinted>2020-11-03T15:01:00Z</cp:lastPrinted>
  <dcterms:modified xsi:type="dcterms:W3CDTF">2024-01-03T15:46:50Z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396155982_cloud</vt:lpwstr>
  </property>
</Properties>
</file>