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page" w:horzAnchor="page" w:tblpX="1645" w:tblpY="196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14:paraId="16ED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820" w:type="dxa"/>
            <w:noWrap w:val="0"/>
            <w:vAlign w:val="top"/>
          </w:tcPr>
          <w:p w14:paraId="333D73BF">
            <w:pPr>
              <w:spacing w:line="520" w:lineRule="exact"/>
              <w:ind w:firstLine="0" w:firstLineChars="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w:t>
            </w:r>
          </w:p>
        </w:tc>
      </w:tr>
      <w:tr w14:paraId="4D4A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820" w:type="dxa"/>
            <w:noWrap w:val="0"/>
            <w:vAlign w:val="top"/>
          </w:tcPr>
          <w:p w14:paraId="53B85DD4">
            <w:pPr>
              <w:spacing w:line="520" w:lineRule="exact"/>
              <w:ind w:firstLine="0" w:firstLineChars="0"/>
              <w:rPr>
                <w:rFonts w:hint="default" w:ascii="Times New Roman" w:hAnsi="Times New Roman" w:eastAsia="方正黑体_GBK" w:cs="Times New Roman"/>
                <w:sz w:val="32"/>
                <w:szCs w:val="32"/>
              </w:rPr>
            </w:pPr>
          </w:p>
        </w:tc>
      </w:tr>
      <w:tr w14:paraId="3AB1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820" w:type="dxa"/>
            <w:noWrap w:val="0"/>
            <w:vAlign w:val="center"/>
          </w:tcPr>
          <w:p w14:paraId="3D6A6FA8">
            <w:pPr>
              <w:spacing w:line="520" w:lineRule="exact"/>
              <w:ind w:firstLine="0" w:firstLineChars="0"/>
              <w:rPr>
                <w:rFonts w:hint="default" w:ascii="Times New Roman" w:hAnsi="Times New Roman" w:eastAsia="方正黑体_GBK" w:cs="Times New Roman"/>
                <w:color w:val="000000"/>
                <w:sz w:val="21"/>
                <w:szCs w:val="24"/>
              </w:rPr>
            </w:pPr>
          </w:p>
        </w:tc>
      </w:tr>
      <w:tr w14:paraId="77F0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4" w:hRule="atLeast"/>
          <w:jc w:val="center"/>
        </w:trPr>
        <w:tc>
          <w:tcPr>
            <w:tcW w:w="8820" w:type="dxa"/>
            <w:noWrap w:val="0"/>
            <w:vAlign w:val="center"/>
          </w:tcPr>
          <w:p w14:paraId="480637DA">
            <w:pPr>
              <w:spacing w:line="240" w:lineRule="auto"/>
              <w:ind w:firstLine="0" w:firstLineChars="0"/>
              <w:jc w:val="center"/>
              <w:rPr>
                <w:rFonts w:hint="default" w:ascii="Times New Roman" w:hAnsi="Times New Roman" w:eastAsia="方正小标宋_GBK" w:cs="Times New Roman"/>
                <w:b/>
                <w:color w:val="FF0000"/>
                <w:w w:val="51"/>
                <w:sz w:val="130"/>
                <w:szCs w:val="130"/>
                <w:lang w:eastAsia="zh-CN"/>
              </w:rPr>
            </w:pPr>
            <w:r>
              <w:rPr>
                <w:rFonts w:hint="default" w:ascii="Times New Roman" w:hAnsi="Times New Roman" w:eastAsia="方正小标宋_GBK" w:cs="Times New Roman"/>
                <w:b/>
                <w:color w:val="FF0000"/>
                <w:w w:val="55"/>
                <w:sz w:val="130"/>
                <w:szCs w:val="130"/>
                <w:lang w:eastAsia="zh-CN"/>
              </w:rPr>
              <w:t>黔江区邻鄂镇人民政府文件</w:t>
            </w:r>
          </w:p>
        </w:tc>
      </w:tr>
      <w:tr w14:paraId="0CDC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8820" w:type="dxa"/>
            <w:noWrap/>
            <w:vAlign w:val="bottom"/>
          </w:tcPr>
          <w:p w14:paraId="1FD58AE1">
            <w:pPr>
              <w:widowControl w:val="0"/>
              <w:spacing w:line="560" w:lineRule="exact"/>
              <w:ind w:left="0" w:leftChars="0" w:right="0" w:rightChars="0" w:firstLine="0" w:firstLineChars="0"/>
              <w:jc w:val="center"/>
              <w:rPr>
                <w:rFonts w:hint="default" w:ascii="Times New Roman" w:hAnsi="Times New Roman" w:eastAsia="宋体" w:cs="Times New Roman"/>
                <w:kern w:val="2"/>
                <w:sz w:val="21"/>
                <w:szCs w:val="32"/>
                <w:lang w:val="en-US" w:eastAsia="zh-CN" w:bidi="ar-SA"/>
              </w:rPr>
            </w:pPr>
            <w:r>
              <w:rPr>
                <w:rFonts w:hint="default" w:ascii="Times New Roman" w:hAnsi="Times New Roman" w:eastAsia="方正仿宋_GBK" w:cs="Times New Roman"/>
                <w:kern w:val="2"/>
                <w:sz w:val="32"/>
                <w:szCs w:val="32"/>
                <w:lang w:val="en-US" w:eastAsia="zh-CN" w:bidi="ar-SA"/>
              </w:rPr>
              <w:t>邻鄂府发〔2025〕4</w:t>
            </w:r>
            <w:r>
              <w:rPr>
                <w:rFonts w:hint="eastAsia"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号</w:t>
            </w:r>
          </w:p>
          <w:p w14:paraId="5A9C821F">
            <w:pPr>
              <w:spacing w:line="540" w:lineRule="exact"/>
              <w:ind w:firstLine="0" w:firstLineChars="0"/>
              <w:rPr>
                <w:rFonts w:hint="default" w:ascii="Times New Roman" w:hAnsi="Times New Roman" w:eastAsia="宋体" w:cs="Times New Roman"/>
                <w:color w:val="FFFFFF"/>
                <w:sz w:val="52"/>
                <w:szCs w:val="52"/>
              </w:rPr>
            </w:pPr>
            <w:r>
              <w:rPr>
                <w:rFonts w:hint="default" w:ascii="Times New Roman" w:hAnsi="Times New Roman" w:eastAsia="宋体" w:cs="Times New Roman"/>
                <w:sz w:val="21"/>
                <w:szCs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133985</wp:posOffset>
                      </wp:positionV>
                      <wp:extent cx="56159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5pt;margin-top:10.55pt;height:0pt;width:442.2pt;z-index:251659264;mso-width-relative:page;mso-height-relative:page;" filled="f" stroked="t" coordsize="21600,21600" o:gfxdata="UEsDBAoAAAAAAIdO4kAAAAAAAAAAAAAAAAAEAAAAZHJzL1BLAwQUAAAACACHTuJArD84rdcAAAAJ&#10;AQAADwAAAGRycy9kb3ducmV2LnhtbE2PTWvDMAyG74P+B6PBbq3jFLaQxinr2G6D0eyjVzdW49BY&#10;DrGbpv9+Lj1sJyHp4dWjYj3Zjo04+NaRBLFIgCHVTrfUSPj6fJtnwHxQpFXnCCVc0MO6nN0VKtfu&#10;TFscq9CwGEI+VxJMCH3Oua8NWuUXrkeKu4MbrAqxHRquB3WO4bbjaZI8cqtaiheM6vHFYH2sTlbC&#10;9JM9m9172Ly67w9znHaVHdOLlA/3IlkBCziFPxiu+lEdyui0dyfSnnUS5kKIiEpIrzUC2dNyCWx/&#10;G/Cy4P8/KH8BUEsDBBQAAAAIAIdO4kAui9NX/QEAAPMDAAAOAAAAZHJzL2Uyb0RvYy54bWytU82O&#10;0zAQviPxDpbvNG3VLkvUdA9bygVBJeABpraTWPKfPG7TvgQvgMQNThy58zYsj8E46ZZlufRADs7Y&#10;M/PNfJ/Hi5uDNWyvImrvKj4ZjTlTTnipXVPxD+/Xz645wwROgvFOVfyokN8snz5ZdKFUU996I1Vk&#10;BOKw7ELF25RCWRQoWmUBRz4oR87aRwuJtrEpZISO0K0ppuPxVdH5KEP0QiHS6Wpw8hNivATQ17UW&#10;auXFziqXBtSoDCSihK0OyJd9t3WtRHpb16gSMxUnpqlfqQjZ27wWywWUTYTQanFqAS5p4REnC9pR&#10;0TPUChKwXdT/QFktokdfp5HwthiI9IoQi8n4kTbvWgiq50JSYziLjv8PVrzZbyLTsuIzzhxYuvC7&#10;T99/fvzy68dnWu++fWWzLFIXsKTYW7eJpx2GTcyMD3W0+U9c2KEX9ngWVh0SE3Q4v5rMX8xIc3Hv&#10;K/4khojplfKWZaPiRrvMGUrYv8ZExSj0PiQfG8e6ik+v58/nhAc0gTXdPJk2EAt0TZ+M3mi51sbk&#10;FIzN9tZEtgeagvV6TF/mRMB/heUqK8B2iOtdw3y0CuRLJ1k6BtLH0bPguQerJGdG0SvKFgFCmUCb&#10;SyKptHE5QfUzeiKaRR5kzdbWyyPdzS5E3bQkzKTvOXtoFvruT3Obh+3hnuyHb3X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OK3XAAAACQEAAA8AAAAAAAAAAQAgAAAAIgAAAGRycy9kb3ducmV2&#10;LnhtbFBLAQIUABQAAAAIAIdO4kAui9NX/QEAAPMDAAAOAAAAAAAAAAEAIAAAACYBAABkcnMvZTJv&#10;RG9jLnhtbFBLBQYAAAAABgAGAFkBAACVBQAAAAA=&#10;">
                      <v:fill on="f" focussize="0,0"/>
                      <v:stroke weight="2.25pt" color="#FF0000" joinstyle="round"/>
                      <v:imagedata o:title=""/>
                      <o:lock v:ext="edit" aspectratio="f"/>
                    </v:line>
                  </w:pict>
                </mc:Fallback>
              </mc:AlternateContent>
            </w:r>
            <w:r>
              <w:rPr>
                <w:rFonts w:hint="default" w:ascii="Times New Roman" w:hAnsi="Times New Roman" w:eastAsia="宋体" w:cs="Times New Roman"/>
                <w:color w:val="FFFFFF"/>
                <w:sz w:val="52"/>
                <w:szCs w:val="52"/>
              </w:rPr>
              <w:t xml:space="preserve">               </w:t>
            </w:r>
          </w:p>
        </w:tc>
      </w:tr>
    </w:tbl>
    <w:p w14:paraId="3B11229A">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_GBK" w:cs="Times New Roman"/>
          <w:sz w:val="44"/>
          <w:szCs w:val="44"/>
        </w:rPr>
      </w:pPr>
    </w:p>
    <w:p w14:paraId="44ECE41D">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黔江区</w:t>
      </w:r>
      <w:r>
        <w:rPr>
          <w:rFonts w:hint="default" w:ascii="Times New Roman" w:hAnsi="Times New Roman" w:eastAsia="方正小标宋_GBK" w:cs="Times New Roman"/>
          <w:sz w:val="44"/>
          <w:szCs w:val="44"/>
          <w:lang w:val="en-US" w:eastAsia="zh-CN"/>
        </w:rPr>
        <w:t>邻鄂镇人民政府</w:t>
      </w:r>
    </w:p>
    <w:p w14:paraId="1F738CAA">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关于开展2025年“安全生产月”活动的</w:t>
      </w:r>
    </w:p>
    <w:p w14:paraId="2229001F">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14:paraId="27C5642C">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方正仿宋_GBK" w:cs="Times New Roman"/>
          <w:sz w:val="32"/>
          <w:szCs w:val="32"/>
        </w:rPr>
      </w:pPr>
    </w:p>
    <w:p w14:paraId="3033AC10">
      <w:pPr>
        <w:pStyle w:val="2"/>
        <w:keepNext w:val="0"/>
        <w:keepLines w:val="0"/>
        <w:pageBreakBefore w:val="0"/>
        <w:widowControl w:val="0"/>
        <w:kinsoku/>
        <w:wordWrap/>
        <w:overflowPunct/>
        <w:topLinePunct w:val="0"/>
        <w:autoSpaceDE/>
        <w:autoSpaceDN/>
        <w:bidi w:val="0"/>
        <w:adjustRightInd/>
        <w:snapToGrid w:val="0"/>
        <w:spacing w:beforeAutospacing="0" w:afterAutospacing="0" w:line="592" w:lineRule="exact"/>
        <w:jc w:val="both"/>
        <w:textAlignment w:val="auto"/>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color w:val="000000"/>
          <w:kern w:val="2"/>
          <w:sz w:val="32"/>
          <w:szCs w:val="32"/>
          <w:lang w:val="en-US" w:eastAsia="zh-CN" w:bidi="ar-SA"/>
        </w:rPr>
        <w:t>各村（居），各办（室、大队、中心），镇级各部门，相关企业：</w:t>
      </w:r>
    </w:p>
    <w:p w14:paraId="2D899FA9">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今年6月是第24个全国“安全生产月”，6月16日为全国“安全宣传咨询日”。按照区安委办《关于开展2025年全区“安全生产月”活动的通知》（</w:t>
      </w:r>
      <w:r>
        <w:rPr>
          <w:rFonts w:hint="default" w:ascii="Times New Roman" w:hAnsi="Times New Roman" w:eastAsia="方正仿宋_GBK" w:cs="Times New Roman"/>
          <w:bCs/>
          <w:color w:val="auto"/>
          <w:sz w:val="32"/>
          <w:szCs w:val="32"/>
        </w:rPr>
        <w:t>黔江</w:t>
      </w:r>
      <w:r>
        <w:rPr>
          <w:rFonts w:hint="default" w:ascii="Times New Roman" w:hAnsi="Times New Roman" w:eastAsia="方正仿宋_GBK" w:cs="Times New Roman"/>
          <w:bCs/>
          <w:color w:val="auto"/>
          <w:sz w:val="32"/>
          <w:szCs w:val="32"/>
          <w:lang w:eastAsia="zh-CN"/>
        </w:rPr>
        <w:t>安</w:t>
      </w:r>
      <w:r>
        <w:rPr>
          <w:rFonts w:hint="default" w:ascii="Times New Roman" w:hAnsi="Times New Roman" w:eastAsia="方正仿宋_GBK" w:cs="Times New Roman"/>
          <w:bCs/>
          <w:color w:val="auto"/>
          <w:sz w:val="32"/>
          <w:szCs w:val="32"/>
        </w:rPr>
        <w:t>办</w:t>
      </w:r>
      <w:r>
        <w:rPr>
          <w:rFonts w:hint="default" w:ascii="Times New Roman" w:hAnsi="Times New Roman" w:eastAsia="方正仿宋_GBK" w:cs="Times New Roman"/>
          <w:bCs/>
          <w:color w:val="auto"/>
          <w:sz w:val="32"/>
          <w:szCs w:val="32"/>
          <w:lang w:eastAsia="zh-CN"/>
        </w:rPr>
        <w:t>发</w:t>
      </w: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18</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lang w:val="en-US" w:eastAsia="zh-CN"/>
        </w:rPr>
        <w:t>的要求，结合我镇实际，决定在辖区开展2025年“安全生产月”活动。现将有关事项通知如下：</w:t>
      </w:r>
    </w:p>
    <w:p w14:paraId="35512E9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一、活动主题</w:t>
      </w:r>
    </w:p>
    <w:p w14:paraId="558EF91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人人讲安全、个个会应急——查找身边安全隐患。</w:t>
      </w:r>
    </w:p>
    <w:p w14:paraId="636DB96B">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二、活动时间</w:t>
      </w:r>
    </w:p>
    <w:p w14:paraId="4DED4D1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5月30日—6月30日。</w:t>
      </w:r>
    </w:p>
    <w:p w14:paraId="277C192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三、活动内容</w:t>
      </w:r>
    </w:p>
    <w:p w14:paraId="534087B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（一）深入宣传贯彻习近平总书记关于安全生产重要论述和重要指示批示精神</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要组织学习习近平总书记关于安全生产重要论述和重要指示批示精神，通过发表理论文章、评论言论、实践报道等形式开展宣传阐释，推动理论学习入脑入心、见行见效。聚焦“人人讲安全、个个会应急”，组织开展安全生产微课堂、主题读书等活动，组织观看“安全生产月”主题宣传片、安全生产治本攻坚三年行动专题片、事故警示教育片、典型案例解析片和“全民安全公开课”等，切实筑牢安全生产人民防线。</w:t>
      </w:r>
    </w:p>
    <w:p w14:paraId="1CF6330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（二）组织开展“安全宣传咨询日”活动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要结合工作实际，围绕“人人讲安全、个个会应急——查找身边安全隐患”活动主题，组织开展“安全宣传咨询日”活动。现场播放“安全生产月”活动宣传片和公益广告，举行安全倡议、安全宣誓和安全文化特色文艺演出等活动。要加强社会化氛围营造，5月下旬至6月底，集中在邮政网点电子屏、社区电子阅报栏、户外LED屏及客车等交通工具电子显示屏持续滚动播放安全公益广告，在广场、学校、农村“坡坎墙”等位置，广泛张贴或悬挂安全标语、横幅、宣传画，将安全宣传标语、宣传画精准寄达广大群众，形成强大宣传声势。</w:t>
      </w:r>
    </w:p>
    <w:p w14:paraId="0FF0926B">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）组织参加“安全隐患我查找”网络知识答题活动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6月1日—6月30日，全国安全生产月活动组委会办公室将在全国范围内组织开展“安全隐患我查找”网络知识答题活动，旨在通过全民闯关答题进行全民安全知识普及，提升全民安全意识，筑牢全民安全防线。要切实加强组织宣传，广泛发动干部职工、社会群众参与，营造人人查找安全隐患、个个学习应急技能的浓厚氛围。活动通过登录“国家应急科普宣传”微信公众号参与答题方式进行，设有企业、农村、社区、学校、家庭五个场景，参与者每日只挑战一个关卡，每个关卡设置5个隐患点，找到一个隐患点会出现1道题目。每发现1个隐患点获得1积分，每答对1题获得1积分（答错不得分）。活动平台分别提供地方和央企入口，地方参与者为各类单位职工和社会公众，央企参与者为本企业职工。本次活动为公益活动，不强制参加，不进行地区和企业积分排名。</w:t>
      </w:r>
    </w:p>
    <w:p w14:paraId="5AB1F970">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）组织参加“查找身边隐患，分享安全笔记”小红书安全训练营活动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6月1日—12月31日，全国安全生产月活动组委会办公室将在全国范围内组织开展“查找身边隐患，分享安全笔记”小红书安全训练营活动，旨在发挥好新媒体传播优势，加强互动分享，引导广大群众积极参与安全知识传播。参与者通过关注小红书“查找身边隐患安全训练营”账号参与活动，观看应急科普短视频和专家直播，学习应急科普知识，分享“查找、报告或消除身边安全隐患”的安全笔记。分享发布笔记时，可以输入#“查找身边隐患安全训练营”话题，发布内容必须是已经向责任单位报告或消除的安全隐患，所涉及知识、数据和信息须科学、规范、准确，符合相关法律要求和相关单位的合法权益，优秀的“安全笔记”将在国家应急管理宣教网、全国安全生产月官网展示。本次小红书安全训练营为公益宣传活动，自愿参与，无任何收费。</w:t>
      </w:r>
    </w:p>
    <w:p w14:paraId="31CF72A8">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）组织开展“安全隐患排查和消除隐患演练”行动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要聚焦“查找身边安全隐患”这一主要内容，持续深化安全生产治本攻坚三年行动和生产经营单位事故隐患内部报告奖励机制的宣传，积极开展应知应会培训、岗位练兵、技能竞赛等活动。采取专家解读、骨干宣讲、案例警示等方式，加强重大事故隐患判定标准的培训宣贯，教育引导企业生产经营从业人员真正学懂会用。要聚焦矿山、危险化学品、消防、交通运输、工贸等重点行业领域和群众身边潜在的安全风险，组织专家开展上门培训教学、隐患问题查找等专业技术帮扶活动。用好“明查暗访+媒体曝光”工作机制，聚焦重点行业领域和社会热点难点问题，推出深度曝光报道。要开展以隐患识别、应急处置、逃生避险为重点的数字推演、实战模拟和综合演练，进一步提升基层应急管理能力。充分运用举报奖励机制，鼓励广大群众积极举报身边的安全隐患，争做公共安全的吹哨人。</w:t>
      </w:r>
    </w:p>
    <w:p w14:paraId="0371880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）持续推进安全宣传“五进”工作</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围绕“查找身边安全隐患”，以安全宣传“五进”为主线，创建“五进”示范点，广泛开展“千师万讲”安全知识大宣讲，让安全宣传深入基层、热在群众，推动全社会人口素质提升和全员参与。各村（居）要重点宣传普及农业机械、有限空间、自建房、燃气、沼气、烤火取暖防范一氧化碳中毒等重点领域安全风险隐患，开展“一老一小”等重点人群关爱行动。企业要深入宣传贯彻安全生产治本攻坚三年行动和防灾减灾救灾固本强基三年行动，组织员工学好用好重大事故隐患判定标准，开展针对性的应急演练。有关单位要加强安全宣传阵地建设，将安全元素充分融入广场、农家书屋等，广泛发动安全网格员、安全志愿者和公众查找电动自行车违规充电、老旧电路“带病工作”、违规动火等身边安全隐患。学校要将安全教育融入日常教学，针对宿舍、教室、实验室、食堂、图书馆等重点场所开展“安全隐患大起底”活动和防溺水、消防等安全教育及避险逃生演练。要号召家庭开展居家安全隐患自查，学习高层建筑火灾逃生、用电用气等安全知识，熟知避险逃生路线，掌握自救互救技能。</w:t>
      </w:r>
    </w:p>
    <w:p w14:paraId="1086EEC1">
      <w:pPr>
        <w:pStyle w:val="8"/>
        <w:keepNext w:val="0"/>
        <w:keepLines w:val="0"/>
        <w:pageBreakBefore w:val="0"/>
        <w:widowControl w:val="0"/>
        <w:kinsoku/>
        <w:wordWrap/>
        <w:overflowPunct/>
        <w:topLinePunct w:val="0"/>
        <w:bidi w:val="0"/>
        <w:spacing w:line="592" w:lineRule="exact"/>
        <w:textAlignment w:val="auto"/>
        <w:rPr>
          <w:rFonts w:hint="default" w:ascii="Times New Roman" w:hAnsi="Times New Roman" w:eastAsia="方正仿宋_GBK" w:cs="Times New Roman"/>
          <w:sz w:val="32"/>
          <w:szCs w:val="32"/>
          <w:lang w:val="en-US" w:eastAsia="zh-CN"/>
        </w:rPr>
      </w:pPr>
    </w:p>
    <w:p w14:paraId="1E7ED0C8">
      <w:pPr>
        <w:keepNext w:val="0"/>
        <w:keepLines w:val="0"/>
        <w:pageBreakBefore w:val="0"/>
        <w:widowControl w:val="0"/>
        <w:kinsoku/>
        <w:wordWrap/>
        <w:overflowPunct/>
        <w:topLinePunct w:val="0"/>
        <w:bidi w:val="0"/>
        <w:spacing w:line="592" w:lineRule="exact"/>
        <w:textAlignment w:val="auto"/>
        <w:rPr>
          <w:rFonts w:hint="default" w:ascii="Times New Roman" w:hAnsi="Times New Roman" w:eastAsia="方正仿宋_GBK" w:cs="Times New Roman"/>
          <w:sz w:val="32"/>
          <w:szCs w:val="32"/>
          <w:lang w:val="en-US" w:eastAsia="zh-CN"/>
        </w:rPr>
      </w:pPr>
    </w:p>
    <w:p w14:paraId="68101DB9">
      <w:pPr>
        <w:pStyle w:val="8"/>
        <w:keepNext w:val="0"/>
        <w:keepLines w:val="0"/>
        <w:pageBreakBefore w:val="0"/>
        <w:widowControl w:val="0"/>
        <w:kinsoku/>
        <w:wordWrap/>
        <w:overflowPunct/>
        <w:topLinePunct w:val="0"/>
        <w:bidi w:val="0"/>
        <w:spacing w:line="592"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黔江区邻鄂镇人民政府</w:t>
      </w:r>
    </w:p>
    <w:p w14:paraId="4810F31A">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2025年5月29日</w:t>
      </w:r>
    </w:p>
    <w:p w14:paraId="30A9AE28">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73581A0B">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1FD89221">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bookmarkStart w:id="0" w:name="_GoBack"/>
      <w:bookmarkEnd w:id="0"/>
    </w:p>
    <w:p w14:paraId="33606630">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6F57DC9B">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71015A3A">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282DE009">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109EA975">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0DB9EF0A">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7A603937">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179E0DB4">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2DF19652">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55A8B03C">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46800213">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26AB66C1">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29497FAA">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3DF9E249">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1F00B491">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02C39189">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7167DCA1">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075A3D7C">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60722A0F">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51BAD57D">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0159E615">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38866582">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6E4BBF55">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61826E6F">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7F84A8EB">
      <w:pPr>
        <w:keepNext w:val="0"/>
        <w:keepLines w:val="0"/>
        <w:pageBreakBefore w:val="0"/>
        <w:widowControl w:val="0"/>
        <w:kinsoku/>
        <w:wordWrap/>
        <w:overflowPunct/>
        <w:topLinePunct w:val="0"/>
        <w:bidi w:val="0"/>
        <w:spacing w:line="592" w:lineRule="exact"/>
        <w:ind w:firstLine="5440" w:firstLineChars="1700"/>
        <w:textAlignment w:val="auto"/>
        <w:rPr>
          <w:rFonts w:hint="default" w:ascii="Times New Roman" w:hAnsi="Times New Roman" w:eastAsia="方正仿宋_GBK" w:cs="Times New Roman"/>
          <w:sz w:val="32"/>
          <w:szCs w:val="32"/>
          <w:lang w:val="en-US" w:eastAsia="zh-CN"/>
        </w:rPr>
      </w:pPr>
    </w:p>
    <w:p w14:paraId="1BAE7C5D">
      <w:pPr>
        <w:keepNext w:val="0"/>
        <w:keepLines w:val="0"/>
        <w:pageBreakBefore w:val="0"/>
        <w:kinsoku/>
        <w:wordWrap/>
        <w:overflowPunct/>
        <w:topLinePunct w:val="0"/>
        <w:bidi w:val="0"/>
        <w:spacing w:line="592" w:lineRule="exact"/>
        <w:textAlignment w:val="auto"/>
        <w:rPr>
          <w:rFonts w:hint="default" w:ascii="Times New Roman" w:hAnsi="Times New Roman" w:eastAsia="方正仿宋_GBK" w:cs="Times New Roman"/>
          <w:bCs/>
          <w:sz w:val="32"/>
          <w:szCs w:val="32"/>
        </w:rPr>
      </w:pPr>
    </w:p>
    <w:p w14:paraId="313566F8">
      <w:pPr>
        <w:keepNext w:val="0"/>
        <w:keepLines w:val="0"/>
        <w:pageBreakBefore w:val="0"/>
        <w:widowControl w:val="0"/>
        <w:kinsoku/>
        <w:wordWrap/>
        <w:overflowPunct/>
        <w:topLinePunct w:val="0"/>
        <w:autoSpaceDE/>
        <w:autoSpaceDN/>
        <w:bidi w:val="0"/>
        <w:adjustRightInd/>
        <w:snapToGrid/>
        <w:spacing w:line="592" w:lineRule="exact"/>
        <w:ind w:firstLine="28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400685</wp:posOffset>
                </wp:positionV>
                <wp:extent cx="5667375" cy="0"/>
                <wp:effectExtent l="0" t="9525" r="9525" b="9525"/>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55pt;height:0pt;width:446.25pt;z-index:251660288;mso-width-relative:page;mso-height-relative:page;" filled="f" stroked="t" coordsize="21600,21600" o:gfxdata="UEsDBAoAAAAAAIdO4kAAAAAAAAAAAAAAAAAEAAAAZHJzL1BLAwQUAAAACACHTuJAWu2sY9MAAAAH&#10;AQAADwAAAGRycy9kb3ducmV2LnhtbE2OwU7DMBBE70j8g7VI3KgTKFGaxqlEJS69ESrguI1NEtVe&#10;R7GbNn/PIg70trMzmnnl5uKsmMwYek8K0kUCwlDjdU+tgv3760MOIkQkjdaTUTCbAJvq9qbEQvsz&#10;vZmpjq3gEgoFKuhiHAopQ9MZh2HhB0PsffvRYWQ5tlKPeOZyZ+VjkmTSYU+80OFgtp1pjvXJccvz&#10;Z/6yw3w/z7b+Wi23H7uJnFL3d2myBhHNJf6H4Ref0aFipoM/kQ7Css44qCB7SkGwna+WfBz+HrIq&#10;5TV/9QNQSwMEFAAAAAgAh07iQC0dsiD3AQAA5QMAAA4AAABkcnMvZTJvRG9jLnhtbK1TzY7TMBC+&#10;I/EOlu80bVG7bNR0D1uWC4JKwANMHSex5D953KZ9CV4AiRucOHLnbXZ5DMZOt7sslx7IwRl7xt/M&#10;9814cbU3mu1kQOVsxSejMWfSClcr21b808ebF684wwi2Bu2srPhBIr9aPn+26H0pp65zupaBEYjF&#10;svcV72L0ZVGg6KQBHDkvLTkbFwxE2oa2qAP0hG50MR2P50XvQu2DExKRTleDkx8RwzmArmmUkCsn&#10;tkbaOKAGqSESJeyUR77M1TaNFPF906CMTFecmMa8UhKyN2ktlgso2wC+U+JYApxTwhNOBpSlpCeo&#10;FURg26D+gTJKBIeuiSPhTDEQyYoQi8n4iTYfOvAycyGp0Z9Ex/8HK97t1oGpuuJTziwYavjdl5+3&#10;n7/9/vWV1rsf39k0idR7LCn22q7DcYd+HRLjfRNM+hMXts/CHk7Cyn1kgg5n8/nFy4sZZ+LeVzxc&#10;9AHjG+kMS0bFtbKJM5Swe4uRklHofUg61pb1NLeX4xn1UABNYEOdJ9N4YoG2zZfRaVXfKK3TFQzt&#10;5loHtoM0BflLnAj4r7CUZQXYDXHZNcxHJ6F+bWsWD570sfQseKrByJozLekVJYsAoYyg9DmRlFpb&#10;qiDJOgiZrI2rD9SNrQ+q7UiKSa4yeaj7ud7jpKbxerzPSA+v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u2sY9MAAAAHAQAADwAAAAAAAAABACAAAAAiAAAAZHJzL2Rvd25yZXYueG1sUEsBAhQA&#10;FAAAAAgAh07iQC0dsiD3AQAA5QMAAA4AAAAAAAAAAQAgAAAAIgEAAGRycy9lMm9Eb2MueG1sUEsF&#10;BgAAAAAGAAYAWQEAAIsFAAAAAA==&#10;">
                <v:fill on="f" focussize="0,0"/>
                <v:stroke weight="1.5pt" color="#000000" joinstyle="round"/>
                <v:imagedata o:title=""/>
                <o:lock v:ext="edit" aspectratio="f"/>
              </v:line>
            </w:pict>
          </mc:Fallback>
        </mc:AlternateContent>
      </w:r>
      <w:r>
        <w:rPr>
          <w:rFonts w:hint="default" w:ascii="Times New Roman" w:hAnsi="Times New Roman" w:eastAsia="方正仿宋_GB2312" w:cs="Times New Roman"/>
          <w:sz w:val="28"/>
          <w:szCs w:val="28"/>
        </w:rPr>
        <w:t>黔江区</w:t>
      </w:r>
      <w:r>
        <w:rPr>
          <w:rFonts w:hint="default" w:ascii="Times New Roman" w:hAnsi="Times New Roman" w:eastAsia="方正仿宋_GB2312" w:cs="Times New Roman"/>
          <w:sz w:val="28"/>
          <w:szCs w:val="28"/>
          <w:lang w:eastAsia="zh-CN"/>
        </w:rPr>
        <w:t>邻鄂</w:t>
      </w:r>
      <w:r>
        <w:rPr>
          <w:rFonts w:hint="default" w:ascii="Times New Roman" w:hAnsi="Times New Roman" w:eastAsia="方正仿宋_GB2312" w:cs="Times New Roman"/>
          <w:sz w:val="28"/>
          <w:szCs w:val="28"/>
        </w:rPr>
        <w:t>镇</w:t>
      </w:r>
      <w:r>
        <w:rPr>
          <w:rFonts w:hint="default" w:ascii="Times New Roman" w:hAnsi="Times New Roman" w:eastAsia="方正仿宋_GB2312" w:cs="Times New Roman"/>
          <w:sz w:val="28"/>
          <w:szCs w:val="28"/>
          <w:lang w:eastAsia="zh-CN"/>
        </w:rPr>
        <w:t>基层治理综合指挥</w:t>
      </w:r>
      <w:r>
        <w:rPr>
          <w:rFonts w:hint="default" w:ascii="Times New Roman" w:hAnsi="Times New Roman" w:eastAsia="方正仿宋_GB2312" w:cs="Times New Roman"/>
          <w:sz w:val="28"/>
          <w:szCs w:val="28"/>
        </w:rPr>
        <w:t>室</w:t>
      </w:r>
      <w:r>
        <w:rPr>
          <w:rFonts w:hint="default" w:ascii="Times New Roman" w:hAnsi="Times New Roman" w:eastAsia="方正仿宋_GB2312" w:cs="Times New Roman"/>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21590</wp:posOffset>
                </wp:positionV>
                <wp:extent cx="566737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pt;height:0pt;width:446.25pt;z-index:251661312;mso-width-relative:page;mso-height-relative:page;" filled="f" stroked="t" coordsize="21600,21600" o:gfxdata="UEsDBAoAAAAAAIdO4kAAAAAAAAAAAAAAAAAEAAAAZHJzL1BLAwQUAAAACACHTuJA8MkJltIAAAAE&#10;AQAADwAAAGRycy9kb3ducmV2LnhtbE2PQU/CQBCF7yb+h82YeJMtCKbUbkkk8cLNSpTj0B3axu5s&#10;010K/feOXvT48ibf+ybfXF2nRhpC69nAfJaAIq68bbk2sH9/fUhBhYhssfNMBiYKsClub3LMrL/w&#10;G41lrJVAOGRooImxz7QOVUMOw8z3xNKd/OAwShxqbQe8CNx1epEkT9phy7LQYE/bhqqv8uyEsvpM&#10;X3aY7qepKw/r5fZjN7Iz5v5unjyDinSNf8fwoy/qUIjT0Z/ZBtUZkEeigcclKCnT9WIF6vibdZHr&#10;//LFN1BLAwQUAAAACACHTuJAtFlvSvcBAADlAwAADgAAAGRycy9lMm9Eb2MueG1srVNLjhMxEN0j&#10;cQfLe9LJRMlAK51ZTBg2CCIBB6i43d2W/JPLSSeX4AJI7GDFkj23YTgGZXcm82GTBb1wl13lV/Ve&#10;lRdXe6PZTgZUzlZ8MhpzJq1wtbJtxT99vHnxkjOMYGvQzsqKHyTyq+XzZ4vel/LCdU7XMjACsVj2&#10;vuJdjL4sChSdNIAj56UlZ+OCgUjb0BZ1gJ7QjS4uxuN50btQ++CERKTT1eDkR8RwDqBrGiXkyomt&#10;kTYOqEFqiEQJO+WRL3O1TSNFfN80KCPTFSemMa+UhOxNWovlAso2gO+UOJYA55TwhJMBZSnpCWoF&#10;Edg2qH+gjBLBoWviSDhTDESyIsRiMn6izYcOvMxcSGr0J9Hx/8GKd7t1YKqu+JQzC4Yafvvl5+/P&#10;3/78+krr7Y/vbJpE6j2WFHtt1+G4Q78OifG+CSb9iQvbZ2EPJ2HlPjJBh7P5/HJ6OeNM3PmK+4s+&#10;YHwjnWHJqLhWNnGGEnZvMVIyCr0LScfasp7m9tV4Rj0UQBPYUOfJNJ5YoG3zZXRa1TdK63QFQ7u5&#10;1oHtIE1B/hInAn4UlrKsALshLruG+egk1K9tzeLBkz6WngVPNRhZc6YlvaJkESCUEZQ+J5JSa0sV&#10;JFkHIZO1cfWBurH1QbUdSTHJVSYPdT/Xe5zUNF4P9xnp/nUu/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yQmW0gAAAAQBAAAPAAAAAAAAAAEAIAAAACIAAABkcnMvZG93bnJldi54bWxQSwECFAAU&#10;AAAACACHTuJAtFlvSvcBAADlAwAADgAAAAAAAAABACAAAAAh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方正仿宋_GB2312" w:cs="Times New Roman"/>
          <w:sz w:val="28"/>
          <w:szCs w:val="28"/>
        </w:rPr>
        <w:t xml:space="preserve">           20</w:t>
      </w:r>
      <w:r>
        <w:rPr>
          <w:rFonts w:hint="default" w:ascii="Times New Roman" w:hAnsi="Times New Roman" w:eastAsia="方正仿宋_GB2312" w:cs="Times New Roman"/>
          <w:sz w:val="28"/>
          <w:szCs w:val="28"/>
          <w:lang w:val="en-US" w:eastAsia="zh-CN"/>
        </w:rPr>
        <w:t>25</w:t>
      </w:r>
      <w:r>
        <w:rPr>
          <w:rFonts w:hint="default" w:ascii="Times New Roman" w:hAnsi="Times New Roman" w:eastAsia="方正仿宋_GB2312" w:cs="Times New Roman"/>
          <w:sz w:val="28"/>
          <w:szCs w:val="28"/>
        </w:rPr>
        <w:t>年</w:t>
      </w:r>
      <w:r>
        <w:rPr>
          <w:rFonts w:hint="default"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月</w:t>
      </w:r>
      <w:r>
        <w:rPr>
          <w:rFonts w:hint="default" w:ascii="Times New Roman" w:hAnsi="Times New Roman" w:eastAsia="方正仿宋_GB2312" w:cs="Times New Roman"/>
          <w:sz w:val="28"/>
          <w:szCs w:val="28"/>
          <w:lang w:val="en-US" w:eastAsia="zh-CN"/>
        </w:rPr>
        <w:t>2</w:t>
      </w:r>
      <w:r>
        <w:rPr>
          <w:rFonts w:hint="eastAsia" w:ascii="Times New Roman" w:hAnsi="Times New Roman" w:eastAsia="方正仿宋_GB2312" w:cs="Times New Roman"/>
          <w:sz w:val="28"/>
          <w:szCs w:val="28"/>
          <w:lang w:val="en-US" w:eastAsia="zh-CN"/>
        </w:rPr>
        <w:t>9</w:t>
      </w:r>
      <w:r>
        <w:rPr>
          <w:rFonts w:hint="default" w:ascii="Times New Roman" w:hAnsi="Times New Roman" w:eastAsia="方正仿宋_GB2312" w:cs="Times New Roman"/>
          <w:sz w:val="28"/>
          <w:szCs w:val="28"/>
        </w:rPr>
        <w:t>日</w:t>
      </w:r>
      <w:r>
        <w:rPr>
          <w:rFonts w:hint="default" w:ascii="Times New Roman" w:hAnsi="Times New Roman" w:eastAsia="方正仿宋_GB2312" w:cs="Times New Roman"/>
          <w:sz w:val="28"/>
          <w:szCs w:val="28"/>
          <w:lang w:eastAsia="zh-CN"/>
        </w:rPr>
        <w:t>印</w:t>
      </w:r>
      <w:r>
        <w:rPr>
          <w:rFonts w:hint="default" w:ascii="Times New Roman" w:hAnsi="Times New Roman" w:eastAsia="方正仿宋_GB2312" w:cs="Times New Roman"/>
          <w:sz w:val="28"/>
          <w:szCs w:val="28"/>
          <w:lang w:val="en-US" w:eastAsia="zh-CN"/>
        </w:rPr>
        <w:t>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9" w:usb3="00000000" w:csb0="2000019F" w:csb1="00000000"/>
    <w:embedRegular r:id="rId1" w:fontKey="{1E93A054-DD66-4B61-A59F-1C3475619DB4}"/>
  </w:font>
  <w:font w:name="方正仿宋_GBK">
    <w:panose1 w:val="03000509000000000000"/>
    <w:charset w:val="86"/>
    <w:family w:val="script"/>
    <w:pitch w:val="default"/>
    <w:sig w:usb0="00000001" w:usb1="080E0000" w:usb2="00000000" w:usb3="00000000" w:csb0="00040000" w:csb1="00000000"/>
    <w:embedRegular r:id="rId2" w:fontKey="{C226F300-C1D9-4796-9A30-6F77732F9E13}"/>
  </w:font>
  <w:font w:name="方正小标宋_GBK">
    <w:panose1 w:val="03000509000000000000"/>
    <w:charset w:val="86"/>
    <w:family w:val="script"/>
    <w:pitch w:val="default"/>
    <w:sig w:usb0="00000001" w:usb1="080E0000" w:usb2="00000000" w:usb3="00000000" w:csb0="00040000" w:csb1="00000000"/>
    <w:embedRegular r:id="rId3" w:fontKey="{C308FAF7-91AB-4F25-A18A-C6670D404670}"/>
  </w:font>
  <w:font w:name="方正黑体_GBK">
    <w:panose1 w:val="03000509000000000000"/>
    <w:charset w:val="86"/>
    <w:family w:val="auto"/>
    <w:pitch w:val="default"/>
    <w:sig w:usb0="00000001" w:usb1="080E0000" w:usb2="00000000" w:usb3="00000000" w:csb0="00040000" w:csb1="00000000"/>
    <w:embedRegular r:id="rId4" w:fontKey="{DA0CCD7E-8100-4CA7-8A86-76905DB10616}"/>
  </w:font>
  <w:font w:name="方正楷体_GBK">
    <w:panose1 w:val="03000509000000000000"/>
    <w:charset w:val="86"/>
    <w:family w:val="script"/>
    <w:pitch w:val="default"/>
    <w:sig w:usb0="00000001" w:usb1="080E0000" w:usb2="00000000" w:usb3="00000000" w:csb0="00040000" w:csb1="00000000"/>
    <w:embedRegular r:id="rId5" w:fontKey="{F067E52E-BC07-432B-977D-EAF60163CCCF}"/>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6" w:fontKey="{6C601EA4-DFE1-43A3-AF6E-329CD06BD7FF}"/>
  </w:font>
  <w:font w:name="Segoe UI">
    <w:panose1 w:val="020B0502040204020203"/>
    <w:charset w:val="00"/>
    <w:family w:val="auto"/>
    <w:pitch w:val="default"/>
    <w:sig w:usb0="E10022FF" w:usb1="C000E47F" w:usb2="00000029" w:usb3="00000000" w:csb0="200001DF" w:csb1="20000000"/>
  </w:font>
  <w:font w:name="Courier">
    <w:panose1 w:val="02060409020205020404"/>
    <w:charset w:val="00"/>
    <w:family w:val="auto"/>
    <w:pitch w:val="default"/>
    <w:sig w:usb0="00000007" w:usb1="00000000" w:usb2="00000000" w:usb3="00000000" w:csb0="00000093"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443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224F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0288;mso-width-relative:page;mso-height-relative:page;" filled="f" stroked="f" coordsize="21600,21600" o:gfxdata="UEsDBAoAAAAAAIdO4kAAAAAAAAAAAAAAAAAEAAAAZHJzL1BLAwQUAAAACACHTuJApjjWeN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HQPLeVEwnBju8wxk&#10;Xcn/A+of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ONZ41AAAAAg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14:paraId="0E1224F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A0650"/>
    <w:rsid w:val="1EC31789"/>
    <w:rsid w:val="1FDE58BE"/>
    <w:rsid w:val="31AC7296"/>
    <w:rsid w:val="358856A2"/>
    <w:rsid w:val="3E1A70B4"/>
    <w:rsid w:val="4B252AE5"/>
    <w:rsid w:val="56251A15"/>
    <w:rsid w:val="59E7033A"/>
    <w:rsid w:val="5E0503F5"/>
    <w:rsid w:val="6C613F7C"/>
    <w:rsid w:val="768F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2317</Words>
  <Characters>2357</Characters>
  <Lines>0</Lines>
  <Paragraphs>0</Paragraphs>
  <TotalTime>1</TotalTime>
  <ScaleCrop>false</ScaleCrop>
  <LinksUpToDate>false</LinksUpToDate>
  <CharactersWithSpaces>2424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WPS_1479871729</cp:lastModifiedBy>
  <cp:lastPrinted>2025-05-29T07:05:00Z</cp:lastPrinted>
  <dcterms:modified xsi:type="dcterms:W3CDTF">2025-08-21T04:20:06Z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eyJoZGlkIjoiYzk1MDhlZGQ2ODhjZGJmMTU3MzkwNWFmOTM2MTA5NWUiLCJ1c2VySWQiOiIyNTI4OTgzNjYifQ==</vt:lpwstr>
  </property>
  <property fmtid="{D5CDD505-2E9C-101B-9397-08002B2CF9AE}" pid="4" name="ICV">
    <vt:lpwstr>89D8055223FB4618996F65B24F03B08F_13</vt:lpwstr>
  </property>
</Properties>
</file>