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FD324">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楷体_GBK" w:cs="Times New Roman"/>
          <w:sz w:val="32"/>
          <w:szCs w:val="32"/>
        </w:rPr>
      </w:pPr>
    </w:p>
    <w:p w14:paraId="4808C159">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7FBD050B">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31C92778">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30FB7D82">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3C120693">
      <w:pPr>
        <w:keepNext w:val="0"/>
        <w:keepLines w:val="0"/>
        <w:pageBreakBefore w:val="0"/>
        <w:widowControl w:val="0"/>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4EC8323F">
      <w:pPr>
        <w:keepNext w:val="0"/>
        <w:keepLines w:val="0"/>
        <w:pageBreakBefore w:val="0"/>
        <w:widowControl w:val="0"/>
        <w:tabs>
          <w:tab w:val="left" w:pos="3600"/>
        </w:tabs>
        <w:kinsoku/>
        <w:wordWrap/>
        <w:overflowPunct/>
        <w:topLinePunct w:val="0"/>
        <w:autoSpaceDE/>
        <w:autoSpaceDN/>
        <w:bidi w:val="0"/>
        <w:adjustRightInd/>
        <w:snapToGrid/>
        <w:spacing w:line="594" w:lineRule="exact"/>
        <w:ind w:right="18" w:rightChars="6"/>
        <w:textAlignment w:val="auto"/>
        <w:outlineLvl w:val="9"/>
        <w:rPr>
          <w:rFonts w:hint="default" w:ascii="Times New Roman" w:hAnsi="Times New Roman" w:eastAsia="方正仿宋_GBK" w:cs="Times New Roman"/>
          <w:sz w:val="32"/>
          <w:szCs w:val="32"/>
        </w:rPr>
      </w:pPr>
    </w:p>
    <w:p w14:paraId="353F6F40">
      <w:pPr>
        <w:keepNext w:val="0"/>
        <w:keepLines w:val="0"/>
        <w:pageBreakBefore w:val="0"/>
        <w:widowControl w:val="0"/>
        <w:tabs>
          <w:tab w:val="left" w:pos="3600"/>
        </w:tabs>
        <w:kinsoku/>
        <w:wordWrap/>
        <w:overflowPunct/>
        <w:topLinePunct w:val="0"/>
        <w:autoSpaceDE/>
        <w:autoSpaceDN/>
        <w:bidi w:val="0"/>
        <w:adjustRightInd/>
        <w:snapToGrid/>
        <w:spacing w:line="594" w:lineRule="exact"/>
        <w:ind w:right="18" w:rightChars="6"/>
        <w:jc w:val="center"/>
        <w:textAlignment w:val="auto"/>
        <w:rPr>
          <w:rFonts w:hint="default" w:ascii="Times New Roman" w:hAnsi="Times New Roman" w:eastAsia="方正楷体_GBK" w:cs="Times New Roman"/>
        </w:rPr>
      </w:pPr>
      <w:r>
        <w:rPr>
          <w:rFonts w:hint="default" w:ascii="Times New Roman" w:hAnsi="Times New Roman" w:eastAsia="方正仿宋_GBK" w:cs="Times New Roman"/>
          <w:sz w:val="32"/>
          <w:szCs w:val="32"/>
        </w:rPr>
        <w:t>马喇府发〔</w:t>
      </w: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w:t>
      </w:r>
      <w:r>
        <w:rPr>
          <w:rFonts w:hint="eastAsia" w:cs="Times New Roman"/>
          <w:sz w:val="32"/>
          <w:szCs w:val="32"/>
          <w:lang w:val="en-US" w:eastAsia="zh-CN"/>
        </w:rPr>
        <w:t>12</w:t>
      </w:r>
      <w:r>
        <w:rPr>
          <w:rFonts w:hint="default" w:ascii="Times New Roman" w:hAnsi="Times New Roman" w:eastAsia="方正仿宋_GBK" w:cs="Times New Roman"/>
          <w:sz w:val="32"/>
          <w:szCs w:val="32"/>
        </w:rPr>
        <w:t>号</w:t>
      </w:r>
    </w:p>
    <w:p w14:paraId="58D929C7">
      <w:pPr>
        <w:keepNext w:val="0"/>
        <w:keepLines w:val="0"/>
        <w:pageBreakBefore w:val="0"/>
        <w:widowControl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sz w:val="44"/>
          <w:szCs w:val="44"/>
        </w:rPr>
      </w:pPr>
    </w:p>
    <w:p w14:paraId="20941067">
      <w:pPr>
        <w:keepNext w:val="0"/>
        <w:keepLines w:val="0"/>
        <w:pageBreakBefore w:val="0"/>
        <w:widowControl w:val="0"/>
        <w:kinsoku/>
        <w:wordWrap/>
        <w:overflowPunct/>
        <w:topLinePunct w:val="0"/>
        <w:autoSpaceDE/>
        <w:autoSpaceDN/>
        <w:bidi w:val="0"/>
        <w:adjustRightInd w:val="0"/>
        <w:snapToGrid/>
        <w:spacing w:line="594" w:lineRule="exact"/>
        <w:jc w:val="center"/>
        <w:textAlignment w:val="auto"/>
        <w:rPr>
          <w:rFonts w:hint="default" w:ascii="Times New Roman" w:hAnsi="Times New Roman" w:eastAsia="方正小标宋_GBK" w:cs="Times New Roman"/>
          <w:bCs/>
          <w:color w:val="000000"/>
          <w:sz w:val="44"/>
          <w:szCs w:val="44"/>
          <w:shd w:val="clear" w:color="auto" w:fill="FFFFFF"/>
        </w:rPr>
      </w:pPr>
      <w:r>
        <w:rPr>
          <w:rFonts w:hint="default" w:ascii="Times New Roman" w:hAnsi="Times New Roman" w:eastAsia="方正小标宋_GBK" w:cs="Times New Roman"/>
          <w:sz w:val="44"/>
          <w:szCs w:val="44"/>
        </w:rPr>
        <w:t>黔江区马喇镇人民政府</w:t>
      </w:r>
    </w:p>
    <w:p w14:paraId="60B4C232">
      <w:pPr>
        <w:pStyle w:val="6"/>
        <w:keepNext w:val="0"/>
        <w:keepLines w:val="0"/>
        <w:pageBreakBefore w:val="0"/>
        <w:widowControl w:val="0"/>
        <w:kinsoku/>
        <w:wordWrap/>
        <w:overflowPunct/>
        <w:topLinePunct w:val="0"/>
        <w:autoSpaceDE/>
        <w:autoSpaceDN/>
        <w:bidi w:val="0"/>
        <w:adjustRightInd w:val="0"/>
        <w:snapToGrid/>
        <w:spacing w:line="594"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关于印发《2025年农家书屋免费开放工作、新时代文明实践工作和文物管理考核办法》的</w:t>
      </w:r>
    </w:p>
    <w:p w14:paraId="52026901">
      <w:pPr>
        <w:pStyle w:val="6"/>
        <w:keepNext w:val="0"/>
        <w:keepLines w:val="0"/>
        <w:pageBreakBefore w:val="0"/>
        <w:widowControl w:val="0"/>
        <w:kinsoku/>
        <w:wordWrap/>
        <w:overflowPunct/>
        <w:topLinePunct w:val="0"/>
        <w:autoSpaceDE/>
        <w:autoSpaceDN/>
        <w:bidi w:val="0"/>
        <w:adjustRightInd w:val="0"/>
        <w:snapToGrid/>
        <w:spacing w:line="594"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通</w:t>
      </w:r>
      <w:r>
        <w:rPr>
          <w:rFonts w:hint="eastAsia" w:ascii="Times New Roman" w:hAnsi="Times New Roman" w:eastAsia="方正小标宋_GBK" w:cs="Times New Roman"/>
          <w:sz w:val="44"/>
          <w:szCs w:val="44"/>
          <w:lang w:val="en-US" w:eastAsia="zh-CN"/>
        </w:rPr>
        <w:t xml:space="preserve">  </w:t>
      </w:r>
      <w:r>
        <w:rPr>
          <w:rFonts w:hint="eastAsia" w:ascii="Times New Roman" w:hAnsi="Times New Roman" w:eastAsia="方正小标宋_GBK" w:cs="Times New Roman"/>
          <w:sz w:val="44"/>
          <w:szCs w:val="44"/>
          <w:lang w:eastAsia="zh-CN"/>
        </w:rPr>
        <w:t>知</w:t>
      </w:r>
    </w:p>
    <w:p w14:paraId="747E62EC">
      <w:pPr>
        <w:pStyle w:val="6"/>
        <w:keepNext w:val="0"/>
        <w:keepLines w:val="0"/>
        <w:pageBreakBefore w:val="0"/>
        <w:widowControl w:val="0"/>
        <w:kinsoku/>
        <w:wordWrap/>
        <w:overflowPunct/>
        <w:topLinePunct w:val="0"/>
        <w:autoSpaceDE/>
        <w:autoSpaceDN/>
        <w:bidi w:val="0"/>
        <w:adjustRightInd w:val="0"/>
        <w:snapToGrid/>
        <w:spacing w:line="540" w:lineRule="exact"/>
        <w:jc w:val="center"/>
        <w:textAlignment w:val="auto"/>
        <w:rPr>
          <w:rFonts w:hint="default" w:ascii="Times New Roman" w:hAnsi="Times New Roman" w:eastAsia="方正小标宋_GBK" w:cs="Times New Roman"/>
          <w:sz w:val="44"/>
          <w:szCs w:val="44"/>
          <w:lang w:eastAsia="zh-CN"/>
        </w:rPr>
      </w:pPr>
    </w:p>
    <w:p w14:paraId="45531821">
      <w:pPr>
        <w:keepNext w:val="0"/>
        <w:keepLines w:val="0"/>
        <w:pageBreakBefore w:val="0"/>
        <w:widowControl w:val="0"/>
        <w:kinsoku/>
        <w:overflowPunct/>
        <w:topLinePunct w:val="0"/>
        <w:autoSpaceDE/>
        <w:autoSpaceDN/>
        <w:bidi w:val="0"/>
        <w:adjustRightInd/>
        <w:snapToGrid/>
        <w:spacing w:line="540" w:lineRule="exact"/>
        <w:textAlignment w:val="auto"/>
        <w:rPr>
          <w:rFonts w:ascii="方正仿宋_GBK" w:eastAsia="方正仿宋_GBK"/>
          <w:sz w:val="32"/>
          <w:szCs w:val="32"/>
        </w:rPr>
      </w:pPr>
      <w:r>
        <w:rPr>
          <w:rFonts w:hint="eastAsia" w:ascii="方正仿宋_GBK" w:eastAsia="方正仿宋_GBK"/>
          <w:sz w:val="32"/>
          <w:szCs w:val="32"/>
        </w:rPr>
        <w:t>各村（居）委：</w:t>
      </w:r>
    </w:p>
    <w:p w14:paraId="4618EF2A">
      <w:pPr>
        <w:pStyle w:val="6"/>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lang w:eastAsia="zh-CN"/>
        </w:rPr>
      </w:pPr>
      <w:r>
        <w:rPr>
          <w:rFonts w:hint="eastAsia" w:ascii="方正仿宋_GBK" w:eastAsia="方正仿宋_GBK"/>
          <w:sz w:val="32"/>
          <w:szCs w:val="32"/>
        </w:rPr>
        <w:t>经镇党委同意，现将《2025年农家书屋免费开放、新时代文明实践、文物管理考核办法》印发给你们，请结合实际认真贯彻执行。</w:t>
      </w:r>
    </w:p>
    <w:p w14:paraId="5800CC17">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lang w:eastAsia="zh-CN"/>
        </w:rPr>
      </w:pPr>
    </w:p>
    <w:p w14:paraId="480F5F29">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lang w:eastAsia="zh-CN"/>
        </w:rPr>
      </w:pPr>
    </w:p>
    <w:p w14:paraId="73AC3D45">
      <w:pPr>
        <w:keepNext w:val="0"/>
        <w:keepLines w:val="0"/>
        <w:pageBreakBefore w:val="0"/>
        <w:widowControl w:val="0"/>
        <w:kinsoku/>
        <w:wordWrap w:val="0"/>
        <w:overflowPunct/>
        <w:topLinePunct w:val="0"/>
        <w:autoSpaceDE/>
        <w:autoSpaceDN/>
        <w:bidi w:val="0"/>
        <w:adjustRightInd/>
        <w:snapToGrid/>
        <w:spacing w:line="540" w:lineRule="exact"/>
        <w:ind w:firstLine="5056" w:firstLineChars="1600"/>
        <w:jc w:val="both"/>
        <w:textAlignment w:val="auto"/>
        <w:rPr>
          <w:rFonts w:hint="default" w:ascii="Times New Roman" w:hAnsi="Times New Roman" w:cs="Times New Roman"/>
          <w:lang w:val="en-US" w:eastAsia="zh-CN"/>
        </w:rPr>
      </w:pPr>
      <w:r>
        <w:rPr>
          <w:rFonts w:hint="default" w:ascii="Times New Roman" w:hAnsi="Times New Roman" w:cs="Times New Roman"/>
          <w:lang w:eastAsia="zh-CN"/>
        </w:rPr>
        <w:t>黔江区马喇镇人民政府</w:t>
      </w:r>
      <w:r>
        <w:rPr>
          <w:rFonts w:hint="default" w:ascii="Times New Roman" w:hAnsi="Times New Roman" w:cs="Times New Roman"/>
          <w:lang w:val="en-US" w:eastAsia="zh-CN"/>
        </w:rPr>
        <w:t xml:space="preserve">    </w:t>
      </w:r>
    </w:p>
    <w:p w14:paraId="2CD7F03E">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ascii="Times New Roman" w:hAnsi="Times New Roman" w:cs="Times New Roman"/>
          <w:lang w:val="en-US" w:eastAsia="zh-CN"/>
        </w:rPr>
        <w:t>2</w:t>
      </w:r>
      <w:r>
        <w:rPr>
          <w:rFonts w:hint="default" w:ascii="Times New Roman" w:hAnsi="Times New Roman" w:cs="Times New Roman"/>
          <w:lang w:val="en-US" w:eastAsia="zh-CN"/>
        </w:rPr>
        <w:t>月</w:t>
      </w:r>
      <w:r>
        <w:rPr>
          <w:rFonts w:hint="eastAsia" w:ascii="Times New Roman" w:hAnsi="Times New Roman" w:cs="Times New Roman"/>
          <w:lang w:val="en-US" w:eastAsia="zh-CN"/>
        </w:rPr>
        <w:t>20</w:t>
      </w:r>
      <w:r>
        <w:rPr>
          <w:rFonts w:hint="default" w:ascii="Times New Roman" w:hAnsi="Times New Roman" w:cs="Times New Roman"/>
          <w:lang w:val="en-US" w:eastAsia="zh-CN"/>
        </w:rPr>
        <w:t xml:space="preserve">日      </w:t>
      </w:r>
    </w:p>
    <w:p w14:paraId="11A71D5B">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（此页无正文）</w:t>
      </w:r>
    </w:p>
    <w:p w14:paraId="6C60A0B7">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5690D948">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2D8BEEB6">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60340FA9">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0F374574">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06369DFD">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2EE67FD9">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69D0E5D0">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42FFA216">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66D15BB9">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3BDB4396">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5C7089DF">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3E9B3CFC">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35583862">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32184D50">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4658CC52">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310684BF">
      <w:pPr>
        <w:pStyle w:val="6"/>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p w14:paraId="45B8F3C4">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2679CF35">
      <w:pPr>
        <w:keepNext w:val="0"/>
        <w:keepLines w:val="0"/>
        <w:pageBreakBefore w:val="0"/>
        <w:widowControl w:val="0"/>
        <w:tabs>
          <w:tab w:val="right" w:pos="8876"/>
        </w:tabs>
        <w:kinsoku/>
        <w:wordWrap/>
        <w:overflowPunct/>
        <w:topLinePunct w:val="0"/>
        <w:autoSpaceDE/>
        <w:autoSpaceDN/>
        <w:bidi w:val="0"/>
        <w:adjustRightInd/>
        <w:snapToGrid/>
        <w:spacing w:line="594" w:lineRule="exact"/>
        <w:ind w:firstLine="158" w:firstLineChars="50"/>
        <w:textAlignment w:val="auto"/>
        <w:rPr>
          <w:rFonts w:hint="default" w:ascii="Times New Roman" w:hAnsi="Times New Roman" w:cs="Times New Roman"/>
          <w:lang w:val="en-US" w:eastAsia="zh-CN"/>
        </w:rPr>
      </w:pPr>
      <w:r>
        <w:rPr>
          <w:rFonts w:hint="default" w:ascii="Times New Roman" w:hAnsi="Times New Roman" w:cs="Times New Roman"/>
          <w:szCs w:val="32"/>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38735</wp:posOffset>
                </wp:positionV>
                <wp:extent cx="5667375" cy="0"/>
                <wp:effectExtent l="0" t="9525" r="9525" b="9525"/>
                <wp:wrapNone/>
                <wp:docPr id="2" name="直线 17"/>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0.9pt;margin-top:3.05pt;height:0pt;width:446.25pt;z-index:251660288;mso-width-relative:page;mso-height-relative:page;" filled="f" stroked="t" coordsize="21600,21600" o:gfxdata="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FimHNEAAAAF&#10;AQAADwAAAAAAAAABACAAAAAiAAAAZHJzL2Rvd25yZXYueG1sUEsBAhQAFAAAAAgAh07iQBX5H4Lq&#10;AQAA3QMAAA4AAAAAAAAAAQAgAAAAIAEAAGRycy9lMm9Eb2MueG1sUEsFBgAAAAAGAAYAWQEAAHwF&#10;AAAAAA==&#10;">
                <v:fill on="f" focussize="0,0"/>
                <v:stroke weight="1.5pt"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321310</wp:posOffset>
                </wp:positionV>
                <wp:extent cx="5667375" cy="0"/>
                <wp:effectExtent l="0" t="9525" r="9525" b="9525"/>
                <wp:wrapNone/>
                <wp:docPr id="1" name="直线 18"/>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0.9pt;margin-top:25.3pt;height:0pt;width:446.25pt;z-index:251659264;mso-width-relative:page;mso-height-relative:page;" filled="f" stroked="t" coordsize="21600,21600" o:gfxdata="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J18Qd0wAA&#10;AAcBAAAPAAAAAAAAAAEAIAAAACIAAABkcnMvZG93bnJldi54bWxQSwECFAAUAAAACACHTuJAv2NG&#10;9+oBAADdAwAADgAAAAAAAAABACAAAAAiAQAAZHJzL2Uyb0RvYy54bWxQSwUGAAAAAAYABgBZAQAA&#10;fgUAAAAA&#10;">
                <v:fill on="f" focussize="0,0"/>
                <v:stroke weight="1.5pt" color="#000000" joinstyle="round"/>
                <v:imagedata o:title=""/>
                <o:lock v:ext="edit" aspectratio="f"/>
              </v:line>
            </w:pict>
          </mc:Fallback>
        </mc:AlternateContent>
      </w:r>
      <w:r>
        <w:rPr>
          <w:rFonts w:hint="default" w:ascii="Times New Roman" w:hAnsi="Times New Roman" w:cs="Times New Roman"/>
          <w:sz w:val="28"/>
          <w:szCs w:val="28"/>
        </w:rPr>
        <w:t xml:space="preserve">黔江区马喇镇党政办公室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20</w:t>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eastAsia" w:cs="Times New Roman"/>
          <w:sz w:val="28"/>
          <w:szCs w:val="28"/>
          <w:lang w:val="en-US" w:eastAsia="zh-CN"/>
        </w:rPr>
        <w:t>2</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2</w:t>
      </w:r>
      <w:r>
        <w:rPr>
          <w:rFonts w:hint="eastAsia" w:cs="Times New Roman"/>
          <w:sz w:val="28"/>
          <w:szCs w:val="28"/>
          <w:lang w:val="en-US" w:eastAsia="zh-CN"/>
        </w:rPr>
        <w:t>0</w:t>
      </w:r>
      <w:r>
        <w:rPr>
          <w:rFonts w:hint="default" w:ascii="Times New Roman" w:hAnsi="Times New Roman" w:cs="Times New Roman"/>
          <w:sz w:val="28"/>
          <w:szCs w:val="28"/>
        </w:rPr>
        <w:t>日</w:t>
      </w:r>
      <w:r>
        <w:rPr>
          <w:rFonts w:hint="default" w:ascii="Times New Roman" w:hAnsi="Times New Roman" w:cs="Times New Roman"/>
          <w:sz w:val="28"/>
          <w:szCs w:val="28"/>
          <w:lang w:eastAsia="zh-CN"/>
        </w:rPr>
        <w:t>印发</w:t>
      </w:r>
    </w:p>
    <w:p w14:paraId="22E89A0A">
      <w:pPr>
        <w:pStyle w:val="2"/>
        <w:jc w:val="center"/>
        <w:rPr>
          <w:rFonts w:hint="eastAsia" w:eastAsia="方正小标宋_GBK" w:cs="Times New Roman"/>
          <w:sz w:val="36"/>
          <w:szCs w:val="36"/>
        </w:rPr>
      </w:pPr>
      <w:r>
        <w:rPr>
          <w:rFonts w:hint="eastAsia" w:ascii="Times New Roman" w:hAnsi="Times New Roman" w:eastAsia="方正小标宋_GBK" w:cs="Times New Roman"/>
          <w:sz w:val="36"/>
          <w:szCs w:val="36"/>
          <w:lang w:val="en-US" w:eastAsia="zh-CN"/>
        </w:rPr>
        <w:t>马喇镇</w:t>
      </w:r>
      <w:r>
        <w:rPr>
          <w:rFonts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lang w:val="en-US" w:eastAsia="zh-CN"/>
        </w:rPr>
        <w:t>5</w:t>
      </w:r>
      <w:r>
        <w:rPr>
          <w:rFonts w:hint="eastAsia" w:eastAsia="方正小标宋_GBK" w:cs="Times New Roman"/>
          <w:sz w:val="36"/>
          <w:szCs w:val="36"/>
        </w:rPr>
        <w:t>年农家书屋免费开放工作、新时代文明</w:t>
      </w:r>
    </w:p>
    <w:p w14:paraId="2DDE5213">
      <w:pPr>
        <w:pStyle w:val="2"/>
        <w:jc w:val="center"/>
        <w:rPr>
          <w:rFonts w:hint="eastAsia" w:eastAsia="方正小标宋_GBK" w:cs="Times New Roman"/>
          <w:sz w:val="36"/>
          <w:szCs w:val="36"/>
          <w:lang w:eastAsia="zh-CN"/>
        </w:rPr>
      </w:pPr>
      <w:r>
        <w:rPr>
          <w:rFonts w:hint="eastAsia" w:eastAsia="方正小标宋_GBK" w:cs="Times New Roman"/>
          <w:sz w:val="36"/>
          <w:szCs w:val="36"/>
        </w:rPr>
        <w:t>实践工作和文物管理考核</w:t>
      </w:r>
      <w:r>
        <w:rPr>
          <w:rFonts w:hint="eastAsia" w:eastAsia="方正小标宋_GBK" w:cs="Times New Roman"/>
          <w:sz w:val="36"/>
          <w:szCs w:val="36"/>
          <w:lang w:eastAsia="zh-CN"/>
        </w:rPr>
        <w:t>办法</w:t>
      </w:r>
    </w:p>
    <w:p w14:paraId="790C0E91">
      <w:pPr>
        <w:pStyle w:val="2"/>
        <w:jc w:val="center"/>
        <w:rPr>
          <w:rFonts w:hint="default" w:eastAsia="方正小标宋_GBK" w:cs="Times New Roman"/>
          <w:sz w:val="36"/>
          <w:szCs w:val="36"/>
          <w:lang w:val="en-US" w:eastAsia="zh-CN"/>
        </w:rPr>
      </w:pPr>
    </w:p>
    <w:p w14:paraId="4E50B25B">
      <w:pPr>
        <w:spacing w:line="600" w:lineRule="exact"/>
        <w:ind w:right="318" w:firstLine="632" w:firstLineChars="200"/>
        <w:rPr>
          <w:rFonts w:ascii="Times New Roman" w:hAnsi="Times New Roman" w:cs="Times New Roman"/>
          <w:szCs w:val="32"/>
        </w:rPr>
      </w:pPr>
      <w:r>
        <w:rPr>
          <w:rFonts w:ascii="Times New Roman" w:hAnsi="Times New Roman" w:cs="Times New Roman"/>
          <w:szCs w:val="32"/>
        </w:rPr>
        <w:t>农家书屋是党中央、国务院为民办实事的一项民心工程，是解决农民群众“看书难、借书难”的问题，促进文旅融合发展的需要，</w:t>
      </w:r>
      <w:bookmarkStart w:id="0" w:name="_GoBack"/>
      <w:bookmarkEnd w:id="0"/>
      <w:r>
        <w:rPr>
          <w:rFonts w:hint="eastAsia" w:ascii="Times New Roman" w:hAnsi="Times New Roman" w:cs="Times New Roman"/>
          <w:szCs w:val="32"/>
          <w:lang w:eastAsia="zh-CN"/>
        </w:rPr>
        <w:t>为</w:t>
      </w:r>
      <w:r>
        <w:rPr>
          <w:rFonts w:ascii="Times New Roman" w:hAnsi="Times New Roman" w:cs="Times New Roman"/>
          <w:szCs w:val="32"/>
        </w:rPr>
        <w:t>有效发挥农家书屋的作用，使广大人民群众充分享受公共文化权益。让农家书屋免费开放工作、新时代文明实践</w:t>
      </w:r>
      <w:r>
        <w:rPr>
          <w:rFonts w:hint="eastAsia" w:ascii="Times New Roman" w:hAnsi="Times New Roman" w:cs="Times New Roman"/>
          <w:szCs w:val="32"/>
          <w:lang w:eastAsia="zh-CN"/>
        </w:rPr>
        <w:t>和</w:t>
      </w:r>
      <w:r>
        <w:rPr>
          <w:rFonts w:ascii="Times New Roman" w:hAnsi="Times New Roman" w:cs="Times New Roman"/>
          <w:szCs w:val="32"/>
        </w:rPr>
        <w:t>文物安全工作的责任落到实处，现将202</w:t>
      </w:r>
      <w:r>
        <w:rPr>
          <w:rFonts w:hint="eastAsia" w:ascii="Times New Roman" w:hAnsi="Times New Roman" w:cs="Times New Roman"/>
          <w:szCs w:val="32"/>
          <w:lang w:val="en-US" w:eastAsia="zh-CN"/>
        </w:rPr>
        <w:t>5</w:t>
      </w:r>
      <w:r>
        <w:rPr>
          <w:rFonts w:ascii="Times New Roman" w:hAnsi="Times New Roman" w:cs="Times New Roman"/>
          <w:szCs w:val="32"/>
        </w:rPr>
        <w:t>年农家书屋免费开放工作、新时代文明实践和文物管理考核的实施方案制定如下。</w:t>
      </w:r>
    </w:p>
    <w:p w14:paraId="1B0C54C4">
      <w:pPr>
        <w:spacing w:line="600" w:lineRule="exact"/>
        <w:ind w:right="318" w:firstLine="632" w:firstLineChars="200"/>
        <w:rPr>
          <w:rFonts w:ascii="Times New Roman" w:hAnsi="Times New Roman" w:eastAsia="方正黑体_GBK" w:cs="Times New Roman"/>
          <w:szCs w:val="32"/>
        </w:rPr>
      </w:pPr>
      <w:r>
        <w:rPr>
          <w:rFonts w:ascii="Times New Roman" w:hAnsi="Times New Roman" w:eastAsia="方正黑体_GBK" w:cs="Times New Roman"/>
          <w:szCs w:val="32"/>
        </w:rPr>
        <w:t>一、管理及考核对象</w:t>
      </w:r>
    </w:p>
    <w:p w14:paraId="14753780">
      <w:pPr>
        <w:spacing w:line="600" w:lineRule="exact"/>
        <w:ind w:right="318" w:firstLine="632" w:firstLineChars="200"/>
        <w:rPr>
          <w:rFonts w:ascii="Times New Roman" w:hAnsi="Times New Roman" w:cs="Times New Roman"/>
          <w:szCs w:val="32"/>
        </w:rPr>
      </w:pPr>
      <w:r>
        <w:rPr>
          <w:rFonts w:ascii="Times New Roman" w:hAnsi="Times New Roman" w:cs="Times New Roman"/>
          <w:szCs w:val="32"/>
        </w:rPr>
        <w:t>全</w:t>
      </w:r>
      <w:r>
        <w:rPr>
          <w:rFonts w:hint="eastAsia" w:ascii="Times New Roman" w:hAnsi="Times New Roman" w:cs="Times New Roman"/>
          <w:szCs w:val="32"/>
          <w:lang w:eastAsia="zh-CN"/>
        </w:rPr>
        <w:t>镇七村一居委</w:t>
      </w:r>
      <w:r>
        <w:rPr>
          <w:rFonts w:ascii="Times New Roman" w:hAnsi="Times New Roman" w:cs="Times New Roman"/>
          <w:szCs w:val="32"/>
        </w:rPr>
        <w:t>的农家书屋免费开放工作、新时代文明实践站工作，</w:t>
      </w:r>
      <w:r>
        <w:rPr>
          <w:rFonts w:hint="eastAsia" w:ascii="Times New Roman" w:hAnsi="Times New Roman" w:cs="Times New Roman"/>
          <w:szCs w:val="32"/>
          <w:lang w:val="en-US" w:eastAsia="zh-CN"/>
        </w:rPr>
        <w:t>3</w:t>
      </w:r>
      <w:r>
        <w:rPr>
          <w:rFonts w:ascii="Times New Roman" w:hAnsi="Times New Roman" w:cs="Times New Roman"/>
          <w:szCs w:val="32"/>
        </w:rPr>
        <w:t>个文化</w:t>
      </w:r>
      <w:r>
        <w:rPr>
          <w:rFonts w:hint="eastAsia" w:ascii="Times New Roman" w:hAnsi="Times New Roman" w:cs="Times New Roman"/>
          <w:szCs w:val="32"/>
          <w:lang w:eastAsia="zh-CN"/>
        </w:rPr>
        <w:t>中心户（杉树村、印合村、高炉村）</w:t>
      </w:r>
      <w:r>
        <w:rPr>
          <w:rFonts w:ascii="Times New Roman" w:hAnsi="Times New Roman" w:cs="Times New Roman"/>
          <w:szCs w:val="32"/>
        </w:rPr>
        <w:t>,</w:t>
      </w:r>
      <w:r>
        <w:rPr>
          <w:rFonts w:hint="eastAsia" w:ascii="Times New Roman" w:hAnsi="Times New Roman" w:cs="Times New Roman"/>
          <w:szCs w:val="32"/>
          <w:lang w:val="en-US" w:eastAsia="zh-CN"/>
        </w:rPr>
        <w:t>7处</w:t>
      </w:r>
      <w:r>
        <w:rPr>
          <w:rFonts w:ascii="Times New Roman" w:hAnsi="Times New Roman" w:cs="Times New Roman"/>
          <w:szCs w:val="32"/>
        </w:rPr>
        <w:t>文物点</w:t>
      </w:r>
      <w:r>
        <w:rPr>
          <w:rFonts w:hint="eastAsia" w:ascii="Times New Roman" w:hAnsi="Times New Roman" w:cs="Times New Roman"/>
          <w:szCs w:val="32"/>
          <w:lang w:eastAsia="zh-CN"/>
        </w:rPr>
        <w:t>（杉树</w:t>
      </w:r>
      <w:r>
        <w:rPr>
          <w:rFonts w:hint="eastAsia" w:ascii="Times New Roman" w:hAnsi="Times New Roman" w:cs="Times New Roman"/>
          <w:szCs w:val="32"/>
          <w:lang w:val="en-US" w:eastAsia="zh-CN"/>
        </w:rPr>
        <w:t>1处</w:t>
      </w:r>
      <w:r>
        <w:rPr>
          <w:rFonts w:hint="eastAsia" w:ascii="Times New Roman" w:hAnsi="Times New Roman" w:cs="Times New Roman"/>
          <w:szCs w:val="32"/>
          <w:lang w:eastAsia="zh-CN"/>
        </w:rPr>
        <w:t>、印合</w:t>
      </w:r>
      <w:r>
        <w:rPr>
          <w:rFonts w:hint="eastAsia" w:ascii="Times New Roman" w:hAnsi="Times New Roman" w:cs="Times New Roman"/>
          <w:szCs w:val="32"/>
          <w:lang w:val="en-US" w:eastAsia="zh-CN"/>
        </w:rPr>
        <w:t>4处</w:t>
      </w:r>
      <w:r>
        <w:rPr>
          <w:rFonts w:hint="eastAsia" w:ascii="Times New Roman" w:hAnsi="Times New Roman" w:cs="Times New Roman"/>
          <w:szCs w:val="32"/>
          <w:lang w:eastAsia="zh-CN"/>
        </w:rPr>
        <w:t>、莲花居委</w:t>
      </w:r>
      <w:r>
        <w:rPr>
          <w:rFonts w:hint="eastAsia" w:ascii="Times New Roman" w:hAnsi="Times New Roman" w:cs="Times New Roman"/>
          <w:szCs w:val="32"/>
          <w:lang w:val="en-US" w:eastAsia="zh-CN"/>
        </w:rPr>
        <w:t>2处</w:t>
      </w:r>
      <w:r>
        <w:rPr>
          <w:rFonts w:hint="eastAsia" w:ascii="Times New Roman" w:hAnsi="Times New Roman" w:cs="Times New Roman"/>
          <w:szCs w:val="32"/>
          <w:lang w:eastAsia="zh-CN"/>
        </w:rPr>
        <w:t>）</w:t>
      </w:r>
      <w:r>
        <w:rPr>
          <w:rFonts w:ascii="Times New Roman" w:hAnsi="Times New Roman" w:cs="Times New Roman"/>
          <w:szCs w:val="32"/>
        </w:rPr>
        <w:t>。</w:t>
      </w:r>
    </w:p>
    <w:p w14:paraId="533F88CC">
      <w:pPr>
        <w:spacing w:line="600" w:lineRule="exact"/>
        <w:ind w:right="318" w:firstLine="632" w:firstLineChars="200"/>
        <w:rPr>
          <w:rFonts w:ascii="Times New Roman" w:hAnsi="Times New Roman" w:eastAsia="方正黑体_GBK" w:cs="Times New Roman"/>
          <w:szCs w:val="32"/>
        </w:rPr>
      </w:pPr>
      <w:r>
        <w:rPr>
          <w:rFonts w:ascii="Times New Roman" w:hAnsi="Times New Roman" w:eastAsia="方正黑体_GBK" w:cs="Times New Roman"/>
          <w:szCs w:val="32"/>
        </w:rPr>
        <w:t>二、管理及考核内容</w:t>
      </w:r>
    </w:p>
    <w:p w14:paraId="761911C7">
      <w:pPr>
        <w:spacing w:line="600" w:lineRule="exact"/>
        <w:ind w:right="318" w:firstLine="632" w:firstLineChars="200"/>
        <w:rPr>
          <w:rFonts w:ascii="Times New Roman" w:hAnsi="Times New Roman" w:cs="Times New Roman"/>
          <w:szCs w:val="32"/>
        </w:rPr>
      </w:pPr>
      <w:r>
        <w:rPr>
          <w:rFonts w:hint="eastAsia" w:ascii="方正楷体_GBK" w:hAnsi="Times New Roman" w:eastAsia="方正楷体_GBK" w:cs="Times New Roman"/>
          <w:szCs w:val="32"/>
        </w:rPr>
        <w:t>（一）各村（居）委支部书记为农家书屋、新时代文明实践站工作和文物安全工作管理的第一责任人，</w:t>
      </w:r>
      <w:r>
        <w:rPr>
          <w:rFonts w:ascii="Times New Roman" w:hAnsi="Times New Roman" w:cs="Times New Roman"/>
          <w:szCs w:val="32"/>
        </w:rPr>
        <w:t>对本村（居）委农家书屋的建设管理、新时代明实践站工作和文物安全工作管理负总责；将农家书屋的免费开放工作和新时代明实践工作纳入议事日程，确保农家书屋免费开放正常运行和新时代明实践站工作正常开展，有文物的村（社区）确保文物安全。</w:t>
      </w:r>
    </w:p>
    <w:p w14:paraId="47D0FB4A">
      <w:pPr>
        <w:spacing w:line="600" w:lineRule="exact"/>
        <w:ind w:right="318" w:firstLine="632" w:firstLineChars="200"/>
        <w:rPr>
          <w:rFonts w:ascii="Times New Roman" w:hAnsi="Times New Roman" w:cs="Times New Roman"/>
          <w:szCs w:val="32"/>
        </w:rPr>
      </w:pPr>
      <w:r>
        <w:rPr>
          <w:rFonts w:hint="eastAsia" w:ascii="方正楷体_GBK" w:hAnsi="Times New Roman" w:eastAsia="方正楷体_GBK" w:cs="Times New Roman"/>
          <w:szCs w:val="32"/>
        </w:rPr>
        <w:t>（二）各村（居）委</w:t>
      </w:r>
      <w:r>
        <w:rPr>
          <w:rFonts w:hint="eastAsia" w:ascii="方正楷体_GBK" w:hAnsi="Times New Roman" w:eastAsia="方正楷体_GBK" w:cs="Times New Roman"/>
          <w:szCs w:val="32"/>
          <w:lang w:eastAsia="zh-CN"/>
        </w:rPr>
        <w:t>农家书屋</w:t>
      </w:r>
      <w:r>
        <w:rPr>
          <w:rFonts w:hint="eastAsia" w:ascii="方正楷体_GBK" w:hAnsi="Times New Roman" w:eastAsia="方正楷体_GBK" w:cs="Times New Roman"/>
          <w:szCs w:val="32"/>
        </w:rPr>
        <w:t>管理员具体负责免费开放工作。</w:t>
      </w:r>
      <w:r>
        <w:rPr>
          <w:rFonts w:ascii="Times New Roman" w:hAnsi="Times New Roman" w:cs="Times New Roman"/>
          <w:szCs w:val="32"/>
        </w:rPr>
        <w:t>要认真履行职责，按时参加业务培训，认真履行图书管理员规章制度，完成本职工作。具体工作内容：</w:t>
      </w:r>
      <w:r>
        <w:rPr>
          <w:rFonts w:ascii="Times New Roman" w:hAnsi="Times New Roman" w:cs="Times New Roman"/>
          <w:bCs/>
          <w:szCs w:val="32"/>
        </w:rPr>
        <w:t>一是</w:t>
      </w:r>
      <w:r>
        <w:rPr>
          <w:rFonts w:ascii="Times New Roman" w:hAnsi="Times New Roman" w:cs="Times New Roman"/>
          <w:szCs w:val="32"/>
        </w:rPr>
        <w:t>保护利用好硬件设施设备，充分发挥作用；</w:t>
      </w:r>
      <w:r>
        <w:rPr>
          <w:rFonts w:ascii="Times New Roman" w:hAnsi="Times New Roman" w:cs="Times New Roman"/>
          <w:bCs/>
          <w:szCs w:val="32"/>
        </w:rPr>
        <w:t>二是</w:t>
      </w:r>
      <w:r>
        <w:rPr>
          <w:rFonts w:ascii="Times New Roman" w:hAnsi="Times New Roman" w:cs="Times New Roman"/>
          <w:szCs w:val="32"/>
        </w:rPr>
        <w:t>按要求做好农家书屋的免费开放工作，保持农家书屋环境整洁，做到每周不少于5天，免费开放时间40小时以上，并做好资产登记，完善好“五簿一册”管理工作；</w:t>
      </w:r>
      <w:r>
        <w:rPr>
          <w:rFonts w:ascii="Times New Roman" w:hAnsi="Times New Roman" w:cs="Times New Roman"/>
          <w:bCs/>
          <w:szCs w:val="32"/>
        </w:rPr>
        <w:t>三是</w:t>
      </w:r>
      <w:r>
        <w:rPr>
          <w:rFonts w:ascii="Times New Roman" w:hAnsi="Times New Roman" w:cs="Times New Roman"/>
          <w:szCs w:val="32"/>
        </w:rPr>
        <w:t>充分完善资料，做好</w:t>
      </w:r>
      <w:r>
        <w:rPr>
          <w:rFonts w:hint="eastAsia" w:ascii="Times New Roman" w:hAnsi="Times New Roman" w:cs="Times New Roman"/>
          <w:szCs w:val="32"/>
          <w:lang w:eastAsia="zh-CN"/>
        </w:rPr>
        <w:t>上级</w:t>
      </w:r>
      <w:r>
        <w:rPr>
          <w:rFonts w:ascii="Times New Roman" w:hAnsi="Times New Roman" w:cs="Times New Roman"/>
          <w:szCs w:val="32"/>
        </w:rPr>
        <w:t>业务部门迎检工作；</w:t>
      </w:r>
      <w:r>
        <w:rPr>
          <w:rFonts w:hint="eastAsia" w:ascii="Times New Roman" w:hAnsi="Times New Roman" w:cs="Times New Roman"/>
          <w:bCs/>
          <w:szCs w:val="32"/>
          <w:lang w:eastAsia="zh-CN"/>
        </w:rPr>
        <w:t>四</w:t>
      </w:r>
      <w:r>
        <w:rPr>
          <w:rFonts w:ascii="Times New Roman" w:hAnsi="Times New Roman" w:cs="Times New Roman"/>
          <w:szCs w:val="32"/>
        </w:rPr>
        <w:t>是每月按</w:t>
      </w:r>
      <w:r>
        <w:rPr>
          <w:rFonts w:hint="eastAsia" w:ascii="Times New Roman" w:hAnsi="Times New Roman" w:cs="Times New Roman"/>
          <w:szCs w:val="32"/>
          <w:lang w:eastAsia="zh-CN"/>
        </w:rPr>
        <w:t>镇</w:t>
      </w:r>
      <w:r>
        <w:rPr>
          <w:rFonts w:ascii="Times New Roman" w:hAnsi="Times New Roman" w:cs="Times New Roman"/>
          <w:szCs w:val="32"/>
        </w:rPr>
        <w:t>新时代文明实践所的要求，提供会标图片和</w:t>
      </w:r>
      <w:r>
        <w:rPr>
          <w:rFonts w:hint="eastAsia" w:ascii="Times New Roman" w:hAnsi="Times New Roman" w:cs="Times New Roman"/>
          <w:szCs w:val="32"/>
          <w:lang w:eastAsia="zh-CN"/>
        </w:rPr>
        <w:t>按要</w:t>
      </w:r>
      <w:r>
        <w:rPr>
          <w:rFonts w:ascii="Times New Roman" w:hAnsi="Times New Roman" w:cs="Times New Roman"/>
          <w:szCs w:val="32"/>
        </w:rPr>
        <w:t>开展新时代活动图片（要求：着志愿者服装）</w:t>
      </w:r>
      <w:r>
        <w:rPr>
          <w:rFonts w:hint="eastAsia" w:ascii="Times New Roman" w:hAnsi="Times New Roman" w:cs="Times New Roman"/>
          <w:szCs w:val="32"/>
          <w:lang w:eastAsia="zh-CN"/>
        </w:rPr>
        <w:t>；</w:t>
      </w:r>
      <w:r>
        <w:rPr>
          <w:rFonts w:hint="eastAsia" w:ascii="Times New Roman" w:hAnsi="Times New Roman" w:cs="Times New Roman"/>
          <w:bCs/>
          <w:szCs w:val="32"/>
          <w:lang w:eastAsia="zh-CN"/>
        </w:rPr>
        <w:t>五</w:t>
      </w:r>
      <w:r>
        <w:rPr>
          <w:rFonts w:ascii="Times New Roman" w:hAnsi="Times New Roman" w:cs="Times New Roman"/>
          <w:bCs/>
          <w:szCs w:val="32"/>
        </w:rPr>
        <w:t>是</w:t>
      </w:r>
      <w:r>
        <w:rPr>
          <w:rFonts w:ascii="Times New Roman" w:hAnsi="Times New Roman" w:cs="Times New Roman"/>
          <w:szCs w:val="32"/>
        </w:rPr>
        <w:t>做好辖区内不可移动文物的安全管理工作；六是完成日常交办的工作任务。</w:t>
      </w:r>
    </w:p>
    <w:p w14:paraId="19F70EEC">
      <w:pPr>
        <w:spacing w:line="600" w:lineRule="exact"/>
        <w:ind w:right="318" w:firstLine="632" w:firstLineChars="200"/>
        <w:rPr>
          <w:rFonts w:ascii="Times New Roman" w:hAnsi="Times New Roman" w:eastAsia="方正黑体_GBK" w:cs="Times New Roman"/>
          <w:szCs w:val="32"/>
        </w:rPr>
      </w:pPr>
      <w:r>
        <w:rPr>
          <w:rFonts w:ascii="Times New Roman" w:hAnsi="Times New Roman" w:eastAsia="方正黑体_GBK" w:cs="Times New Roman"/>
          <w:szCs w:val="32"/>
        </w:rPr>
        <w:t>三、管理及考核经费</w:t>
      </w:r>
    </w:p>
    <w:p w14:paraId="4E269EDC">
      <w:pPr>
        <w:spacing w:line="600" w:lineRule="exact"/>
        <w:ind w:right="318" w:firstLine="632" w:firstLineChars="200"/>
        <w:rPr>
          <w:rFonts w:ascii="Times New Roman" w:hAnsi="Times New Roman" w:cs="Times New Roman"/>
          <w:szCs w:val="32"/>
        </w:rPr>
      </w:pPr>
      <w:r>
        <w:rPr>
          <w:rFonts w:ascii="Times New Roman" w:hAnsi="Times New Roman" w:cs="Times New Roman"/>
          <w:szCs w:val="32"/>
        </w:rPr>
        <w:t>村（居）按照要求开展文化、旅游、文物、新时代文明实践工作，</w:t>
      </w:r>
      <w:r>
        <w:rPr>
          <w:rFonts w:hint="eastAsia" w:ascii="Times New Roman" w:hAnsi="Times New Roman" w:cs="Times New Roman"/>
          <w:szCs w:val="32"/>
          <w:lang w:eastAsia="zh-CN"/>
        </w:rPr>
        <w:t>涉及农家书屋的村（居）每年给予管理员工作考核经费</w:t>
      </w:r>
      <w:r>
        <w:rPr>
          <w:rFonts w:hint="eastAsia" w:ascii="Times New Roman" w:hAnsi="Times New Roman" w:cs="Times New Roman"/>
          <w:szCs w:val="32"/>
          <w:lang w:val="en-US" w:eastAsia="zh-CN"/>
        </w:rPr>
        <w:t>1200元，文化中心户200元，新时代文明践站业务员工作经费800元，文物管理员按每1处100元作为考核经费兑现。</w:t>
      </w:r>
      <w:r>
        <w:rPr>
          <w:rFonts w:hint="eastAsia" w:ascii="Times New Roman" w:hAnsi="Times New Roman" w:cs="Times New Roman"/>
          <w:szCs w:val="32"/>
          <w:lang w:eastAsia="zh-CN"/>
        </w:rPr>
        <w:t>全年</w:t>
      </w:r>
      <w:r>
        <w:rPr>
          <w:rFonts w:ascii="Times New Roman" w:hAnsi="Times New Roman" w:cs="Times New Roman"/>
          <w:szCs w:val="32"/>
        </w:rPr>
        <w:t>实行月底考核，年底汇总计分。得分在90分以上全额发放管理费用，85分以上至90分计发85%的管理费用，80分至85分计发70%的管理费用，80分以下不予兑现管理费用。管理经费实行年终考核后一次性兑现的方式进行，确保免费开放工作、新时代文明实践的工作落到实处和文物管理安全工作无安全隐患。</w:t>
      </w:r>
    </w:p>
    <w:p w14:paraId="2676FF81">
      <w:pPr>
        <w:spacing w:line="600" w:lineRule="exact"/>
        <w:ind w:right="318" w:firstLine="632" w:firstLineChars="200"/>
        <w:rPr>
          <w:rFonts w:ascii="Times New Roman" w:hAnsi="Times New Roman" w:eastAsia="方正黑体_GBK" w:cs="Times New Roman"/>
          <w:szCs w:val="32"/>
        </w:rPr>
      </w:pPr>
      <w:r>
        <w:rPr>
          <w:rFonts w:ascii="Times New Roman" w:hAnsi="Times New Roman" w:eastAsia="方正黑体_GBK" w:cs="Times New Roman"/>
          <w:szCs w:val="32"/>
        </w:rPr>
        <w:t>四、考核奖惩办法</w:t>
      </w:r>
    </w:p>
    <w:p w14:paraId="05B60395">
      <w:pPr>
        <w:spacing w:line="600" w:lineRule="exact"/>
        <w:ind w:right="318" w:firstLine="632" w:firstLineChars="200"/>
        <w:rPr>
          <w:rFonts w:ascii="Times New Roman" w:hAnsi="Times New Roman" w:cs="Times New Roman"/>
          <w:szCs w:val="32"/>
        </w:rPr>
      </w:pPr>
      <w:r>
        <w:rPr>
          <w:rFonts w:hint="eastAsia" w:ascii="Times New Roman" w:hAnsi="Times New Roman" w:cs="Times New Roman"/>
          <w:szCs w:val="32"/>
          <w:lang w:eastAsia="zh-CN"/>
        </w:rPr>
        <w:t>镇</w:t>
      </w:r>
      <w:r>
        <w:rPr>
          <w:rFonts w:ascii="Times New Roman" w:hAnsi="Times New Roman" w:cs="Times New Roman"/>
          <w:szCs w:val="32"/>
        </w:rPr>
        <w:t>党委、政府对农家书屋</w:t>
      </w:r>
      <w:r>
        <w:rPr>
          <w:rFonts w:hint="eastAsia" w:ascii="Times New Roman" w:hAnsi="Times New Roman" w:cs="Times New Roman"/>
          <w:szCs w:val="32"/>
          <w:lang w:eastAsia="zh-CN"/>
        </w:rPr>
        <w:t>、新时代文明实践、文物管理</w:t>
      </w:r>
      <w:r>
        <w:rPr>
          <w:rFonts w:ascii="Times New Roman" w:hAnsi="Times New Roman" w:cs="Times New Roman"/>
          <w:szCs w:val="32"/>
        </w:rPr>
        <w:t>纳入各村（居）委年度综合考评，采取季度检查和平时督查相结合的方式，对硬件管理，软件资料完善，群众意见等方面进行检查评比，按分值兑现</w:t>
      </w:r>
      <w:r>
        <w:rPr>
          <w:rFonts w:hint="eastAsia" w:ascii="Times New Roman" w:hAnsi="Times New Roman" w:cs="Times New Roman"/>
          <w:szCs w:val="32"/>
          <w:lang w:eastAsia="zh-CN"/>
        </w:rPr>
        <w:t>业务</w:t>
      </w:r>
      <w:r>
        <w:rPr>
          <w:rFonts w:ascii="Times New Roman" w:hAnsi="Times New Roman" w:cs="Times New Roman"/>
          <w:szCs w:val="32"/>
        </w:rPr>
        <w:t>经费。</w:t>
      </w:r>
    </w:p>
    <w:p w14:paraId="1B2DD39F">
      <w:pPr>
        <w:spacing w:line="600" w:lineRule="exact"/>
        <w:ind w:right="316" w:firstLine="632" w:firstLineChars="200"/>
        <w:jc w:val="right"/>
        <w:rPr>
          <w:rFonts w:ascii="Times New Roman" w:hAnsi="Times New Roman" w:cs="Times New Roman"/>
          <w:szCs w:val="32"/>
        </w:rPr>
      </w:pPr>
    </w:p>
    <w:p w14:paraId="3AD3E843">
      <w:pPr>
        <w:pStyle w:val="2"/>
        <w:ind w:firstLine="632" w:firstLineChars="200"/>
        <w:rPr>
          <w:rFonts w:hint="default" w:eastAsia="方正仿宋_GBK" w:cs="Times New Roman"/>
          <w:lang w:val="en-US" w:eastAsia="zh-CN"/>
        </w:rPr>
      </w:pPr>
      <w:r>
        <w:rPr>
          <w:rFonts w:hint="eastAsia" w:cs="Times New Roman"/>
          <w:lang w:eastAsia="zh-CN"/>
        </w:rPr>
        <w:t>主题词：文化</w:t>
      </w:r>
      <w:r>
        <w:rPr>
          <w:rFonts w:hint="eastAsia" w:cs="Times New Roman"/>
          <w:lang w:val="en-US" w:eastAsia="zh-CN"/>
        </w:rPr>
        <w:t xml:space="preserve"> 农家书屋免费开放 新时代文明实践 文物 办法</w:t>
      </w:r>
    </w:p>
    <w:p w14:paraId="5A1EC741">
      <w:pPr>
        <w:spacing w:line="600" w:lineRule="exact"/>
        <w:ind w:right="316" w:firstLine="632" w:firstLineChars="200"/>
        <w:jc w:val="left"/>
        <w:rPr>
          <w:rFonts w:hint="eastAsia" w:ascii="Calibri" w:hAnsi="Calibri" w:cs="Times New Roman"/>
          <w:szCs w:val="32"/>
        </w:rPr>
      </w:pPr>
      <w:r>
        <w:rPr>
          <w:rFonts w:ascii="Times New Roman" w:hAnsi="Times New Roman" w:cs="Times New Roman"/>
          <w:szCs w:val="32"/>
        </w:rPr>
        <w:t>附件：</w:t>
      </w:r>
      <w:r>
        <w:rPr>
          <w:rFonts w:hint="eastAsia" w:ascii="Times New Roman" w:hAnsi="Times New Roman" w:cs="Times New Roman"/>
          <w:szCs w:val="32"/>
          <w:lang w:eastAsia="zh-CN"/>
        </w:rPr>
        <w:t>马喇镇</w:t>
      </w:r>
      <w:r>
        <w:rPr>
          <w:rFonts w:ascii="Times New Roman" w:hAnsi="Times New Roman" w:cs="Times New Roman"/>
          <w:szCs w:val="32"/>
        </w:rPr>
        <w:t>202</w:t>
      </w:r>
      <w:r>
        <w:rPr>
          <w:rFonts w:hint="eastAsia" w:ascii="Times New Roman" w:hAnsi="Times New Roman" w:cs="Times New Roman"/>
          <w:szCs w:val="32"/>
          <w:lang w:val="en-US" w:eastAsia="zh-CN"/>
        </w:rPr>
        <w:t>5</w:t>
      </w:r>
      <w:r>
        <w:rPr>
          <w:rFonts w:ascii="Times New Roman" w:hAnsi="Times New Roman" w:cs="Times New Roman"/>
          <w:szCs w:val="32"/>
        </w:rPr>
        <w:t>年农家书屋免费开放</w:t>
      </w:r>
      <w:r>
        <w:rPr>
          <w:rFonts w:hint="eastAsia" w:ascii="Times New Roman" w:hAnsi="Times New Roman" w:cs="Times New Roman"/>
          <w:szCs w:val="32"/>
          <w:lang w:eastAsia="zh-CN"/>
        </w:rPr>
        <w:t>、新时代文明实践</w:t>
      </w:r>
      <w:r>
        <w:rPr>
          <w:rFonts w:ascii="Times New Roman" w:hAnsi="Times New Roman" w:cs="Times New Roman"/>
          <w:szCs w:val="32"/>
        </w:rPr>
        <w:t>工作和文物管理</w:t>
      </w:r>
      <w:r>
        <w:rPr>
          <w:rFonts w:hint="eastAsia" w:ascii="Calibri" w:hAnsi="Calibri" w:cs="Times New Roman"/>
          <w:szCs w:val="32"/>
        </w:rPr>
        <w:t>量化考核表</w:t>
      </w:r>
    </w:p>
    <w:p w14:paraId="02AA3437">
      <w:pPr>
        <w:pStyle w:val="2"/>
        <w:spacing w:line="520" w:lineRule="exact"/>
        <w:rPr>
          <w:rFonts w:cs="Times New Roman"/>
        </w:rPr>
      </w:pPr>
    </w:p>
    <w:p w14:paraId="7A1D419A">
      <w:pPr>
        <w:pStyle w:val="2"/>
        <w:spacing w:line="520" w:lineRule="exact"/>
        <w:rPr>
          <w:rFonts w:hint="eastAsia" w:cs="Times New Roman"/>
        </w:rPr>
      </w:pPr>
    </w:p>
    <w:p w14:paraId="2D312246">
      <w:pPr>
        <w:spacing w:line="400" w:lineRule="exact"/>
        <w:rPr>
          <w:rFonts w:ascii="Times New Roman" w:hAnsi="Times New Roman" w:cs="Times New Roman"/>
          <w:sz w:val="28"/>
          <w:szCs w:val="28"/>
        </w:rPr>
      </w:pPr>
    </w:p>
    <w:p w14:paraId="3A43404E">
      <w:pPr>
        <w:spacing w:line="400" w:lineRule="exact"/>
        <w:rPr>
          <w:rFonts w:ascii="Times New Roman" w:hAnsi="Times New Roman" w:cs="Times New Roman"/>
          <w:sz w:val="28"/>
          <w:szCs w:val="28"/>
        </w:rPr>
      </w:pPr>
    </w:p>
    <w:p w14:paraId="7D6248C5">
      <w:pPr>
        <w:spacing w:line="400" w:lineRule="exact"/>
        <w:rPr>
          <w:rFonts w:ascii="Times New Roman" w:hAnsi="Times New Roman" w:cs="Times New Roman"/>
          <w:sz w:val="28"/>
          <w:szCs w:val="28"/>
        </w:rPr>
      </w:pPr>
    </w:p>
    <w:p w14:paraId="7BBBE7FF">
      <w:pPr>
        <w:spacing w:line="400" w:lineRule="exact"/>
        <w:rPr>
          <w:rFonts w:ascii="Times New Roman" w:hAnsi="Times New Roman" w:cs="Times New Roman"/>
          <w:sz w:val="28"/>
          <w:szCs w:val="28"/>
        </w:rPr>
      </w:pPr>
    </w:p>
    <w:p w14:paraId="47B615E3">
      <w:pPr>
        <w:spacing w:line="400" w:lineRule="exact"/>
        <w:rPr>
          <w:rFonts w:ascii="Times New Roman" w:hAnsi="Times New Roman" w:cs="Times New Roman"/>
          <w:sz w:val="28"/>
          <w:szCs w:val="28"/>
        </w:rPr>
      </w:pPr>
    </w:p>
    <w:p w14:paraId="230FBBB9">
      <w:pPr>
        <w:spacing w:line="400" w:lineRule="exact"/>
        <w:rPr>
          <w:rFonts w:ascii="Times New Roman" w:hAnsi="Times New Roman" w:cs="Times New Roman"/>
          <w:sz w:val="28"/>
          <w:szCs w:val="28"/>
        </w:rPr>
      </w:pPr>
    </w:p>
    <w:p w14:paraId="353214F1">
      <w:pPr>
        <w:pStyle w:val="2"/>
        <w:rPr>
          <w:rFonts w:cs="Times New Roman"/>
        </w:rPr>
      </w:pPr>
    </w:p>
    <w:p w14:paraId="7B8C6430">
      <w:pPr>
        <w:pStyle w:val="2"/>
        <w:rPr>
          <w:rFonts w:cs="Times New Roman"/>
        </w:rPr>
      </w:pPr>
    </w:p>
    <w:p w14:paraId="2BDCBFFD">
      <w:pPr>
        <w:spacing w:line="400" w:lineRule="exact"/>
        <w:rPr>
          <w:rFonts w:hint="eastAsia" w:ascii="Times New Roman" w:hAnsi="Times New Roman" w:cs="Times New Roman"/>
          <w:sz w:val="28"/>
          <w:szCs w:val="28"/>
        </w:rPr>
      </w:pPr>
    </w:p>
    <w:p w14:paraId="34289DD1">
      <w:pPr>
        <w:spacing w:line="580" w:lineRule="exact"/>
        <w:rPr>
          <w:rFonts w:hint="eastAsia" w:ascii="方正黑体_GBK" w:hAnsi="Calibri" w:eastAsia="方正黑体_GBK" w:cs="Times New Roman"/>
          <w:szCs w:val="32"/>
        </w:rPr>
      </w:pPr>
    </w:p>
    <w:p w14:paraId="2763FF66">
      <w:pPr>
        <w:spacing w:line="580" w:lineRule="exact"/>
        <w:rPr>
          <w:rFonts w:hint="eastAsia" w:ascii="方正黑体_GBK" w:hAnsi="Calibri" w:eastAsia="方正黑体_GBK" w:cs="Times New Roman"/>
          <w:szCs w:val="32"/>
        </w:rPr>
      </w:pPr>
    </w:p>
    <w:p w14:paraId="57072304">
      <w:pPr>
        <w:spacing w:line="580" w:lineRule="exact"/>
        <w:rPr>
          <w:rFonts w:hint="eastAsia" w:ascii="方正黑体_GBK" w:hAnsi="Calibri" w:eastAsia="方正黑体_GBK" w:cs="Times New Roman"/>
          <w:szCs w:val="32"/>
        </w:rPr>
      </w:pPr>
    </w:p>
    <w:p w14:paraId="6331ACE6">
      <w:pPr>
        <w:pStyle w:val="6"/>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eastAsia="zh-CN"/>
        </w:rPr>
        <w:sectPr>
          <w:headerReference r:id="rId3" w:type="default"/>
          <w:footerReference r:id="rId4" w:type="default"/>
          <w:pgSz w:w="11906" w:h="16838"/>
          <w:pgMar w:top="1757" w:right="1446" w:bottom="1757" w:left="1446" w:header="851" w:footer="1344" w:gutter="0"/>
          <w:pgNumType w:fmt="decimal" w:chapStyle="1"/>
          <w:cols w:space="720" w:num="1"/>
          <w:docGrid w:type="linesAndChars" w:linePitch="579" w:charSpace="-849"/>
        </w:sectPr>
      </w:pPr>
    </w:p>
    <w:p w14:paraId="620F155D">
      <w:pPr>
        <w:spacing w:line="580" w:lineRule="exact"/>
        <w:rPr>
          <w:rFonts w:hint="eastAsia" w:ascii="方正小标宋_GBK" w:eastAsia="方正小标宋_GBK"/>
          <w:sz w:val="30"/>
          <w:szCs w:val="30"/>
        </w:rPr>
      </w:pPr>
      <w:r>
        <w:rPr>
          <w:rFonts w:hint="eastAsia" w:ascii="方正黑体_GBK" w:eastAsia="方正黑体_GBK"/>
          <w:szCs w:val="32"/>
        </w:rPr>
        <w:t>附件</w:t>
      </w:r>
      <w:r>
        <w:rPr>
          <w:rFonts w:hint="eastAsia" w:ascii="方正黑体_GBK" w:eastAsia="方正黑体_GBK"/>
          <w:szCs w:val="32"/>
          <w:lang w:eastAsia="zh-CN"/>
        </w:rPr>
        <w:t>：</w:t>
      </w:r>
      <w:r>
        <w:rPr>
          <w:rFonts w:hint="eastAsia" w:ascii="方正小标宋_GBK" w:eastAsia="方正小标宋_GBK"/>
          <w:sz w:val="30"/>
          <w:szCs w:val="30"/>
        </w:rPr>
        <w:t>202</w:t>
      </w:r>
      <w:r>
        <w:rPr>
          <w:rFonts w:hint="eastAsia" w:ascii="方正小标宋_GBK" w:eastAsia="方正小标宋_GBK"/>
          <w:sz w:val="30"/>
          <w:szCs w:val="30"/>
          <w:lang w:val="en-US" w:eastAsia="zh-CN"/>
        </w:rPr>
        <w:t>5</w:t>
      </w:r>
      <w:r>
        <w:rPr>
          <w:rFonts w:hint="eastAsia" w:ascii="方正小标宋_GBK" w:eastAsia="方正小标宋_GBK"/>
          <w:sz w:val="30"/>
          <w:szCs w:val="30"/>
        </w:rPr>
        <w:t>年</w:t>
      </w:r>
      <w:r>
        <w:rPr>
          <w:rFonts w:hint="eastAsia" w:ascii="方正小标宋_GBK" w:eastAsia="方正小标宋_GBK"/>
          <w:sz w:val="30"/>
          <w:szCs w:val="30"/>
          <w:lang w:eastAsia="zh-CN"/>
        </w:rPr>
        <w:t>马喇镇</w:t>
      </w:r>
      <w:r>
        <w:rPr>
          <w:rFonts w:hint="eastAsia" w:ascii="方正小标宋_GBK" w:eastAsia="方正小标宋_GBK"/>
          <w:sz w:val="30"/>
          <w:szCs w:val="30"/>
        </w:rPr>
        <w:t>农家书屋免费开放工作、新时代文明实践工作和文物安全管理工作量化考核表</w:t>
      </w:r>
    </w:p>
    <w:tbl>
      <w:tblPr>
        <w:tblStyle w:val="13"/>
        <w:tblW w:w="14385"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7862"/>
        <w:gridCol w:w="1018"/>
        <w:gridCol w:w="3302"/>
        <w:gridCol w:w="1064"/>
      </w:tblGrid>
      <w:tr w14:paraId="0BAF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39" w:type="dxa"/>
            <w:tcBorders>
              <w:top w:val="single" w:color="auto" w:sz="4" w:space="0"/>
              <w:left w:val="single" w:color="auto" w:sz="4" w:space="0"/>
              <w:bottom w:val="single" w:color="auto" w:sz="4" w:space="0"/>
              <w:right w:val="single" w:color="auto" w:sz="4" w:space="0"/>
            </w:tcBorders>
            <w:noWrap w:val="0"/>
            <w:vAlign w:val="top"/>
          </w:tcPr>
          <w:p w14:paraId="1B1DE3E5">
            <w:pPr>
              <w:spacing w:line="600" w:lineRule="exact"/>
              <w:jc w:val="center"/>
              <w:rPr>
                <w:rFonts w:hint="eastAsia" w:ascii="宋体" w:hAnsi="宋体" w:eastAsia="宋体"/>
                <w:b/>
                <w:sz w:val="28"/>
                <w:szCs w:val="28"/>
              </w:rPr>
            </w:pPr>
            <w:r>
              <w:rPr>
                <w:rFonts w:hint="eastAsia" w:ascii="宋体" w:hAnsi="宋体" w:eastAsia="宋体"/>
                <w:b/>
                <w:sz w:val="28"/>
                <w:szCs w:val="28"/>
              </w:rPr>
              <w:t>考核</w:t>
            </w:r>
          </w:p>
          <w:p w14:paraId="0F78E87C">
            <w:pPr>
              <w:spacing w:line="600" w:lineRule="exact"/>
              <w:jc w:val="center"/>
              <w:rPr>
                <w:rFonts w:hint="eastAsia" w:ascii="宋体" w:hAnsi="宋体" w:eastAsia="宋体"/>
                <w:b/>
                <w:sz w:val="28"/>
                <w:szCs w:val="28"/>
              </w:rPr>
            </w:pPr>
            <w:r>
              <w:rPr>
                <w:rFonts w:hint="eastAsia" w:ascii="宋体" w:hAnsi="宋体" w:eastAsia="宋体"/>
                <w:b/>
                <w:sz w:val="28"/>
                <w:szCs w:val="28"/>
              </w:rPr>
              <w:t>对象</w:t>
            </w:r>
          </w:p>
        </w:tc>
        <w:tc>
          <w:tcPr>
            <w:tcW w:w="7862" w:type="dxa"/>
            <w:tcBorders>
              <w:top w:val="single" w:color="auto" w:sz="4" w:space="0"/>
              <w:left w:val="single" w:color="auto" w:sz="4" w:space="0"/>
              <w:bottom w:val="single" w:color="auto" w:sz="4" w:space="0"/>
              <w:right w:val="single" w:color="auto" w:sz="4" w:space="0"/>
            </w:tcBorders>
            <w:noWrap w:val="0"/>
            <w:vAlign w:val="top"/>
          </w:tcPr>
          <w:p w14:paraId="62EF9C47">
            <w:pPr>
              <w:spacing w:line="600" w:lineRule="exact"/>
              <w:jc w:val="center"/>
              <w:rPr>
                <w:rFonts w:hint="eastAsia" w:ascii="宋体" w:hAnsi="宋体" w:eastAsia="宋体"/>
                <w:b/>
                <w:sz w:val="28"/>
                <w:szCs w:val="28"/>
              </w:rPr>
            </w:pPr>
            <w:r>
              <w:rPr>
                <w:rFonts w:hint="eastAsia" w:ascii="宋体" w:hAnsi="宋体" w:eastAsia="宋体"/>
                <w:b/>
                <w:sz w:val="28"/>
                <w:szCs w:val="28"/>
              </w:rPr>
              <w:t>考核内容</w:t>
            </w:r>
          </w:p>
        </w:tc>
        <w:tc>
          <w:tcPr>
            <w:tcW w:w="1018" w:type="dxa"/>
            <w:tcBorders>
              <w:top w:val="single" w:color="auto" w:sz="4" w:space="0"/>
              <w:left w:val="single" w:color="auto" w:sz="4" w:space="0"/>
              <w:bottom w:val="single" w:color="auto" w:sz="4" w:space="0"/>
              <w:right w:val="single" w:color="auto" w:sz="4" w:space="0"/>
            </w:tcBorders>
            <w:noWrap w:val="0"/>
            <w:vAlign w:val="top"/>
          </w:tcPr>
          <w:p w14:paraId="26B6CDE3">
            <w:pPr>
              <w:spacing w:line="600" w:lineRule="exact"/>
              <w:jc w:val="center"/>
              <w:rPr>
                <w:rFonts w:hint="eastAsia" w:ascii="宋体" w:hAnsi="宋体" w:eastAsia="宋体"/>
                <w:b/>
                <w:sz w:val="28"/>
                <w:szCs w:val="28"/>
              </w:rPr>
            </w:pPr>
            <w:r>
              <w:rPr>
                <w:rFonts w:hint="eastAsia" w:ascii="宋体" w:hAnsi="宋体" w:eastAsia="宋体"/>
                <w:b/>
                <w:sz w:val="28"/>
                <w:szCs w:val="28"/>
              </w:rPr>
              <w:t>考核分数</w:t>
            </w:r>
          </w:p>
        </w:tc>
        <w:tc>
          <w:tcPr>
            <w:tcW w:w="3302" w:type="dxa"/>
            <w:tcBorders>
              <w:top w:val="single" w:color="auto" w:sz="4" w:space="0"/>
              <w:left w:val="single" w:color="auto" w:sz="4" w:space="0"/>
              <w:bottom w:val="single" w:color="auto" w:sz="4" w:space="0"/>
              <w:right w:val="single" w:color="auto" w:sz="4" w:space="0"/>
            </w:tcBorders>
            <w:noWrap w:val="0"/>
            <w:vAlign w:val="top"/>
          </w:tcPr>
          <w:p w14:paraId="3CA503DF">
            <w:pPr>
              <w:spacing w:line="600" w:lineRule="exact"/>
              <w:jc w:val="center"/>
              <w:rPr>
                <w:rFonts w:hint="eastAsia" w:ascii="宋体" w:hAnsi="宋体" w:eastAsia="宋体"/>
                <w:b/>
                <w:sz w:val="28"/>
                <w:szCs w:val="28"/>
              </w:rPr>
            </w:pPr>
            <w:r>
              <w:rPr>
                <w:rFonts w:hint="eastAsia" w:ascii="宋体" w:hAnsi="宋体" w:eastAsia="宋体"/>
                <w:b/>
                <w:sz w:val="28"/>
                <w:szCs w:val="28"/>
              </w:rPr>
              <w:t>评分标准</w:t>
            </w:r>
          </w:p>
        </w:tc>
        <w:tc>
          <w:tcPr>
            <w:tcW w:w="1064" w:type="dxa"/>
            <w:tcBorders>
              <w:top w:val="single" w:color="auto" w:sz="4" w:space="0"/>
              <w:left w:val="single" w:color="auto" w:sz="4" w:space="0"/>
              <w:bottom w:val="single" w:color="auto" w:sz="4" w:space="0"/>
              <w:right w:val="single" w:color="auto" w:sz="4" w:space="0"/>
            </w:tcBorders>
            <w:noWrap w:val="0"/>
            <w:vAlign w:val="top"/>
          </w:tcPr>
          <w:p w14:paraId="1B2C8726">
            <w:pPr>
              <w:widowControl/>
              <w:tabs>
                <w:tab w:val="left" w:pos="630"/>
              </w:tabs>
              <w:jc w:val="left"/>
              <w:rPr>
                <w:rFonts w:hint="eastAsia" w:ascii="宋体" w:hAnsi="宋体" w:eastAsia="宋体"/>
                <w:b/>
                <w:sz w:val="28"/>
                <w:szCs w:val="28"/>
              </w:rPr>
            </w:pPr>
            <w:r>
              <w:rPr>
                <w:rFonts w:hint="eastAsia" w:ascii="宋体" w:hAnsi="宋体" w:eastAsia="宋体"/>
                <w:b/>
                <w:sz w:val="28"/>
                <w:szCs w:val="28"/>
              </w:rPr>
              <w:t>备注</w:t>
            </w:r>
          </w:p>
        </w:tc>
      </w:tr>
      <w:tr w14:paraId="4652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39" w:type="dxa"/>
            <w:vMerge w:val="restart"/>
            <w:tcBorders>
              <w:top w:val="single" w:color="auto" w:sz="4" w:space="0"/>
              <w:left w:val="single" w:color="auto" w:sz="4" w:space="0"/>
              <w:bottom w:val="single" w:color="auto" w:sz="4" w:space="0"/>
              <w:right w:val="single" w:color="auto" w:sz="4" w:space="0"/>
            </w:tcBorders>
            <w:noWrap w:val="0"/>
            <w:vAlign w:val="center"/>
          </w:tcPr>
          <w:p w14:paraId="0CF99B92">
            <w:pPr>
              <w:spacing w:line="400" w:lineRule="exact"/>
              <w:rPr>
                <w:rFonts w:hint="default" w:ascii="方正仿宋_GBK" w:hAnsi="宋体" w:eastAsia="方正仿宋_GBK"/>
                <w:sz w:val="24"/>
                <w:szCs w:val="24"/>
                <w:lang w:val="en-US" w:eastAsia="zh-CN"/>
              </w:rPr>
            </w:pPr>
            <w:r>
              <w:rPr>
                <w:rFonts w:hint="eastAsia" w:ascii="方正仿宋_GBK" w:hAnsi="宋体"/>
                <w:sz w:val="24"/>
                <w:szCs w:val="24"/>
                <w:lang w:eastAsia="zh-CN"/>
              </w:rPr>
              <w:t>村</w:t>
            </w:r>
            <w:r>
              <w:rPr>
                <w:rFonts w:hint="eastAsia" w:ascii="方正仿宋_GBK" w:hAnsi="宋体"/>
                <w:sz w:val="24"/>
                <w:szCs w:val="24"/>
                <w:lang w:val="en-US" w:eastAsia="zh-CN"/>
              </w:rPr>
              <w:t>(社区)</w:t>
            </w:r>
          </w:p>
        </w:tc>
        <w:tc>
          <w:tcPr>
            <w:tcW w:w="7862" w:type="dxa"/>
            <w:tcBorders>
              <w:top w:val="single" w:color="auto" w:sz="4" w:space="0"/>
              <w:left w:val="single" w:color="auto" w:sz="4" w:space="0"/>
              <w:bottom w:val="single" w:color="auto" w:sz="4" w:space="0"/>
              <w:right w:val="single" w:color="auto" w:sz="4" w:space="0"/>
            </w:tcBorders>
            <w:noWrap w:val="0"/>
            <w:vAlign w:val="top"/>
          </w:tcPr>
          <w:p w14:paraId="403A1F14">
            <w:pPr>
              <w:spacing w:line="400" w:lineRule="exact"/>
              <w:rPr>
                <w:rFonts w:hint="eastAsia" w:ascii="方正仿宋_GBK" w:hAnsi="宋体"/>
                <w:sz w:val="24"/>
                <w:szCs w:val="24"/>
              </w:rPr>
            </w:pPr>
            <w:r>
              <w:rPr>
                <w:rFonts w:hint="eastAsia" w:ascii="方正仿宋_GBK" w:hAnsi="宋体"/>
                <w:sz w:val="24"/>
                <w:szCs w:val="24"/>
              </w:rPr>
              <w:t>落实专人负责农家书屋的管理，确保图书室公物（音箱等）不受损失。</w:t>
            </w:r>
          </w:p>
        </w:tc>
        <w:tc>
          <w:tcPr>
            <w:tcW w:w="1018" w:type="dxa"/>
            <w:tcBorders>
              <w:top w:val="single" w:color="auto" w:sz="4" w:space="0"/>
              <w:left w:val="single" w:color="auto" w:sz="4" w:space="0"/>
              <w:bottom w:val="single" w:color="auto" w:sz="4" w:space="0"/>
              <w:right w:val="single" w:color="auto" w:sz="4" w:space="0"/>
            </w:tcBorders>
            <w:noWrap w:val="0"/>
            <w:vAlign w:val="top"/>
          </w:tcPr>
          <w:p w14:paraId="3288781F">
            <w:pPr>
              <w:spacing w:line="400" w:lineRule="exact"/>
              <w:jc w:val="center"/>
              <w:rPr>
                <w:rFonts w:hint="eastAsia" w:ascii="方正仿宋_GBK" w:hAnsi="宋体"/>
                <w:sz w:val="24"/>
                <w:szCs w:val="24"/>
              </w:rPr>
            </w:pPr>
            <w:r>
              <w:rPr>
                <w:rFonts w:hint="eastAsia" w:ascii="方正仿宋_GBK" w:hAnsi="宋体"/>
                <w:sz w:val="24"/>
                <w:szCs w:val="24"/>
              </w:rPr>
              <w:t>10分</w:t>
            </w:r>
          </w:p>
        </w:tc>
        <w:tc>
          <w:tcPr>
            <w:tcW w:w="3302" w:type="dxa"/>
            <w:tcBorders>
              <w:top w:val="single" w:color="auto" w:sz="4" w:space="0"/>
              <w:left w:val="single" w:color="auto" w:sz="4" w:space="0"/>
              <w:bottom w:val="single" w:color="auto" w:sz="4" w:space="0"/>
              <w:right w:val="single" w:color="auto" w:sz="4" w:space="0"/>
            </w:tcBorders>
            <w:noWrap w:val="0"/>
            <w:vAlign w:val="top"/>
          </w:tcPr>
          <w:p w14:paraId="5B32AB76">
            <w:pPr>
              <w:spacing w:line="400" w:lineRule="exact"/>
              <w:jc w:val="left"/>
              <w:rPr>
                <w:rFonts w:hint="eastAsia" w:ascii="方正仿宋_GBK" w:hAnsi="宋体"/>
                <w:sz w:val="24"/>
                <w:szCs w:val="24"/>
              </w:rPr>
            </w:pPr>
            <w:r>
              <w:rPr>
                <w:rFonts w:hint="eastAsia" w:ascii="方正仿宋_GBK" w:hAnsi="宋体"/>
                <w:sz w:val="24"/>
                <w:szCs w:val="24"/>
              </w:rPr>
              <w:t>图书等公物每受损一件扣5分</w:t>
            </w:r>
          </w:p>
        </w:tc>
        <w:tc>
          <w:tcPr>
            <w:tcW w:w="1064" w:type="dxa"/>
            <w:tcBorders>
              <w:top w:val="single" w:color="auto" w:sz="4" w:space="0"/>
              <w:left w:val="single" w:color="auto" w:sz="4" w:space="0"/>
              <w:bottom w:val="single" w:color="auto" w:sz="4" w:space="0"/>
              <w:right w:val="single" w:color="auto" w:sz="4" w:space="0"/>
            </w:tcBorders>
            <w:noWrap w:val="0"/>
            <w:vAlign w:val="top"/>
          </w:tcPr>
          <w:p w14:paraId="38E53E17">
            <w:pPr>
              <w:widowControl/>
              <w:jc w:val="left"/>
              <w:rPr>
                <w:rFonts w:hint="eastAsia" w:ascii="宋体" w:hAnsi="宋体" w:eastAsia="宋体"/>
                <w:sz w:val="18"/>
                <w:szCs w:val="18"/>
              </w:rPr>
            </w:pPr>
          </w:p>
        </w:tc>
      </w:tr>
      <w:tr w14:paraId="41D8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19B045F0">
            <w:pPr>
              <w:widowControl/>
              <w:jc w:val="left"/>
              <w:rPr>
                <w:rFonts w:ascii="方正仿宋_GBK" w:hAnsi="宋体"/>
                <w:sz w:val="24"/>
                <w:szCs w:val="24"/>
              </w:rPr>
            </w:pPr>
          </w:p>
        </w:tc>
        <w:tc>
          <w:tcPr>
            <w:tcW w:w="7862" w:type="dxa"/>
            <w:tcBorders>
              <w:top w:val="single" w:color="auto" w:sz="4" w:space="0"/>
              <w:left w:val="single" w:color="auto" w:sz="4" w:space="0"/>
              <w:bottom w:val="single" w:color="auto" w:sz="4" w:space="0"/>
              <w:right w:val="single" w:color="auto" w:sz="4" w:space="0"/>
            </w:tcBorders>
            <w:noWrap w:val="0"/>
            <w:vAlign w:val="top"/>
          </w:tcPr>
          <w:p w14:paraId="3E10C989">
            <w:pPr>
              <w:spacing w:line="400" w:lineRule="exact"/>
              <w:rPr>
                <w:rFonts w:hint="eastAsia" w:ascii="方正仿宋_GBK" w:hAnsi="宋体"/>
                <w:sz w:val="24"/>
                <w:szCs w:val="24"/>
              </w:rPr>
            </w:pPr>
            <w:r>
              <w:rPr>
                <w:rFonts w:hint="eastAsia" w:ascii="方正仿宋_GBK" w:hAnsi="宋体"/>
                <w:sz w:val="24"/>
                <w:szCs w:val="24"/>
              </w:rPr>
              <w:t>农家书屋设备设施不得挪作他用，书屋环境保持整洁。</w:t>
            </w:r>
          </w:p>
        </w:tc>
        <w:tc>
          <w:tcPr>
            <w:tcW w:w="1018" w:type="dxa"/>
            <w:tcBorders>
              <w:top w:val="single" w:color="auto" w:sz="4" w:space="0"/>
              <w:left w:val="single" w:color="auto" w:sz="4" w:space="0"/>
              <w:bottom w:val="single" w:color="auto" w:sz="4" w:space="0"/>
              <w:right w:val="single" w:color="auto" w:sz="4" w:space="0"/>
            </w:tcBorders>
            <w:noWrap w:val="0"/>
            <w:vAlign w:val="top"/>
          </w:tcPr>
          <w:p w14:paraId="0BC51D70">
            <w:pPr>
              <w:spacing w:line="400" w:lineRule="exact"/>
              <w:jc w:val="center"/>
              <w:rPr>
                <w:rFonts w:hint="eastAsia" w:ascii="方正仿宋_GBK" w:hAnsi="宋体"/>
                <w:sz w:val="24"/>
                <w:szCs w:val="24"/>
              </w:rPr>
            </w:pPr>
            <w:r>
              <w:rPr>
                <w:rFonts w:hint="eastAsia" w:ascii="方正仿宋_GBK" w:hAnsi="宋体"/>
                <w:sz w:val="24"/>
                <w:szCs w:val="24"/>
              </w:rPr>
              <w:t>5分</w:t>
            </w:r>
          </w:p>
        </w:tc>
        <w:tc>
          <w:tcPr>
            <w:tcW w:w="3302" w:type="dxa"/>
            <w:tcBorders>
              <w:top w:val="single" w:color="auto" w:sz="4" w:space="0"/>
              <w:left w:val="single" w:color="auto" w:sz="4" w:space="0"/>
              <w:bottom w:val="single" w:color="auto" w:sz="4" w:space="0"/>
              <w:right w:val="single" w:color="auto" w:sz="4" w:space="0"/>
            </w:tcBorders>
            <w:noWrap w:val="0"/>
            <w:vAlign w:val="top"/>
          </w:tcPr>
          <w:p w14:paraId="4D46A48D">
            <w:pPr>
              <w:spacing w:line="400" w:lineRule="exact"/>
              <w:jc w:val="left"/>
              <w:rPr>
                <w:rFonts w:hint="eastAsia" w:ascii="方正仿宋_GBK" w:hAnsi="宋体"/>
                <w:sz w:val="24"/>
                <w:szCs w:val="24"/>
              </w:rPr>
            </w:pPr>
            <w:r>
              <w:rPr>
                <w:rFonts w:hint="eastAsia" w:ascii="方正仿宋_GBK" w:hAnsi="宋体"/>
                <w:sz w:val="24"/>
                <w:szCs w:val="24"/>
              </w:rPr>
              <w:t>设备被挪用一件，扣5分。</w:t>
            </w:r>
          </w:p>
        </w:tc>
        <w:tc>
          <w:tcPr>
            <w:tcW w:w="1064" w:type="dxa"/>
            <w:tcBorders>
              <w:top w:val="single" w:color="auto" w:sz="4" w:space="0"/>
              <w:left w:val="single" w:color="auto" w:sz="4" w:space="0"/>
              <w:bottom w:val="single" w:color="auto" w:sz="4" w:space="0"/>
              <w:right w:val="single" w:color="auto" w:sz="4" w:space="0"/>
            </w:tcBorders>
            <w:noWrap w:val="0"/>
            <w:vAlign w:val="top"/>
          </w:tcPr>
          <w:p w14:paraId="05DAA596">
            <w:pPr>
              <w:widowControl/>
              <w:jc w:val="left"/>
              <w:rPr>
                <w:rFonts w:hint="eastAsia" w:ascii="宋体" w:hAnsi="宋体" w:eastAsia="宋体"/>
                <w:sz w:val="18"/>
                <w:szCs w:val="18"/>
              </w:rPr>
            </w:pPr>
          </w:p>
        </w:tc>
      </w:tr>
      <w:tr w14:paraId="15AA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3D9403F6">
            <w:pPr>
              <w:widowControl/>
              <w:jc w:val="left"/>
              <w:rPr>
                <w:rFonts w:ascii="方正仿宋_GBK" w:hAnsi="宋体"/>
                <w:sz w:val="24"/>
                <w:szCs w:val="24"/>
              </w:rPr>
            </w:pPr>
          </w:p>
        </w:tc>
        <w:tc>
          <w:tcPr>
            <w:tcW w:w="7862" w:type="dxa"/>
            <w:tcBorders>
              <w:top w:val="single" w:color="auto" w:sz="4" w:space="0"/>
              <w:left w:val="single" w:color="auto" w:sz="4" w:space="0"/>
              <w:bottom w:val="single" w:color="auto" w:sz="4" w:space="0"/>
              <w:right w:val="single" w:color="auto" w:sz="4" w:space="0"/>
            </w:tcBorders>
            <w:noWrap w:val="0"/>
            <w:vAlign w:val="top"/>
          </w:tcPr>
          <w:p w14:paraId="7B481313">
            <w:pPr>
              <w:spacing w:line="400" w:lineRule="exact"/>
              <w:rPr>
                <w:rFonts w:hint="eastAsia" w:ascii="方正仿宋_GBK" w:hAnsi="宋体"/>
                <w:sz w:val="24"/>
                <w:szCs w:val="24"/>
              </w:rPr>
            </w:pPr>
            <w:r>
              <w:rPr>
                <w:rFonts w:hint="eastAsia" w:ascii="方正仿宋_GBK" w:hAnsi="宋体"/>
                <w:sz w:val="24"/>
                <w:szCs w:val="24"/>
              </w:rPr>
              <w:t>农家书屋“五簿一册”登记使用规范，按时登记。</w:t>
            </w:r>
          </w:p>
        </w:tc>
        <w:tc>
          <w:tcPr>
            <w:tcW w:w="1018" w:type="dxa"/>
            <w:tcBorders>
              <w:top w:val="single" w:color="auto" w:sz="4" w:space="0"/>
              <w:left w:val="single" w:color="auto" w:sz="4" w:space="0"/>
              <w:bottom w:val="single" w:color="auto" w:sz="4" w:space="0"/>
              <w:right w:val="single" w:color="auto" w:sz="4" w:space="0"/>
            </w:tcBorders>
            <w:noWrap w:val="0"/>
            <w:vAlign w:val="top"/>
          </w:tcPr>
          <w:p w14:paraId="7D79B5B9">
            <w:pPr>
              <w:spacing w:line="400" w:lineRule="exact"/>
              <w:jc w:val="center"/>
              <w:rPr>
                <w:rFonts w:hint="eastAsia" w:ascii="方正仿宋_GBK" w:hAnsi="宋体"/>
                <w:sz w:val="24"/>
                <w:szCs w:val="24"/>
              </w:rPr>
            </w:pPr>
            <w:r>
              <w:rPr>
                <w:rFonts w:hint="eastAsia" w:ascii="方正仿宋_GBK" w:hAnsi="宋体"/>
                <w:sz w:val="24"/>
                <w:szCs w:val="24"/>
              </w:rPr>
              <w:t>5分</w:t>
            </w:r>
          </w:p>
        </w:tc>
        <w:tc>
          <w:tcPr>
            <w:tcW w:w="3302" w:type="dxa"/>
            <w:tcBorders>
              <w:top w:val="single" w:color="auto" w:sz="4" w:space="0"/>
              <w:left w:val="single" w:color="auto" w:sz="4" w:space="0"/>
              <w:bottom w:val="single" w:color="auto" w:sz="4" w:space="0"/>
              <w:right w:val="single" w:color="auto" w:sz="4" w:space="0"/>
            </w:tcBorders>
            <w:noWrap w:val="0"/>
            <w:vAlign w:val="top"/>
          </w:tcPr>
          <w:p w14:paraId="3F13C429">
            <w:pPr>
              <w:spacing w:line="400" w:lineRule="exact"/>
              <w:jc w:val="left"/>
              <w:rPr>
                <w:rFonts w:hint="eastAsia" w:ascii="方正仿宋_GBK" w:hAnsi="宋体"/>
                <w:sz w:val="24"/>
                <w:szCs w:val="24"/>
              </w:rPr>
            </w:pPr>
            <w:r>
              <w:rPr>
                <w:rFonts w:hint="eastAsia" w:ascii="方正仿宋_GBK" w:hAnsi="宋体"/>
                <w:sz w:val="24"/>
                <w:szCs w:val="24"/>
              </w:rPr>
              <w:t>“五簿一册”登记不规范，每一次扣5分。</w:t>
            </w:r>
          </w:p>
        </w:tc>
        <w:tc>
          <w:tcPr>
            <w:tcW w:w="1064" w:type="dxa"/>
            <w:tcBorders>
              <w:top w:val="single" w:color="auto" w:sz="4" w:space="0"/>
              <w:left w:val="single" w:color="auto" w:sz="4" w:space="0"/>
              <w:bottom w:val="single" w:color="auto" w:sz="4" w:space="0"/>
              <w:right w:val="single" w:color="auto" w:sz="4" w:space="0"/>
            </w:tcBorders>
            <w:noWrap w:val="0"/>
            <w:vAlign w:val="top"/>
          </w:tcPr>
          <w:p w14:paraId="0887A431">
            <w:pPr>
              <w:widowControl/>
              <w:jc w:val="left"/>
              <w:rPr>
                <w:rFonts w:hint="eastAsia" w:ascii="宋体" w:hAnsi="宋体" w:eastAsia="宋体"/>
                <w:sz w:val="18"/>
                <w:szCs w:val="18"/>
              </w:rPr>
            </w:pPr>
          </w:p>
        </w:tc>
      </w:tr>
      <w:tr w14:paraId="7433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41A56CBA">
            <w:pPr>
              <w:widowControl/>
              <w:jc w:val="left"/>
              <w:rPr>
                <w:rFonts w:ascii="方正仿宋_GBK" w:hAnsi="宋体"/>
                <w:sz w:val="24"/>
                <w:szCs w:val="24"/>
              </w:rPr>
            </w:pPr>
          </w:p>
        </w:tc>
        <w:tc>
          <w:tcPr>
            <w:tcW w:w="7862" w:type="dxa"/>
            <w:tcBorders>
              <w:top w:val="single" w:color="auto" w:sz="4" w:space="0"/>
              <w:left w:val="single" w:color="auto" w:sz="4" w:space="0"/>
              <w:bottom w:val="single" w:color="auto" w:sz="4" w:space="0"/>
              <w:right w:val="single" w:color="auto" w:sz="4" w:space="0"/>
            </w:tcBorders>
            <w:noWrap w:val="0"/>
            <w:vAlign w:val="top"/>
          </w:tcPr>
          <w:p w14:paraId="2540F758">
            <w:pPr>
              <w:spacing w:line="400" w:lineRule="exact"/>
              <w:rPr>
                <w:rFonts w:hint="eastAsia" w:ascii="方正仿宋_GBK" w:hAnsi="宋体"/>
                <w:sz w:val="18"/>
                <w:szCs w:val="18"/>
              </w:rPr>
            </w:pPr>
            <w:r>
              <w:rPr>
                <w:rFonts w:hint="eastAsia" w:ascii="方正仿宋_GBK" w:hAnsi="宋体"/>
                <w:sz w:val="24"/>
                <w:szCs w:val="24"/>
              </w:rPr>
              <w:t>农家书屋免费开放每周不少于5天，开放时间不得少于40小时，全年借阅300人次以上，做好配送图书的编码、上架工作。</w:t>
            </w:r>
          </w:p>
        </w:tc>
        <w:tc>
          <w:tcPr>
            <w:tcW w:w="1018" w:type="dxa"/>
            <w:tcBorders>
              <w:top w:val="single" w:color="auto" w:sz="4" w:space="0"/>
              <w:left w:val="single" w:color="auto" w:sz="4" w:space="0"/>
              <w:bottom w:val="single" w:color="auto" w:sz="4" w:space="0"/>
              <w:right w:val="single" w:color="auto" w:sz="4" w:space="0"/>
            </w:tcBorders>
            <w:noWrap w:val="0"/>
            <w:vAlign w:val="top"/>
          </w:tcPr>
          <w:p w14:paraId="091290BA">
            <w:pPr>
              <w:spacing w:line="400" w:lineRule="exact"/>
              <w:jc w:val="center"/>
              <w:rPr>
                <w:rFonts w:hint="eastAsia" w:ascii="方正仿宋_GBK" w:hAnsi="宋体"/>
                <w:sz w:val="24"/>
                <w:szCs w:val="24"/>
              </w:rPr>
            </w:pPr>
            <w:r>
              <w:rPr>
                <w:rFonts w:hint="eastAsia" w:ascii="方正仿宋_GBK" w:hAnsi="宋体"/>
                <w:sz w:val="24"/>
                <w:szCs w:val="24"/>
              </w:rPr>
              <w:t>10分</w:t>
            </w:r>
          </w:p>
        </w:tc>
        <w:tc>
          <w:tcPr>
            <w:tcW w:w="3302" w:type="dxa"/>
            <w:tcBorders>
              <w:top w:val="single" w:color="auto" w:sz="4" w:space="0"/>
              <w:left w:val="single" w:color="auto" w:sz="4" w:space="0"/>
              <w:bottom w:val="single" w:color="auto" w:sz="4" w:space="0"/>
              <w:right w:val="single" w:color="auto" w:sz="4" w:space="0"/>
            </w:tcBorders>
            <w:noWrap w:val="0"/>
            <w:vAlign w:val="top"/>
          </w:tcPr>
          <w:p w14:paraId="514B6B92">
            <w:pPr>
              <w:spacing w:line="400" w:lineRule="exact"/>
              <w:jc w:val="left"/>
              <w:rPr>
                <w:rFonts w:hint="eastAsia" w:ascii="方正仿宋_GBK" w:hAnsi="宋体"/>
                <w:sz w:val="24"/>
                <w:szCs w:val="24"/>
              </w:rPr>
            </w:pPr>
            <w:r>
              <w:rPr>
                <w:rFonts w:hint="eastAsia" w:ascii="方正仿宋_GBK" w:hAnsi="宋体"/>
                <w:sz w:val="24"/>
                <w:szCs w:val="24"/>
              </w:rPr>
              <w:t>每周开放少1天扣5分，借阅少5次扣1分</w:t>
            </w:r>
          </w:p>
        </w:tc>
        <w:tc>
          <w:tcPr>
            <w:tcW w:w="1064" w:type="dxa"/>
            <w:tcBorders>
              <w:top w:val="single" w:color="auto" w:sz="4" w:space="0"/>
              <w:left w:val="single" w:color="auto" w:sz="4" w:space="0"/>
              <w:bottom w:val="single" w:color="auto" w:sz="4" w:space="0"/>
              <w:right w:val="single" w:color="auto" w:sz="4" w:space="0"/>
            </w:tcBorders>
            <w:noWrap w:val="0"/>
            <w:vAlign w:val="top"/>
          </w:tcPr>
          <w:p w14:paraId="29E6DBEC">
            <w:pPr>
              <w:widowControl/>
              <w:jc w:val="left"/>
              <w:rPr>
                <w:rFonts w:hint="eastAsia" w:ascii="宋体" w:hAnsi="宋体" w:eastAsia="宋体"/>
                <w:sz w:val="18"/>
                <w:szCs w:val="18"/>
              </w:rPr>
            </w:pPr>
          </w:p>
        </w:tc>
      </w:tr>
      <w:tr w14:paraId="315A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5079B549">
            <w:pPr>
              <w:widowControl/>
              <w:jc w:val="left"/>
              <w:rPr>
                <w:rFonts w:ascii="方正仿宋_GBK" w:hAnsi="宋体"/>
                <w:sz w:val="24"/>
                <w:szCs w:val="24"/>
              </w:rPr>
            </w:pPr>
          </w:p>
        </w:tc>
        <w:tc>
          <w:tcPr>
            <w:tcW w:w="7862" w:type="dxa"/>
            <w:tcBorders>
              <w:top w:val="single" w:color="auto" w:sz="4" w:space="0"/>
              <w:left w:val="single" w:color="auto" w:sz="4" w:space="0"/>
              <w:bottom w:val="single" w:color="auto" w:sz="4" w:space="0"/>
              <w:right w:val="single" w:color="auto" w:sz="4" w:space="0"/>
            </w:tcBorders>
            <w:noWrap w:val="0"/>
            <w:vAlign w:val="top"/>
          </w:tcPr>
          <w:p w14:paraId="27F4145C">
            <w:pPr>
              <w:spacing w:line="400" w:lineRule="exact"/>
              <w:rPr>
                <w:rFonts w:hint="eastAsia" w:ascii="方正仿宋_GBK" w:hAnsi="宋体"/>
                <w:sz w:val="18"/>
                <w:szCs w:val="18"/>
              </w:rPr>
            </w:pPr>
            <w:r>
              <w:rPr>
                <w:rFonts w:hint="eastAsia" w:ascii="方正仿宋_GBK" w:hAnsi="宋体"/>
                <w:sz w:val="21"/>
                <w:szCs w:val="21"/>
              </w:rPr>
              <w:t>每年组织开展好群众读书月活动，并作好活动图片、资料记录（活动不得少于4次）。</w:t>
            </w:r>
          </w:p>
        </w:tc>
        <w:tc>
          <w:tcPr>
            <w:tcW w:w="1018" w:type="dxa"/>
            <w:tcBorders>
              <w:top w:val="single" w:color="auto" w:sz="4" w:space="0"/>
              <w:left w:val="single" w:color="auto" w:sz="4" w:space="0"/>
              <w:bottom w:val="single" w:color="auto" w:sz="4" w:space="0"/>
              <w:right w:val="single" w:color="auto" w:sz="4" w:space="0"/>
            </w:tcBorders>
            <w:noWrap w:val="0"/>
            <w:vAlign w:val="top"/>
          </w:tcPr>
          <w:p w14:paraId="7682402A">
            <w:pPr>
              <w:spacing w:line="400" w:lineRule="exact"/>
              <w:jc w:val="center"/>
              <w:rPr>
                <w:rFonts w:hint="eastAsia" w:ascii="方正仿宋_GBK" w:hAnsi="宋体"/>
                <w:sz w:val="24"/>
                <w:szCs w:val="24"/>
              </w:rPr>
            </w:pPr>
            <w:r>
              <w:rPr>
                <w:rFonts w:hint="eastAsia" w:ascii="方正仿宋_GBK" w:hAnsi="宋体"/>
                <w:sz w:val="24"/>
                <w:szCs w:val="24"/>
              </w:rPr>
              <w:t>10分</w:t>
            </w:r>
          </w:p>
        </w:tc>
        <w:tc>
          <w:tcPr>
            <w:tcW w:w="3302" w:type="dxa"/>
            <w:tcBorders>
              <w:top w:val="single" w:color="auto" w:sz="4" w:space="0"/>
              <w:left w:val="single" w:color="auto" w:sz="4" w:space="0"/>
              <w:bottom w:val="single" w:color="auto" w:sz="4" w:space="0"/>
              <w:right w:val="single" w:color="auto" w:sz="4" w:space="0"/>
            </w:tcBorders>
            <w:noWrap w:val="0"/>
            <w:vAlign w:val="top"/>
          </w:tcPr>
          <w:p w14:paraId="3DC062EC">
            <w:pPr>
              <w:spacing w:line="400" w:lineRule="exact"/>
              <w:jc w:val="left"/>
              <w:rPr>
                <w:rFonts w:hint="eastAsia" w:ascii="方正仿宋_GBK" w:hAnsi="宋体"/>
                <w:sz w:val="24"/>
                <w:szCs w:val="24"/>
              </w:rPr>
            </w:pPr>
            <w:r>
              <w:rPr>
                <w:rFonts w:hint="eastAsia" w:ascii="方正仿宋_GBK" w:hAnsi="宋体"/>
                <w:sz w:val="24"/>
                <w:szCs w:val="24"/>
              </w:rPr>
              <w:t>每少一次扣5分</w:t>
            </w:r>
          </w:p>
        </w:tc>
        <w:tc>
          <w:tcPr>
            <w:tcW w:w="1064" w:type="dxa"/>
            <w:tcBorders>
              <w:top w:val="single" w:color="auto" w:sz="4" w:space="0"/>
              <w:left w:val="single" w:color="auto" w:sz="4" w:space="0"/>
              <w:bottom w:val="single" w:color="auto" w:sz="4" w:space="0"/>
              <w:right w:val="single" w:color="auto" w:sz="4" w:space="0"/>
            </w:tcBorders>
            <w:noWrap w:val="0"/>
            <w:vAlign w:val="top"/>
          </w:tcPr>
          <w:p w14:paraId="0962C931">
            <w:pPr>
              <w:widowControl/>
              <w:jc w:val="left"/>
              <w:rPr>
                <w:rFonts w:hint="eastAsia" w:ascii="宋体" w:hAnsi="宋体" w:eastAsia="宋体"/>
                <w:sz w:val="18"/>
                <w:szCs w:val="18"/>
              </w:rPr>
            </w:pPr>
          </w:p>
        </w:tc>
      </w:tr>
      <w:tr w14:paraId="1765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564979A4">
            <w:pPr>
              <w:widowControl/>
              <w:jc w:val="left"/>
              <w:rPr>
                <w:rFonts w:ascii="方正仿宋_GBK" w:hAnsi="宋体"/>
                <w:sz w:val="24"/>
                <w:szCs w:val="24"/>
              </w:rPr>
            </w:pPr>
          </w:p>
        </w:tc>
        <w:tc>
          <w:tcPr>
            <w:tcW w:w="7862" w:type="dxa"/>
            <w:tcBorders>
              <w:top w:val="single" w:color="auto" w:sz="4" w:space="0"/>
              <w:left w:val="single" w:color="auto" w:sz="4" w:space="0"/>
              <w:bottom w:val="single" w:color="auto" w:sz="4" w:space="0"/>
              <w:right w:val="single" w:color="auto" w:sz="4" w:space="0"/>
            </w:tcBorders>
            <w:noWrap w:val="0"/>
            <w:vAlign w:val="top"/>
          </w:tcPr>
          <w:p w14:paraId="5A68491A">
            <w:pPr>
              <w:spacing w:line="400" w:lineRule="exact"/>
              <w:rPr>
                <w:rFonts w:hint="eastAsia" w:ascii="方正仿宋_GBK" w:hAnsi="宋体"/>
                <w:sz w:val="18"/>
                <w:szCs w:val="18"/>
              </w:rPr>
            </w:pPr>
            <w:r>
              <w:rPr>
                <w:rFonts w:hint="eastAsia" w:ascii="方正仿宋_GBK" w:hAnsi="宋体"/>
                <w:sz w:val="24"/>
                <w:szCs w:val="24"/>
              </w:rPr>
              <w:t>抓好辖区文化大户的管理，做好图书编码、登记等工作。有文物的村（居）做好辖区的文物保护工作，每季度必须检查一次文物（有照片），根据参加检查文物到位情况发放一定的补助。</w:t>
            </w:r>
          </w:p>
        </w:tc>
        <w:tc>
          <w:tcPr>
            <w:tcW w:w="1018" w:type="dxa"/>
            <w:tcBorders>
              <w:top w:val="single" w:color="auto" w:sz="4" w:space="0"/>
              <w:left w:val="single" w:color="auto" w:sz="4" w:space="0"/>
              <w:bottom w:val="single" w:color="auto" w:sz="4" w:space="0"/>
              <w:right w:val="single" w:color="auto" w:sz="4" w:space="0"/>
            </w:tcBorders>
            <w:noWrap w:val="0"/>
            <w:vAlign w:val="top"/>
          </w:tcPr>
          <w:p w14:paraId="1B6E7AA6">
            <w:pPr>
              <w:spacing w:line="400" w:lineRule="exact"/>
              <w:jc w:val="center"/>
              <w:rPr>
                <w:rFonts w:hint="eastAsia" w:ascii="方正仿宋_GBK" w:hAnsi="宋体"/>
                <w:sz w:val="24"/>
                <w:szCs w:val="24"/>
              </w:rPr>
            </w:pPr>
            <w:r>
              <w:rPr>
                <w:rFonts w:hint="eastAsia" w:ascii="方正仿宋_GBK" w:hAnsi="宋体"/>
                <w:sz w:val="24"/>
                <w:szCs w:val="24"/>
              </w:rPr>
              <w:t>20分</w:t>
            </w:r>
          </w:p>
        </w:tc>
        <w:tc>
          <w:tcPr>
            <w:tcW w:w="3302" w:type="dxa"/>
            <w:tcBorders>
              <w:top w:val="single" w:color="auto" w:sz="4" w:space="0"/>
              <w:left w:val="single" w:color="auto" w:sz="4" w:space="0"/>
              <w:bottom w:val="single" w:color="auto" w:sz="4" w:space="0"/>
              <w:right w:val="single" w:color="auto" w:sz="4" w:space="0"/>
            </w:tcBorders>
            <w:noWrap w:val="0"/>
            <w:vAlign w:val="top"/>
          </w:tcPr>
          <w:p w14:paraId="23D0025E">
            <w:pPr>
              <w:spacing w:line="400" w:lineRule="exact"/>
              <w:jc w:val="left"/>
              <w:rPr>
                <w:rFonts w:hint="eastAsia" w:ascii="方正仿宋_GBK" w:hAnsi="宋体"/>
                <w:sz w:val="24"/>
                <w:szCs w:val="24"/>
              </w:rPr>
            </w:pPr>
            <w:r>
              <w:rPr>
                <w:rFonts w:hint="eastAsia" w:ascii="方正仿宋_GBK" w:hAnsi="宋体"/>
                <w:sz w:val="24"/>
                <w:szCs w:val="24"/>
              </w:rPr>
              <w:t>检查文物每少一次扣5分。</w:t>
            </w:r>
          </w:p>
        </w:tc>
        <w:tc>
          <w:tcPr>
            <w:tcW w:w="1064" w:type="dxa"/>
            <w:tcBorders>
              <w:top w:val="single" w:color="auto" w:sz="4" w:space="0"/>
              <w:left w:val="single" w:color="auto" w:sz="4" w:space="0"/>
              <w:bottom w:val="single" w:color="auto" w:sz="4" w:space="0"/>
              <w:right w:val="single" w:color="auto" w:sz="4" w:space="0"/>
            </w:tcBorders>
            <w:noWrap w:val="0"/>
            <w:vAlign w:val="top"/>
          </w:tcPr>
          <w:p w14:paraId="1DCE8393">
            <w:pPr>
              <w:widowControl/>
              <w:jc w:val="left"/>
              <w:rPr>
                <w:rFonts w:hint="eastAsia" w:ascii="宋体" w:hAnsi="宋体" w:eastAsia="宋体"/>
                <w:sz w:val="18"/>
                <w:szCs w:val="18"/>
              </w:rPr>
            </w:pPr>
          </w:p>
        </w:tc>
      </w:tr>
      <w:tr w14:paraId="39C7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059BDDEA">
            <w:pPr>
              <w:widowControl/>
              <w:jc w:val="left"/>
              <w:rPr>
                <w:rFonts w:ascii="方正仿宋_GBK" w:hAnsi="宋体"/>
                <w:sz w:val="24"/>
                <w:szCs w:val="24"/>
              </w:rPr>
            </w:pPr>
          </w:p>
        </w:tc>
        <w:tc>
          <w:tcPr>
            <w:tcW w:w="7862" w:type="dxa"/>
            <w:tcBorders>
              <w:top w:val="single" w:color="auto" w:sz="4" w:space="0"/>
              <w:left w:val="single" w:color="auto" w:sz="4" w:space="0"/>
              <w:bottom w:val="single" w:color="auto" w:sz="4" w:space="0"/>
              <w:right w:val="single" w:color="auto" w:sz="4" w:space="0"/>
            </w:tcBorders>
            <w:noWrap w:val="0"/>
            <w:vAlign w:val="top"/>
          </w:tcPr>
          <w:p w14:paraId="4869F085">
            <w:pPr>
              <w:spacing w:line="300" w:lineRule="exact"/>
              <w:ind w:right="318"/>
              <w:jc w:val="left"/>
              <w:rPr>
                <w:rFonts w:hint="eastAsia" w:ascii="Times New Roman" w:hAnsi="Times New Roman"/>
                <w:sz w:val="24"/>
                <w:szCs w:val="24"/>
              </w:rPr>
            </w:pPr>
            <w:r>
              <w:rPr>
                <w:rFonts w:hint="eastAsia"/>
                <w:sz w:val="24"/>
                <w:szCs w:val="24"/>
              </w:rPr>
              <w:t>每月按乡新时代文明实践所的要求提供会标图片和开展新时代活动图片（要求：着志愿者服装）</w:t>
            </w:r>
            <w:r>
              <w:rPr>
                <w:rFonts w:hint="eastAsia" w:ascii="方正仿宋_GBK" w:hAnsi="宋体"/>
                <w:sz w:val="24"/>
                <w:szCs w:val="24"/>
              </w:rPr>
              <w:t>。</w:t>
            </w:r>
          </w:p>
        </w:tc>
        <w:tc>
          <w:tcPr>
            <w:tcW w:w="1018" w:type="dxa"/>
            <w:tcBorders>
              <w:top w:val="single" w:color="auto" w:sz="4" w:space="0"/>
              <w:left w:val="single" w:color="auto" w:sz="4" w:space="0"/>
              <w:bottom w:val="single" w:color="auto" w:sz="4" w:space="0"/>
              <w:right w:val="single" w:color="auto" w:sz="4" w:space="0"/>
            </w:tcBorders>
            <w:noWrap w:val="0"/>
            <w:vAlign w:val="top"/>
          </w:tcPr>
          <w:p w14:paraId="28DF9774">
            <w:pPr>
              <w:spacing w:line="400" w:lineRule="exact"/>
              <w:jc w:val="center"/>
              <w:rPr>
                <w:rFonts w:ascii="方正仿宋_GBK" w:hAnsi="宋体"/>
                <w:sz w:val="24"/>
                <w:szCs w:val="24"/>
              </w:rPr>
            </w:pPr>
            <w:r>
              <w:rPr>
                <w:rFonts w:hint="eastAsia" w:ascii="方正仿宋_GBK" w:hAnsi="宋体"/>
                <w:sz w:val="24"/>
                <w:szCs w:val="24"/>
              </w:rPr>
              <w:t>20分</w:t>
            </w:r>
          </w:p>
        </w:tc>
        <w:tc>
          <w:tcPr>
            <w:tcW w:w="3302" w:type="dxa"/>
            <w:tcBorders>
              <w:top w:val="single" w:color="auto" w:sz="4" w:space="0"/>
              <w:left w:val="single" w:color="auto" w:sz="4" w:space="0"/>
              <w:bottom w:val="single" w:color="auto" w:sz="4" w:space="0"/>
              <w:right w:val="single" w:color="auto" w:sz="4" w:space="0"/>
            </w:tcBorders>
            <w:noWrap w:val="0"/>
            <w:vAlign w:val="top"/>
          </w:tcPr>
          <w:p w14:paraId="60310039">
            <w:pPr>
              <w:spacing w:line="400" w:lineRule="exact"/>
              <w:jc w:val="left"/>
              <w:rPr>
                <w:rFonts w:hint="eastAsia" w:ascii="方正仿宋_GBK" w:hAnsi="宋体"/>
                <w:sz w:val="24"/>
                <w:szCs w:val="24"/>
              </w:rPr>
            </w:pPr>
            <w:r>
              <w:rPr>
                <w:rFonts w:hint="eastAsia" w:ascii="方正仿宋_GBK" w:hAnsi="宋体"/>
                <w:sz w:val="24"/>
                <w:szCs w:val="24"/>
              </w:rPr>
              <w:t>每差一月扣5分</w:t>
            </w:r>
          </w:p>
        </w:tc>
        <w:tc>
          <w:tcPr>
            <w:tcW w:w="1064" w:type="dxa"/>
            <w:tcBorders>
              <w:top w:val="single" w:color="auto" w:sz="4" w:space="0"/>
              <w:left w:val="single" w:color="auto" w:sz="4" w:space="0"/>
              <w:bottom w:val="single" w:color="auto" w:sz="4" w:space="0"/>
              <w:right w:val="single" w:color="auto" w:sz="4" w:space="0"/>
            </w:tcBorders>
            <w:noWrap w:val="0"/>
            <w:vAlign w:val="top"/>
          </w:tcPr>
          <w:p w14:paraId="6875D640">
            <w:pPr>
              <w:widowControl/>
              <w:jc w:val="left"/>
              <w:rPr>
                <w:rFonts w:hint="eastAsia" w:ascii="宋体" w:hAnsi="宋体" w:eastAsia="宋体"/>
                <w:sz w:val="18"/>
                <w:szCs w:val="18"/>
              </w:rPr>
            </w:pPr>
          </w:p>
        </w:tc>
      </w:tr>
      <w:tr w14:paraId="3612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7D10F2F1">
            <w:pPr>
              <w:widowControl/>
              <w:jc w:val="left"/>
              <w:rPr>
                <w:rFonts w:ascii="方正仿宋_GBK" w:hAnsi="宋体"/>
                <w:sz w:val="24"/>
                <w:szCs w:val="24"/>
              </w:rPr>
            </w:pPr>
          </w:p>
        </w:tc>
        <w:tc>
          <w:tcPr>
            <w:tcW w:w="7862" w:type="dxa"/>
            <w:tcBorders>
              <w:top w:val="single" w:color="auto" w:sz="4" w:space="0"/>
              <w:left w:val="single" w:color="auto" w:sz="4" w:space="0"/>
              <w:bottom w:val="single" w:color="auto" w:sz="4" w:space="0"/>
              <w:right w:val="single" w:color="auto" w:sz="4" w:space="0"/>
            </w:tcBorders>
            <w:noWrap w:val="0"/>
            <w:vAlign w:val="top"/>
          </w:tcPr>
          <w:p w14:paraId="0C9D8FE9">
            <w:pPr>
              <w:spacing w:line="400" w:lineRule="exact"/>
              <w:rPr>
                <w:rFonts w:hint="eastAsia" w:ascii="方正仿宋_GBK" w:hAnsi="宋体"/>
                <w:sz w:val="18"/>
                <w:szCs w:val="18"/>
              </w:rPr>
            </w:pPr>
            <w:r>
              <w:rPr>
                <w:rFonts w:hint="eastAsia" w:ascii="方正仿宋_GBK" w:hAnsi="宋体"/>
                <w:sz w:val="24"/>
                <w:szCs w:val="24"/>
              </w:rPr>
              <w:t>能正确使用图书室灭火设备。完成学习强国、愉快发、各项交办工作任务（如：送文化下乡、惠民电影</w:t>
            </w:r>
            <w:r>
              <w:rPr>
                <w:rFonts w:hint="eastAsia" w:ascii="方正仿宋_GBK" w:hAnsi="宋体"/>
                <w:sz w:val="24"/>
                <w:szCs w:val="24"/>
                <w:lang w:eastAsia="zh-CN"/>
              </w:rPr>
              <w:t>、应急广播管理</w:t>
            </w:r>
            <w:r>
              <w:rPr>
                <w:rFonts w:hint="eastAsia" w:ascii="方正仿宋_GBK" w:hAnsi="宋体"/>
                <w:sz w:val="24"/>
                <w:szCs w:val="24"/>
              </w:rPr>
              <w:t>等）。</w:t>
            </w:r>
          </w:p>
        </w:tc>
        <w:tc>
          <w:tcPr>
            <w:tcW w:w="1018" w:type="dxa"/>
            <w:tcBorders>
              <w:top w:val="single" w:color="auto" w:sz="4" w:space="0"/>
              <w:left w:val="single" w:color="auto" w:sz="4" w:space="0"/>
              <w:bottom w:val="single" w:color="auto" w:sz="4" w:space="0"/>
              <w:right w:val="single" w:color="auto" w:sz="4" w:space="0"/>
            </w:tcBorders>
            <w:noWrap w:val="0"/>
            <w:vAlign w:val="top"/>
          </w:tcPr>
          <w:p w14:paraId="5FFB78CC">
            <w:pPr>
              <w:spacing w:line="400" w:lineRule="exact"/>
              <w:jc w:val="center"/>
              <w:rPr>
                <w:rFonts w:hint="eastAsia" w:ascii="方正仿宋_GBK" w:hAnsi="宋体"/>
                <w:sz w:val="24"/>
                <w:szCs w:val="24"/>
              </w:rPr>
            </w:pPr>
            <w:r>
              <w:rPr>
                <w:rFonts w:hint="eastAsia" w:ascii="方正仿宋_GBK" w:hAnsi="宋体"/>
                <w:sz w:val="24"/>
                <w:szCs w:val="24"/>
              </w:rPr>
              <w:t>20分</w:t>
            </w:r>
          </w:p>
        </w:tc>
        <w:tc>
          <w:tcPr>
            <w:tcW w:w="3302" w:type="dxa"/>
            <w:tcBorders>
              <w:top w:val="single" w:color="auto" w:sz="4" w:space="0"/>
              <w:left w:val="single" w:color="auto" w:sz="4" w:space="0"/>
              <w:bottom w:val="single" w:color="auto" w:sz="4" w:space="0"/>
              <w:right w:val="single" w:color="auto" w:sz="4" w:space="0"/>
            </w:tcBorders>
            <w:noWrap w:val="0"/>
            <w:vAlign w:val="top"/>
          </w:tcPr>
          <w:p w14:paraId="74A57772">
            <w:pPr>
              <w:spacing w:line="400" w:lineRule="exact"/>
              <w:jc w:val="left"/>
              <w:rPr>
                <w:rFonts w:hint="default" w:ascii="方正仿宋_GBK" w:hAnsi="宋体" w:eastAsia="方正仿宋_GBK"/>
                <w:sz w:val="24"/>
                <w:szCs w:val="24"/>
                <w:lang w:val="en-US" w:eastAsia="zh-CN"/>
              </w:rPr>
            </w:pPr>
            <w:r>
              <w:rPr>
                <w:rFonts w:hint="eastAsia" w:ascii="方正仿宋_GBK" w:hAnsi="宋体"/>
                <w:sz w:val="24"/>
                <w:szCs w:val="24"/>
                <w:lang w:eastAsia="zh-CN"/>
              </w:rPr>
              <w:t>发生重大灾不得分。交办任务不完成一次扣</w:t>
            </w:r>
            <w:r>
              <w:rPr>
                <w:rFonts w:hint="eastAsia" w:ascii="方正仿宋_GBK" w:hAnsi="宋体"/>
                <w:sz w:val="24"/>
                <w:szCs w:val="24"/>
                <w:lang w:val="en-US" w:eastAsia="zh-CN"/>
              </w:rPr>
              <w:t>5分，扣完为止</w:t>
            </w:r>
          </w:p>
        </w:tc>
        <w:tc>
          <w:tcPr>
            <w:tcW w:w="1064" w:type="dxa"/>
            <w:tcBorders>
              <w:top w:val="single" w:color="auto" w:sz="4" w:space="0"/>
              <w:left w:val="single" w:color="auto" w:sz="4" w:space="0"/>
              <w:bottom w:val="single" w:color="auto" w:sz="4" w:space="0"/>
              <w:right w:val="single" w:color="auto" w:sz="4" w:space="0"/>
            </w:tcBorders>
            <w:noWrap w:val="0"/>
            <w:vAlign w:val="top"/>
          </w:tcPr>
          <w:p w14:paraId="1C7430DA">
            <w:pPr>
              <w:widowControl/>
              <w:jc w:val="left"/>
              <w:rPr>
                <w:rFonts w:hint="eastAsia" w:ascii="宋体" w:hAnsi="宋体" w:eastAsia="宋体"/>
                <w:sz w:val="18"/>
                <w:szCs w:val="18"/>
              </w:rPr>
            </w:pPr>
          </w:p>
        </w:tc>
      </w:tr>
    </w:tbl>
    <w:p w14:paraId="66D61F99">
      <w:pPr>
        <w:pStyle w:val="6"/>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eastAsia="zh-CN"/>
        </w:rPr>
      </w:pPr>
    </w:p>
    <w:sectPr>
      <w:pgSz w:w="16838" w:h="11906" w:orient="landscape"/>
      <w:pgMar w:top="1446" w:right="1757" w:bottom="1446" w:left="1757" w:header="851" w:footer="1344" w:gutter="0"/>
      <w:pgNumType w:fmt="decimal" w:chapStyle="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F79E4">
    <w:pPr>
      <w:pStyle w:val="9"/>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9F15AB">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5B9F15AB">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D0C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
      <w:suff w:val="nothing"/>
      <w:lvlText w:val="%1、"/>
      <w:lvlJc w:val="left"/>
      <w:pPr>
        <w:ind w:left="840" w:firstLine="0"/>
      </w:pPr>
      <w:rPr>
        <w:rFonts w:hint="eastAsia"/>
        <w:lang w:val="en-US"/>
      </w:rPr>
    </w:lvl>
    <w:lvl w:ilvl="1" w:tentative="0">
      <w:start w:val="1"/>
      <w:numFmt w:val="chineseCountingThousand"/>
      <w:suff w:val="nothing"/>
      <w:lvlText w:val="%2、"/>
      <w:lvlJc w:val="left"/>
      <w:pPr>
        <w:ind w:left="1120" w:firstLine="0"/>
      </w:pPr>
      <w:rPr>
        <w:rFonts w:hint="eastAsia"/>
      </w:rPr>
    </w:lvl>
    <w:lvl w:ilvl="2" w:tentative="0">
      <w:start w:val="1"/>
      <w:numFmt w:val="chineseCountingThousand"/>
      <w:suff w:val="nothing"/>
      <w:lvlText w:val="（%3）"/>
      <w:lvlJc w:val="left"/>
      <w:pPr>
        <w:ind w:left="2411" w:firstLine="0"/>
      </w:pPr>
      <w:rPr>
        <w:rFonts w:hint="eastAsia" w:ascii="方正楷体_GBK" w:eastAsia="方正楷体_GBK"/>
      </w:rPr>
    </w:lvl>
    <w:lvl w:ilvl="3" w:tentative="0">
      <w:start w:val="1"/>
      <w:numFmt w:val="decimal"/>
      <w:suff w:val="nothing"/>
      <w:lvlText w:val="%4."/>
      <w:lvlJc w:val="left"/>
      <w:pPr>
        <w:ind w:left="980" w:firstLine="0"/>
      </w:pPr>
      <w:rPr>
        <w:rFonts w:hint="eastAsia"/>
      </w:rPr>
    </w:lvl>
    <w:lvl w:ilvl="4" w:tentative="0">
      <w:start w:val="1"/>
      <w:numFmt w:val="decimal"/>
      <w:suff w:val="space"/>
      <w:lvlText w:val="(%5)"/>
      <w:lvlJc w:val="left"/>
      <w:pPr>
        <w:ind w:left="627" w:firstLine="0"/>
      </w:pPr>
      <w:rPr>
        <w:rFonts w:hint="eastAsia"/>
      </w:rPr>
    </w:lvl>
    <w:lvl w:ilvl="5" w:tentative="0">
      <w:start w:val="1"/>
      <w:numFmt w:val="decimal"/>
      <w:lvlText w:val="%4..%5.%6"/>
      <w:lvlJc w:val="left"/>
      <w:pPr>
        <w:tabs>
          <w:tab w:val="left" w:pos="627"/>
        </w:tabs>
        <w:ind w:left="627" w:firstLine="0"/>
      </w:pPr>
      <w:rPr>
        <w:rFonts w:hint="eastAsia"/>
      </w:rPr>
    </w:lvl>
    <w:lvl w:ilvl="6" w:tentative="0">
      <w:start w:val="1"/>
      <w:numFmt w:val="decimal"/>
      <w:lvlText w:val="%4..%5.%6.%7"/>
      <w:lvlJc w:val="left"/>
      <w:pPr>
        <w:tabs>
          <w:tab w:val="left" w:pos="627"/>
        </w:tabs>
        <w:ind w:left="627" w:firstLine="0"/>
      </w:pPr>
      <w:rPr>
        <w:rFonts w:hint="eastAsia"/>
      </w:rPr>
    </w:lvl>
    <w:lvl w:ilvl="7" w:tentative="0">
      <w:start w:val="1"/>
      <w:numFmt w:val="decimal"/>
      <w:lvlText w:val="%4..%5.%6.%7.%8"/>
      <w:lvlJc w:val="left"/>
      <w:pPr>
        <w:tabs>
          <w:tab w:val="left" w:pos="627"/>
        </w:tabs>
        <w:ind w:left="627" w:firstLine="0"/>
      </w:pPr>
      <w:rPr>
        <w:rFonts w:hint="eastAsia"/>
      </w:rPr>
    </w:lvl>
    <w:lvl w:ilvl="8" w:tentative="0">
      <w:start w:val="1"/>
      <w:numFmt w:val="decimal"/>
      <w:lvlText w:val="%4..%5.%6.%7.%8.%9"/>
      <w:lvlJc w:val="left"/>
      <w:pPr>
        <w:tabs>
          <w:tab w:val="left" w:pos="627"/>
        </w:tabs>
        <w:ind w:left="627"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zFhOTVlOGY5YjI3ZGQyMDEyNzQ3N2NmMWYwNGYifQ=="/>
  </w:docVars>
  <w:rsids>
    <w:rsidRoot w:val="00B27817"/>
    <w:rsid w:val="0000751D"/>
    <w:rsid w:val="000441A6"/>
    <w:rsid w:val="00045A53"/>
    <w:rsid w:val="000856CA"/>
    <w:rsid w:val="00090862"/>
    <w:rsid w:val="000923F6"/>
    <w:rsid w:val="000E1F6D"/>
    <w:rsid w:val="000F5184"/>
    <w:rsid w:val="000F688D"/>
    <w:rsid w:val="00103F6B"/>
    <w:rsid w:val="001070F5"/>
    <w:rsid w:val="00135A12"/>
    <w:rsid w:val="00177952"/>
    <w:rsid w:val="00190569"/>
    <w:rsid w:val="001A2053"/>
    <w:rsid w:val="001C4ED3"/>
    <w:rsid w:val="00212508"/>
    <w:rsid w:val="002135CD"/>
    <w:rsid w:val="00221762"/>
    <w:rsid w:val="002440A9"/>
    <w:rsid w:val="00260841"/>
    <w:rsid w:val="00286CD0"/>
    <w:rsid w:val="0029208C"/>
    <w:rsid w:val="002B7970"/>
    <w:rsid w:val="002F68AE"/>
    <w:rsid w:val="00315608"/>
    <w:rsid w:val="00321211"/>
    <w:rsid w:val="003230C2"/>
    <w:rsid w:val="00333E97"/>
    <w:rsid w:val="0035386F"/>
    <w:rsid w:val="003877EC"/>
    <w:rsid w:val="003B1491"/>
    <w:rsid w:val="003C01F9"/>
    <w:rsid w:val="003C262C"/>
    <w:rsid w:val="003D0246"/>
    <w:rsid w:val="003D4B42"/>
    <w:rsid w:val="00425690"/>
    <w:rsid w:val="004467BC"/>
    <w:rsid w:val="0046224F"/>
    <w:rsid w:val="004664C4"/>
    <w:rsid w:val="004B34DC"/>
    <w:rsid w:val="004C355C"/>
    <w:rsid w:val="004D328D"/>
    <w:rsid w:val="004D48A1"/>
    <w:rsid w:val="004D49D3"/>
    <w:rsid w:val="004E754E"/>
    <w:rsid w:val="0050406C"/>
    <w:rsid w:val="005150E3"/>
    <w:rsid w:val="0054042B"/>
    <w:rsid w:val="005508FA"/>
    <w:rsid w:val="00572B0B"/>
    <w:rsid w:val="005929EF"/>
    <w:rsid w:val="005D5E53"/>
    <w:rsid w:val="005E277B"/>
    <w:rsid w:val="005E7A08"/>
    <w:rsid w:val="005F512D"/>
    <w:rsid w:val="00616B53"/>
    <w:rsid w:val="00626FC3"/>
    <w:rsid w:val="00633F24"/>
    <w:rsid w:val="00647501"/>
    <w:rsid w:val="00661A42"/>
    <w:rsid w:val="006C18F5"/>
    <w:rsid w:val="006E1FE0"/>
    <w:rsid w:val="006E2E11"/>
    <w:rsid w:val="006E4BA1"/>
    <w:rsid w:val="006F4B29"/>
    <w:rsid w:val="007135B7"/>
    <w:rsid w:val="007325FB"/>
    <w:rsid w:val="0074131A"/>
    <w:rsid w:val="00753150"/>
    <w:rsid w:val="0075627F"/>
    <w:rsid w:val="007806DE"/>
    <w:rsid w:val="007C78EE"/>
    <w:rsid w:val="007D353C"/>
    <w:rsid w:val="00800FE0"/>
    <w:rsid w:val="008602F9"/>
    <w:rsid w:val="008624B2"/>
    <w:rsid w:val="00881B58"/>
    <w:rsid w:val="008C61CA"/>
    <w:rsid w:val="008D40B3"/>
    <w:rsid w:val="008D7B37"/>
    <w:rsid w:val="008F11DA"/>
    <w:rsid w:val="008F29C4"/>
    <w:rsid w:val="0090677A"/>
    <w:rsid w:val="0090736C"/>
    <w:rsid w:val="00931DE0"/>
    <w:rsid w:val="0093409D"/>
    <w:rsid w:val="00934240"/>
    <w:rsid w:val="009353B8"/>
    <w:rsid w:val="009430B8"/>
    <w:rsid w:val="00957A2E"/>
    <w:rsid w:val="00991C19"/>
    <w:rsid w:val="009B2282"/>
    <w:rsid w:val="009B4261"/>
    <w:rsid w:val="009C4807"/>
    <w:rsid w:val="009C77AC"/>
    <w:rsid w:val="009D1400"/>
    <w:rsid w:val="009E3D44"/>
    <w:rsid w:val="00A0094B"/>
    <w:rsid w:val="00A10633"/>
    <w:rsid w:val="00A15B14"/>
    <w:rsid w:val="00A22F4F"/>
    <w:rsid w:val="00A31FB6"/>
    <w:rsid w:val="00A70D6E"/>
    <w:rsid w:val="00AC238B"/>
    <w:rsid w:val="00B04BC4"/>
    <w:rsid w:val="00B10961"/>
    <w:rsid w:val="00B27817"/>
    <w:rsid w:val="00B40B08"/>
    <w:rsid w:val="00B46F61"/>
    <w:rsid w:val="00B65053"/>
    <w:rsid w:val="00B85B44"/>
    <w:rsid w:val="00BB2CE0"/>
    <w:rsid w:val="00BB7707"/>
    <w:rsid w:val="00BC2E8D"/>
    <w:rsid w:val="00C25780"/>
    <w:rsid w:val="00C63394"/>
    <w:rsid w:val="00C63574"/>
    <w:rsid w:val="00C70D63"/>
    <w:rsid w:val="00C745E2"/>
    <w:rsid w:val="00CA4BE0"/>
    <w:rsid w:val="00CE4BBD"/>
    <w:rsid w:val="00D271D1"/>
    <w:rsid w:val="00D44227"/>
    <w:rsid w:val="00D5132B"/>
    <w:rsid w:val="00D57BFF"/>
    <w:rsid w:val="00D63003"/>
    <w:rsid w:val="00D800F6"/>
    <w:rsid w:val="00D8055F"/>
    <w:rsid w:val="00D91D04"/>
    <w:rsid w:val="00DB55F7"/>
    <w:rsid w:val="00DD7EF2"/>
    <w:rsid w:val="00DF7007"/>
    <w:rsid w:val="00DF77A8"/>
    <w:rsid w:val="00E16366"/>
    <w:rsid w:val="00E21BC4"/>
    <w:rsid w:val="00E62917"/>
    <w:rsid w:val="00E66282"/>
    <w:rsid w:val="00E842C9"/>
    <w:rsid w:val="00E9122F"/>
    <w:rsid w:val="00EA5392"/>
    <w:rsid w:val="00EB778B"/>
    <w:rsid w:val="00EB7FDE"/>
    <w:rsid w:val="00EC767C"/>
    <w:rsid w:val="00F07873"/>
    <w:rsid w:val="00F2267C"/>
    <w:rsid w:val="00F22C54"/>
    <w:rsid w:val="00F27FD0"/>
    <w:rsid w:val="00F30BC0"/>
    <w:rsid w:val="00F374B7"/>
    <w:rsid w:val="00F6151B"/>
    <w:rsid w:val="00F62F07"/>
    <w:rsid w:val="00FB607F"/>
    <w:rsid w:val="00FD41BD"/>
    <w:rsid w:val="01AD0B0D"/>
    <w:rsid w:val="06633E7B"/>
    <w:rsid w:val="069E286A"/>
    <w:rsid w:val="070A67E9"/>
    <w:rsid w:val="096C1557"/>
    <w:rsid w:val="0A694C24"/>
    <w:rsid w:val="0ABD320F"/>
    <w:rsid w:val="0CBC0F65"/>
    <w:rsid w:val="0CEB3441"/>
    <w:rsid w:val="10CD0C81"/>
    <w:rsid w:val="11CC6863"/>
    <w:rsid w:val="128A1D9B"/>
    <w:rsid w:val="12F179EF"/>
    <w:rsid w:val="13691C8E"/>
    <w:rsid w:val="140A2621"/>
    <w:rsid w:val="146D4CA3"/>
    <w:rsid w:val="14BA4E47"/>
    <w:rsid w:val="1616140C"/>
    <w:rsid w:val="17230EE5"/>
    <w:rsid w:val="18343F68"/>
    <w:rsid w:val="18935046"/>
    <w:rsid w:val="1C972642"/>
    <w:rsid w:val="1DD979D3"/>
    <w:rsid w:val="21CA222C"/>
    <w:rsid w:val="261D3A15"/>
    <w:rsid w:val="26C87E4D"/>
    <w:rsid w:val="27ED6237"/>
    <w:rsid w:val="2FFB6BBC"/>
    <w:rsid w:val="30554018"/>
    <w:rsid w:val="31766BDD"/>
    <w:rsid w:val="31BE4028"/>
    <w:rsid w:val="32A57560"/>
    <w:rsid w:val="32BE34A2"/>
    <w:rsid w:val="34167F0D"/>
    <w:rsid w:val="34492D60"/>
    <w:rsid w:val="350C694C"/>
    <w:rsid w:val="3543266F"/>
    <w:rsid w:val="360C00B0"/>
    <w:rsid w:val="396D0726"/>
    <w:rsid w:val="3A2024F7"/>
    <w:rsid w:val="3B72397B"/>
    <w:rsid w:val="3D076AAE"/>
    <w:rsid w:val="3F933028"/>
    <w:rsid w:val="414828B3"/>
    <w:rsid w:val="41C377DA"/>
    <w:rsid w:val="41DD32B8"/>
    <w:rsid w:val="420A2068"/>
    <w:rsid w:val="427542C7"/>
    <w:rsid w:val="483644DE"/>
    <w:rsid w:val="48616A56"/>
    <w:rsid w:val="488B324A"/>
    <w:rsid w:val="48BC23F3"/>
    <w:rsid w:val="4A211E7A"/>
    <w:rsid w:val="4B0D6A87"/>
    <w:rsid w:val="4BC070CA"/>
    <w:rsid w:val="4C6327A0"/>
    <w:rsid w:val="4E1F16D5"/>
    <w:rsid w:val="4EDC45F1"/>
    <w:rsid w:val="50796299"/>
    <w:rsid w:val="51492EB8"/>
    <w:rsid w:val="5231180E"/>
    <w:rsid w:val="53CB76C0"/>
    <w:rsid w:val="54B12DF7"/>
    <w:rsid w:val="57237B83"/>
    <w:rsid w:val="57C756F9"/>
    <w:rsid w:val="57FA3C20"/>
    <w:rsid w:val="5D6B5082"/>
    <w:rsid w:val="605F1DCA"/>
    <w:rsid w:val="61E81BD9"/>
    <w:rsid w:val="623F7546"/>
    <w:rsid w:val="63057D9A"/>
    <w:rsid w:val="65AB20F7"/>
    <w:rsid w:val="65FF674E"/>
    <w:rsid w:val="674F1E4B"/>
    <w:rsid w:val="692122E3"/>
    <w:rsid w:val="696469CC"/>
    <w:rsid w:val="6A0E500E"/>
    <w:rsid w:val="6B8A489E"/>
    <w:rsid w:val="6BD7258F"/>
    <w:rsid w:val="6F196228"/>
    <w:rsid w:val="6F667019"/>
    <w:rsid w:val="710E3172"/>
    <w:rsid w:val="728B20A7"/>
    <w:rsid w:val="73484817"/>
    <w:rsid w:val="73B065BA"/>
    <w:rsid w:val="74937CF4"/>
    <w:rsid w:val="760D5CCC"/>
    <w:rsid w:val="76F91ABB"/>
    <w:rsid w:val="7773269A"/>
    <w:rsid w:val="77C27594"/>
    <w:rsid w:val="78570196"/>
    <w:rsid w:val="786A5D9D"/>
    <w:rsid w:val="7AF04842"/>
    <w:rsid w:val="7AF16CE2"/>
    <w:rsid w:val="7D9960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autoRedefine/>
    <w:qFormat/>
    <w:uiPriority w:val="0"/>
    <w:pPr>
      <w:numPr>
        <w:ilvl w:val="0"/>
        <w:numId w:val="1"/>
      </w:numPr>
      <w:ind w:left="0" w:firstLine="640" w:firstLineChars="200"/>
      <w:outlineLvl w:val="0"/>
    </w:pPr>
    <w:rPr>
      <w:rFonts w:eastAsia="黑体"/>
      <w:kern w:val="44"/>
    </w:rPr>
  </w:style>
  <w:style w:type="paragraph" w:styleId="4">
    <w:name w:val="heading 2"/>
    <w:basedOn w:val="1"/>
    <w:next w:val="1"/>
    <w:unhideWhenUsed/>
    <w:qFormat/>
    <w:uiPriority w:val="0"/>
    <w:pPr>
      <w:ind w:firstLine="301" w:firstLineChars="100"/>
      <w:outlineLvl w:val="1"/>
    </w:pPr>
    <w:rPr>
      <w:sz w:val="30"/>
      <w:szCs w:val="30"/>
    </w:rPr>
  </w:style>
  <w:style w:type="paragraph" w:styleId="5">
    <w:name w:val="heading 3"/>
    <w:basedOn w:val="1"/>
    <w:next w:val="1"/>
    <w:autoRedefine/>
    <w:unhideWhenUsed/>
    <w:qFormat/>
    <w:uiPriority w:val="0"/>
    <w:pPr>
      <w:ind w:firstLine="562" w:firstLineChars="200"/>
      <w:jc w:val="left"/>
      <w:outlineLvl w:val="2"/>
    </w:pPr>
    <w:rPr>
      <w:rFonts w:ascii="仿宋" w:hAnsi="仿宋" w:eastAsia="仿宋" w:cs="Times New Roman"/>
      <w:b/>
      <w:bCs/>
      <w:sz w:val="28"/>
      <w:szCs w:val="28"/>
    </w:rPr>
  </w:style>
  <w:style w:type="character" w:default="1" w:styleId="15">
    <w:name w:val="Default Paragraph Font"/>
    <w:link w:val="16"/>
    <w:autoRedefine/>
    <w:semiHidden/>
    <w:qFormat/>
    <w:uiPriority w:val="0"/>
    <w:rPr>
      <w:rFonts w:ascii="方正仿宋_GBK"/>
      <w:kern w:val="2"/>
      <w:szCs w:val="24"/>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eastAsia="方正仿宋_GBK" w:cs="Times New Roman"/>
      <w:kern w:val="2"/>
      <w:sz w:val="32"/>
      <w:lang w:val="en-US" w:eastAsia="zh-CN" w:bidi="ar-SA"/>
    </w:rPr>
  </w:style>
  <w:style w:type="paragraph" w:styleId="6">
    <w:name w:val="Body Text"/>
    <w:basedOn w:val="1"/>
    <w:autoRedefine/>
    <w:qFormat/>
    <w:uiPriority w:val="0"/>
    <w:pPr>
      <w:topLinePunct w:val="0"/>
      <w:adjustRightInd/>
      <w:spacing w:after="120" w:afterLines="0" w:afterAutospacing="0"/>
      <w:ind w:firstLine="0" w:firstLineChars="0"/>
    </w:pPr>
    <w:rPr>
      <w:rFonts w:ascii="Calibri" w:hAnsi="Calibri" w:cs="Times New Roman"/>
      <w:kern w:val="0"/>
    </w:rPr>
  </w:style>
  <w:style w:type="paragraph" w:styleId="7">
    <w:name w:val="Body Text Indent"/>
    <w:basedOn w:val="1"/>
    <w:autoRedefine/>
    <w:qFormat/>
    <w:uiPriority w:val="99"/>
    <w:pPr>
      <w:spacing w:line="680" w:lineRule="exact"/>
      <w:ind w:left="492" w:leftChars="1" w:hanging="491" w:hangingChars="491"/>
    </w:pPr>
    <w:rPr>
      <w:rFonts w:eastAsia="宋体"/>
    </w:rPr>
  </w:style>
  <w:style w:type="paragraph" w:styleId="8">
    <w:name w:val="Date"/>
    <w:basedOn w:val="1"/>
    <w:next w:val="1"/>
    <w:qFormat/>
    <w:uiPriority w:val="0"/>
    <w:pPr>
      <w:ind w:left="100" w:leftChars="2500"/>
    </w:pPr>
  </w:style>
  <w:style w:type="paragraph" w:styleId="9">
    <w:name w:val="footer"/>
    <w:basedOn w:val="1"/>
    <w:link w:val="19"/>
    <w:qFormat/>
    <w:uiPriority w:val="0"/>
    <w:pPr>
      <w:tabs>
        <w:tab w:val="right" w:pos="8844"/>
      </w:tabs>
      <w:snapToGrid w:val="0"/>
      <w:jc w:val="left"/>
    </w:pPr>
    <w:rPr>
      <w:sz w:val="28"/>
    </w:rPr>
  </w:style>
  <w:style w:type="paragraph" w:styleId="10">
    <w:name w:val="header"/>
    <w:basedOn w:val="1"/>
    <w:link w:val="20"/>
    <w:autoRedefine/>
    <w:qFormat/>
    <w:uiPriority w:val="0"/>
    <w:pPr>
      <w:pBdr>
        <w:bottom w:val="single" w:color="auto" w:sz="6" w:space="1"/>
      </w:pBdr>
      <w:tabs>
        <w:tab w:val="center" w:pos="4153"/>
        <w:tab w:val="right" w:pos="8306"/>
      </w:tabs>
      <w:snapToGrid w:val="0"/>
      <w:jc w:val="center"/>
    </w:pPr>
    <w:rPr>
      <w:sz w:val="18"/>
    </w:rPr>
  </w:style>
  <w:style w:type="paragraph" w:styleId="11">
    <w:name w:val="Message Header"/>
    <w:basedOn w:val="1"/>
    <w:next w:val="6"/>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2">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 Char1 Char Char"/>
    <w:basedOn w:val="1"/>
    <w:link w:val="15"/>
    <w:qFormat/>
    <w:uiPriority w:val="0"/>
    <w:pPr>
      <w:widowControl/>
      <w:adjustRightInd/>
      <w:spacing w:after="160" w:line="240" w:lineRule="exact"/>
      <w:ind w:firstLine="0"/>
      <w:jc w:val="left"/>
      <w:textAlignment w:val="auto"/>
    </w:pPr>
    <w:rPr>
      <w:rFonts w:ascii="方正仿宋_GBK"/>
      <w:kern w:val="2"/>
      <w:szCs w:val="24"/>
    </w:rPr>
  </w:style>
  <w:style w:type="character" w:styleId="17">
    <w:name w:val="Strong"/>
    <w:basedOn w:val="15"/>
    <w:autoRedefine/>
    <w:qFormat/>
    <w:uiPriority w:val="0"/>
    <w:rPr>
      <w:b/>
    </w:rPr>
  </w:style>
  <w:style w:type="character" w:styleId="18">
    <w:name w:val="page number"/>
    <w:basedOn w:val="15"/>
    <w:autoRedefine/>
    <w:qFormat/>
    <w:uiPriority w:val="0"/>
  </w:style>
  <w:style w:type="character" w:customStyle="1" w:styleId="19">
    <w:name w:val="页脚 Char"/>
    <w:link w:val="9"/>
    <w:autoRedefine/>
    <w:qFormat/>
    <w:uiPriority w:val="0"/>
    <w:rPr>
      <w:rFonts w:eastAsia="方正仿宋_GBK"/>
      <w:kern w:val="2"/>
      <w:sz w:val="28"/>
      <w:lang w:val="en-US" w:eastAsia="zh-CN" w:bidi="ar-SA"/>
    </w:rPr>
  </w:style>
  <w:style w:type="character" w:customStyle="1" w:styleId="20">
    <w:name w:val="页眉 Char"/>
    <w:link w:val="10"/>
    <w:autoRedefine/>
    <w:qFormat/>
    <w:uiPriority w:val="0"/>
    <w:rPr>
      <w:rFonts w:eastAsia="方正仿宋_GBK"/>
      <w:kern w:val="2"/>
      <w:sz w:val="18"/>
      <w:lang w:val="en-US" w:eastAsia="zh-CN" w:bidi="ar-SA"/>
    </w:rPr>
  </w:style>
  <w:style w:type="character" w:customStyle="1" w:styleId="21">
    <w:name w:val="apple-converted-space"/>
    <w:basedOn w:val="15"/>
    <w:autoRedefine/>
    <w:qFormat/>
    <w:uiPriority w:val="0"/>
  </w:style>
  <w:style w:type="paragraph" w:styleId="22">
    <w:name w:val="List Paragraph"/>
    <w:basedOn w:val="1"/>
    <w:autoRedefine/>
    <w:qFormat/>
    <w:uiPriority w:val="0"/>
    <w:pPr>
      <w:ind w:firstLine="420" w:firstLineChars="200"/>
    </w:pPr>
    <w:rPr>
      <w:rFonts w:ascii="Calibri" w:hAnsi="Calibri" w:eastAsia="宋体"/>
      <w:sz w:val="21"/>
      <w:szCs w:val="22"/>
    </w:rPr>
  </w:style>
  <w:style w:type="paragraph" w:customStyle="1" w:styleId="23">
    <w:name w:val="List Paragraph1"/>
    <w:basedOn w:val="1"/>
    <w:autoRedefine/>
    <w:qFormat/>
    <w:uiPriority w:val="34"/>
    <w:pPr>
      <w:ind w:firstLine="420" w:firstLineChars="200"/>
    </w:pPr>
    <w:rPr>
      <w:rFonts w:eastAsia="宋体"/>
      <w:sz w:val="21"/>
    </w:rPr>
  </w:style>
  <w:style w:type="paragraph" w:customStyle="1" w:styleId="24">
    <w:name w:val="Char1 Char Char Char"/>
    <w:basedOn w:val="1"/>
    <w:autoRedefine/>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25">
    <w:name w:val="样式1"/>
    <w:basedOn w:val="1"/>
    <w:autoRedefine/>
    <w:qFormat/>
    <w:uiPriority w:val="0"/>
    <w:pPr>
      <w:spacing w:line="500" w:lineRule="exact"/>
      <w:ind w:firstLine="600" w:firstLineChars="200"/>
    </w:pPr>
    <w:rPr>
      <w:rFonts w:ascii="Times New Roman" w:hAnsi="Times New Roman" w:eastAsia="仿宋" w:cs="Times New Roman"/>
      <w:sz w:val="30"/>
      <w:szCs w:val="30"/>
    </w:rPr>
  </w:style>
  <w:style w:type="paragraph" w:customStyle="1" w:styleId="26">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7">
    <w:name w:val="NormalCharact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1831</Words>
  <Characters>1890</Characters>
  <Lines>10</Lines>
  <Paragraphs>3</Paragraphs>
  <TotalTime>3</TotalTime>
  <ScaleCrop>false</ScaleCrop>
  <LinksUpToDate>false</LinksUpToDate>
  <CharactersWithSpaces>1963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2016-01-19T00:54:00Z</dcterms:created>
  <dc:creator>微软用户</dc:creator>
  <cp:lastModifiedBy>庞</cp:lastModifiedBy>
  <cp:lastPrinted>2025-03-21T01:37:08Z</cp:lastPrinted>
  <dcterms:modified xsi:type="dcterms:W3CDTF">2025-03-21T01:37:12Z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835CB4F36AE345CA8CA71963BF72DC7B_13</vt:lpwstr>
  </property>
  <property fmtid="{D5CDD505-2E9C-101B-9397-08002B2CF9AE}" pid="4" name="KSOTemplateDocerSaveRecord">
    <vt:lpwstr>eyJoZGlkIjoiZmUyN2QzMzBiNzE0MjY4NDc0ZTJiZjI3ODMzNjliOWQiLCJ1c2VySWQiOiI3MjUzOTc1OTgifQ==</vt:lpwstr>
  </property>
</Properties>
</file>