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line="594" w:lineRule="exact"/>
        <w:jc w:val="center"/>
        <w:rPr>
          <w:rFonts w:ascii="方正小标宋_GBK" w:hAnsi="华文中宋" w:eastAsia="方正小标宋_GBK"/>
          <w:sz w:val="44"/>
          <w:szCs w:val="44"/>
        </w:rPr>
      </w:pPr>
      <w:r>
        <w:rPr>
          <w:rFonts w:hint="eastAsia" w:ascii="方正小标宋_GBK" w:hAnsi="方正小标宋_GBK" w:eastAsia="方正小标宋_GBK" w:cs="方正小标宋_GBK"/>
          <w:color w:val="000000"/>
          <w:sz w:val="44"/>
          <w:szCs w:val="44"/>
          <w:shd w:val="clear" w:color="auto" w:fill="FFFFFF"/>
        </w:rPr>
        <w:t>重庆市黔江区石家镇人民政府</w:t>
      </w:r>
      <w:r>
        <w:rPr>
          <w:rFonts w:hint="eastAsia" w:ascii="方正小标宋_GBK" w:hAnsi="方正小标宋_GBK" w:eastAsia="方正小标宋_GBK" w:cs="方正小标宋_GBK"/>
          <w:b/>
          <w:color w:val="000000"/>
          <w:sz w:val="44"/>
          <w:szCs w:val="44"/>
          <w:shd w:val="clear" w:color="auto" w:fill="FFFFFF"/>
        </w:rPr>
        <w:br w:type="textWrapping"/>
      </w:r>
      <w:r>
        <w:rPr>
          <w:rFonts w:hint="eastAsia" w:ascii="方正小标宋_GBK" w:hAnsi="方正小标宋_GBK" w:eastAsia="方正小标宋_GBK" w:cs="方正小标宋_GBK"/>
          <w:color w:val="000000"/>
          <w:sz w:val="44"/>
          <w:szCs w:val="44"/>
          <w:shd w:val="clear" w:color="auto" w:fill="FFFFFF"/>
        </w:rPr>
        <w:t>2020年部门决算情况说明</w:t>
      </w:r>
    </w:p>
    <w:p>
      <w:pPr>
        <w:widowControl/>
        <w:spacing w:line="360" w:lineRule="auto"/>
        <w:ind w:firstLine="640" w:firstLineChars="200"/>
        <w:rPr>
          <w:rFonts w:hint="eastAsia" w:ascii="方正黑体_GBK" w:hAnsi="方正黑体_GBK" w:eastAsia="方正黑体_GBK" w:cs="方正黑体_GBK"/>
          <w:color w:val="000000"/>
          <w:kern w:val="0"/>
          <w:sz w:val="32"/>
          <w:szCs w:val="32"/>
        </w:rPr>
      </w:pPr>
    </w:p>
    <w:p>
      <w:pPr>
        <w:widowControl/>
        <w:spacing w:line="360" w:lineRule="auto"/>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rPr>
        <w:t>一、单位基本情况</w:t>
      </w:r>
    </w:p>
    <w:p>
      <w:pPr>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（一）职能职责</w:t>
      </w:r>
    </w:p>
    <w:p>
      <w:pPr>
        <w:widowControl/>
        <w:spacing w:line="360" w:lineRule="auto"/>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黔江区石家镇人民政府受区人民政府领导，依据法律、法规的规定，在本辖区内行使相应的政府管理职能。具体为：指导、帮助社区（村）居委会开展组织建设、制度建设和其它工作；负责本辖区社区建设、管理和服务工作；做好社会救助和其他社会保障工作；执行本辖区内经济和社会发展计划、财政预算，管理本辖区内的社会事务管理、劳动和社会保障、计划生育、环境保护、文化、卫生、安全生产、计划生育等行政工作；负责维护本辖区内社会秩序稳定，做好社会治安综合治理和人民调解工作；维护老年人、未成年人、妇女、残疾人等的合法权益；开展拥军优属，做好国防动员和兵役工作；配合做好防灾救灾工作；向区人民政府反映居民的意见和要求，处理群众来信来访事项以及办理区人民政府交办的事项。</w:t>
      </w:r>
    </w:p>
    <w:p>
      <w:pPr>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（二）机构设置</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石家镇机关设置7个综合行政办事机构，即：人大办、政府办、党委办、社会事务办、环保办、财政办、平安应急办；设置5个事业单位，即：文化站、农业服务中心、退役军人事务站、社保所、综合执法大队。</w:t>
      </w:r>
    </w:p>
    <w:p>
      <w:pPr>
        <w:widowControl/>
        <w:spacing w:line="360" w:lineRule="auto"/>
        <w:ind w:firstLine="640" w:firstLineChars="20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二、部门决算情况说明</w:t>
      </w:r>
    </w:p>
    <w:p>
      <w:pPr>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（一）收入支出决算总体情况说明</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1.总体情况。2020年度收入总计3610.54万元，支出总计3610.54万元。收支较上年决算数增加956.85万元、增长 36.1%，主要原因是</w:t>
      </w:r>
      <w:r>
        <w:rPr>
          <w:rFonts w:hint="eastAsia" w:ascii="方正仿宋_GBK" w:hAnsi="方正仿宋_GBK" w:eastAsia="方正仿宋_GBK" w:cs="方正仿宋_GBK"/>
          <w:kern w:val="0"/>
          <w:sz w:val="32"/>
          <w:szCs w:val="32"/>
        </w:rPr>
        <w:t>本年项目支出增多</w:t>
      </w:r>
      <w:r>
        <w:rPr>
          <w:rFonts w:hint="eastAsia" w:ascii="方正仿宋_GBK" w:hAnsi="方正仿宋_GBK" w:eastAsia="方正仿宋_GBK" w:cs="方正仿宋_GBK"/>
          <w:color w:val="000000"/>
          <w:kern w:val="0"/>
          <w:sz w:val="32"/>
          <w:szCs w:val="32"/>
        </w:rPr>
        <w:t>。本部分的收入总计包括收入合计、使用非财政拨款结余、年初结转和结余，支出总计包括本年支出合计、结余分配、年末结转和结余。</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2.收入情况。2020年度收入合计2913.88万元，较上年决算数增加747.98万元，增长34.5%，主要原因是</w:t>
      </w:r>
      <w:r>
        <w:rPr>
          <w:rFonts w:hint="eastAsia" w:ascii="方正仿宋_GBK" w:hAnsi="方正仿宋_GBK" w:eastAsia="方正仿宋_GBK" w:cs="方正仿宋_GBK"/>
          <w:kern w:val="0"/>
          <w:sz w:val="32"/>
          <w:szCs w:val="32"/>
        </w:rPr>
        <w:t>本年项目支出增多</w:t>
      </w:r>
      <w:r>
        <w:rPr>
          <w:rFonts w:hint="eastAsia" w:ascii="方正仿宋_GBK" w:hAnsi="方正仿宋_GBK" w:eastAsia="方正仿宋_GBK" w:cs="方正仿宋_GBK"/>
          <w:color w:val="000000"/>
          <w:kern w:val="0"/>
          <w:sz w:val="32"/>
          <w:szCs w:val="32"/>
        </w:rPr>
        <w:t>。其中：财政拨款收入2913.89万元，占100%。此外，使用非财政拨款结余0.00万元，年初结转和结余696.65万元。</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3.支出情况。2020年度支出合计3435.02万元，较上年决算数增加1102.95万元，增长47.3%，主要原因是</w:t>
      </w:r>
      <w:r>
        <w:rPr>
          <w:rFonts w:hint="eastAsia" w:ascii="方正仿宋_GBK" w:hAnsi="方正仿宋_GBK" w:eastAsia="方正仿宋_GBK" w:cs="方正仿宋_GBK"/>
          <w:kern w:val="0"/>
          <w:sz w:val="32"/>
          <w:szCs w:val="32"/>
        </w:rPr>
        <w:t>本年项目支出增多</w:t>
      </w:r>
      <w:r>
        <w:rPr>
          <w:rFonts w:hint="eastAsia" w:ascii="方正仿宋_GBK" w:hAnsi="方正仿宋_GBK" w:eastAsia="方正仿宋_GBK" w:cs="方正仿宋_GBK"/>
          <w:color w:val="000000"/>
          <w:kern w:val="0"/>
          <w:sz w:val="32"/>
          <w:szCs w:val="32"/>
        </w:rPr>
        <w:t>。其中：基本支出1405.15万元，占40.9%；项目支出2029.87万元，占59.1%。</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4.结转结余情况。2020年度年末结转和结余175.51万元，较上年决算数减少146.12万元，下降45.4%，主要原因是</w:t>
      </w:r>
      <w:r>
        <w:rPr>
          <w:rFonts w:hint="eastAsia" w:ascii="方正仿宋_GBK" w:hAnsi="方正仿宋_GBK" w:eastAsia="方正仿宋_GBK" w:cs="方正仿宋_GBK"/>
          <w:kern w:val="0"/>
          <w:sz w:val="32"/>
          <w:szCs w:val="32"/>
        </w:rPr>
        <w:t>本年项目支出增多，上年</w:t>
      </w:r>
      <w:r>
        <w:rPr>
          <w:rFonts w:hint="eastAsia" w:ascii="方正仿宋_GBK" w:hAnsi="方正仿宋_GBK" w:eastAsia="方正仿宋_GBK" w:cs="方正仿宋_GBK"/>
          <w:color w:val="000000"/>
          <w:kern w:val="0"/>
          <w:sz w:val="32"/>
          <w:szCs w:val="32"/>
        </w:rPr>
        <w:t>末结转结余资金在本年支出。</w:t>
      </w:r>
    </w:p>
    <w:p>
      <w:pPr>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（二）财政拨款收入支出决算总体情况说明</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2020年度财政拨款收、支总计3610.54万元。与2019年相比，财政拨款收、支总计各增加956.85万元，增长36.1%。主要原因是本年项目支出增多。</w:t>
      </w:r>
    </w:p>
    <w:p>
      <w:pPr>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（三）一般公共预算财政拨款支出决算情况说明</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收入情况。2020年度一般公共预算财政拨款收入2787.60万元，较上年决算数增加690.06万元，增长32.9%。主要原因是本年项目支出增多。较年初预算数增加1214.92万元，增长77.3%。主要原因是本年在职职工工资、社保、住房公积金等增加，项目支出增多，财政追加资金。此外，年初财政拨款结转和结余636.75万元。</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支出情况。2020年度一般公共预算财政拨款支出3248.83万元，较上年决算数增加1114.95万元，增长52.2%。主要原因是本年项目支出增多。较年初预算数增加1676.15万元，增长106.6%。主要原因是本年在职职工工资、社保、住房公积金等增加，项目支出增多，财政追加资金。</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3.结转结余情况。2020年度年末一般公共预算财政拨款结转和结余175.51万元，较上年决算数减少124.22万元，下降41.4%，主要原因是上年结转结余资金在本年支出。</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4.比较情况。本部门2020年度一般公共预算财政拨款支出主要用于以下几个方面：</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（1）一般公共服务支出676.86万元，占20.8%，较年初预算数增加181.82万元，增长36.7%，主要原因是</w:t>
      </w:r>
      <w:r>
        <w:rPr>
          <w:rFonts w:hint="eastAsia" w:ascii="方正仿宋_GBK" w:hAnsi="方正仿宋_GBK" w:eastAsia="方正仿宋_GBK" w:cs="方正仿宋_GBK"/>
          <w:color w:val="000000"/>
          <w:sz w:val="32"/>
          <w:szCs w:val="32"/>
          <w:shd w:val="clear" w:color="auto" w:fill="FFFFFF"/>
        </w:rPr>
        <w:t>本年在职职工工资、社保、住房公积金等增加，财政追加资金</w:t>
      </w:r>
      <w:r>
        <w:rPr>
          <w:rFonts w:hint="eastAsia" w:ascii="方正仿宋_GBK" w:hAnsi="方正仿宋_GBK" w:eastAsia="方正仿宋_GBK" w:cs="方正仿宋_GBK"/>
          <w:color w:val="000000"/>
          <w:kern w:val="0"/>
          <w:sz w:val="32"/>
          <w:szCs w:val="32"/>
        </w:rPr>
        <w:t>。</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（2）文化旅游体育与传媒支出76.73万元，占2.4%，较年初预算数增加11.75万元，增长18.1%，主要原因是</w:t>
      </w:r>
      <w:r>
        <w:rPr>
          <w:rFonts w:hint="eastAsia" w:ascii="方正仿宋_GBK" w:hAnsi="方正仿宋_GBK" w:eastAsia="方正仿宋_GBK" w:cs="方正仿宋_GBK"/>
          <w:color w:val="000000"/>
          <w:sz w:val="32"/>
          <w:szCs w:val="32"/>
          <w:shd w:val="clear" w:color="auto" w:fill="FFFFFF"/>
        </w:rPr>
        <w:t>财政追加专项资金。</w:t>
      </w:r>
    </w:p>
    <w:p>
      <w:pPr>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（3）社会保障与就业支出255.22万元，占7.9%，较年初预算数增加14.66万元，增长6.1%，主要原因是</w:t>
      </w:r>
      <w:r>
        <w:rPr>
          <w:rFonts w:hint="eastAsia" w:ascii="方正仿宋_GBK" w:hAnsi="方正仿宋_GBK" w:eastAsia="方正仿宋_GBK" w:cs="方正仿宋_GBK"/>
          <w:color w:val="000000"/>
          <w:sz w:val="32"/>
          <w:szCs w:val="32"/>
          <w:shd w:val="clear" w:color="auto" w:fill="FFFFFF"/>
        </w:rPr>
        <w:t>人员变动，人员经费变动</w:t>
      </w:r>
      <w:r>
        <w:rPr>
          <w:rFonts w:hint="eastAsia" w:ascii="方正仿宋_GBK" w:hAnsi="方正仿宋_GBK" w:eastAsia="方正仿宋_GBK" w:cs="方正仿宋_GBK"/>
          <w:color w:val="000000"/>
          <w:kern w:val="0"/>
          <w:sz w:val="32"/>
          <w:szCs w:val="32"/>
        </w:rPr>
        <w:t>。</w:t>
      </w:r>
    </w:p>
    <w:p>
      <w:pPr>
        <w:spacing w:line="360" w:lineRule="auto"/>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kern w:val="0"/>
          <w:sz w:val="32"/>
          <w:szCs w:val="32"/>
        </w:rPr>
        <w:t>（4）卫生健康支出135.94万元，占4.2%，较年初预算数增加11.92万元，增长9.6%，主要原因是</w:t>
      </w:r>
      <w:r>
        <w:rPr>
          <w:rFonts w:hint="eastAsia" w:ascii="方正仿宋_GBK" w:hAnsi="方正仿宋_GBK" w:eastAsia="方正仿宋_GBK" w:cs="方正仿宋_GBK"/>
          <w:color w:val="000000"/>
          <w:sz w:val="32"/>
          <w:szCs w:val="32"/>
          <w:shd w:val="clear" w:color="auto" w:fill="FFFFFF"/>
        </w:rPr>
        <w:t>人员变动，人员经费变动。</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（5）节能环保支出117.60万元，占3.6%，较年初预算数增加64.42万元，增长121.1%，主要原因</w:t>
      </w:r>
      <w:r>
        <w:rPr>
          <w:rFonts w:hint="eastAsia" w:ascii="方正仿宋_GBK" w:hAnsi="方正仿宋_GBK" w:eastAsia="方正仿宋_GBK" w:cs="方正仿宋_GBK"/>
          <w:color w:val="000000"/>
          <w:sz w:val="32"/>
          <w:szCs w:val="32"/>
          <w:shd w:val="clear" w:color="auto" w:fill="FFFFFF"/>
        </w:rPr>
        <w:t>人员变动，人员经费变动。</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（6）城乡社区支出33.52万元，占1%，较年初预算数增加33.52万元，增长%，主要原因是</w:t>
      </w:r>
      <w:r>
        <w:rPr>
          <w:rFonts w:hint="eastAsia" w:ascii="方正仿宋_GBK" w:hAnsi="方正仿宋_GBK" w:eastAsia="方正仿宋_GBK" w:cs="方正仿宋_GBK"/>
          <w:color w:val="000000"/>
          <w:sz w:val="32"/>
          <w:szCs w:val="32"/>
          <w:shd w:val="clear" w:color="auto" w:fill="FFFFFF"/>
        </w:rPr>
        <w:t>财政追加专项资金。</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（7）农林水支出1328.48万元，占40.9%，较年初预算数增加941.57万元，增长243.4%，主要原因是</w:t>
      </w:r>
      <w:r>
        <w:rPr>
          <w:rFonts w:hint="eastAsia" w:ascii="方正仿宋_GBK" w:hAnsi="方正仿宋_GBK" w:eastAsia="方正仿宋_GBK" w:cs="方正仿宋_GBK"/>
          <w:color w:val="000000"/>
          <w:sz w:val="32"/>
          <w:szCs w:val="32"/>
          <w:shd w:val="clear" w:color="auto" w:fill="FFFFFF"/>
        </w:rPr>
        <w:t>财政追加专项资金。</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（8）交通运输支出360.46万元，占11.1%，较年初预算数增加360.46万元，增长100%，主要原因是</w:t>
      </w:r>
      <w:r>
        <w:rPr>
          <w:rFonts w:hint="eastAsia" w:ascii="方正仿宋_GBK" w:hAnsi="方正仿宋_GBK" w:eastAsia="方正仿宋_GBK" w:cs="方正仿宋_GBK"/>
          <w:color w:val="000000"/>
          <w:sz w:val="32"/>
          <w:szCs w:val="32"/>
          <w:shd w:val="clear" w:color="auto" w:fill="FFFFFF"/>
        </w:rPr>
        <w:t>财政追加专项资金。</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（9）住房保障支出64.57万元，占2%，较年初预算数增加0.46万元，增长0.7%，主要原因是</w:t>
      </w:r>
      <w:r>
        <w:rPr>
          <w:rFonts w:hint="eastAsia" w:ascii="方正仿宋_GBK" w:hAnsi="方正仿宋_GBK" w:eastAsia="方正仿宋_GBK" w:cs="方正仿宋_GBK"/>
          <w:color w:val="000000"/>
          <w:sz w:val="32"/>
          <w:szCs w:val="32"/>
          <w:shd w:val="clear" w:color="auto" w:fill="FFFFFF"/>
        </w:rPr>
        <w:t>人员变动，人员经费变动。</w:t>
      </w:r>
    </w:p>
    <w:p>
      <w:pPr>
        <w:widowControl/>
        <w:spacing w:line="360" w:lineRule="auto"/>
        <w:ind w:firstLine="640" w:firstLineChars="20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kern w:val="0"/>
          <w:sz w:val="32"/>
          <w:szCs w:val="32"/>
        </w:rPr>
        <w:t>（10）灾害防治及应急管理支出199.45万元，占6.1%，较年初预算数增加55.57万元，增长38.6%，主要原因是</w:t>
      </w:r>
      <w:r>
        <w:rPr>
          <w:rFonts w:hint="eastAsia" w:ascii="方正仿宋_GBK" w:hAnsi="方正仿宋_GBK" w:eastAsia="方正仿宋_GBK" w:cs="方正仿宋_GBK"/>
          <w:color w:val="000000"/>
          <w:sz w:val="32"/>
          <w:szCs w:val="32"/>
          <w:shd w:val="clear" w:color="auto" w:fill="FFFFFF"/>
        </w:rPr>
        <w:t>人员变动，人员经费变动。</w:t>
      </w:r>
    </w:p>
    <w:p>
      <w:pPr>
        <w:widowControl/>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（四）一般公共预算财政拨款基本支出决算情况说明</w:t>
      </w:r>
    </w:p>
    <w:p>
      <w:pPr>
        <w:pStyle w:val="5"/>
        <w:widowControl/>
        <w:shd w:val="clear" w:color="auto" w:fill="FFFFFF"/>
        <w:spacing w:before="0" w:beforeAutospacing="0" w:after="0" w:afterAutospacing="0" w:line="360" w:lineRule="auto"/>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2020年度一般公共财政拨款基本支出1405.15万元。其中：人员经费1185.64万元，较上年决算数增加71.15万元，增长6.4%，主要原因是</w:t>
      </w:r>
      <w:r>
        <w:rPr>
          <w:rFonts w:hint="eastAsia" w:ascii="方正仿宋_GBK" w:hAnsi="方正仿宋_GBK" w:eastAsia="方正仿宋_GBK" w:cs="方正仿宋_GBK"/>
          <w:color w:val="000000"/>
          <w:sz w:val="32"/>
          <w:szCs w:val="32"/>
          <w:shd w:val="clear" w:color="auto" w:fill="FFFFFF"/>
        </w:rPr>
        <w:t>增人增资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shd w:val="clear" w:color="auto" w:fill="FFFFFF"/>
        </w:rPr>
        <w:t>人员经费用途主要包括基本工资、津贴补贴、奖金、社会保障缴费、伙食补助、对个人和家庭的补助等</w:t>
      </w:r>
      <w:r>
        <w:rPr>
          <w:rFonts w:hint="eastAsia" w:ascii="方正仿宋_GBK" w:hAnsi="方正仿宋_GBK" w:eastAsia="方正仿宋_GBK" w:cs="方正仿宋_GBK"/>
          <w:sz w:val="32"/>
          <w:szCs w:val="32"/>
        </w:rPr>
        <w:t>。公用经费219.51万元，较上年决算数增加7.82万元，增长3.7%，主要原因是</w:t>
      </w:r>
      <w:r>
        <w:rPr>
          <w:rFonts w:hint="eastAsia" w:ascii="方正仿宋_GBK" w:hAnsi="方正仿宋_GBK" w:eastAsia="方正仿宋_GBK" w:cs="方正仿宋_GBK"/>
          <w:color w:val="000000"/>
          <w:sz w:val="32"/>
          <w:szCs w:val="32"/>
          <w:shd w:val="clear" w:color="auto" w:fill="FFFFFF"/>
        </w:rPr>
        <w:t>机关运转经费增加。公用经费用途主要包括办公费、印刷费、咨询费、手续费、接待费、公务车运行维护费。</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楷体_GBK" w:hAnsi="宋体" w:eastAsia="方正楷体_GBK" w:cs="宋体"/>
          <w:kern w:val="0"/>
          <w:sz w:val="32"/>
          <w:szCs w:val="32"/>
        </w:rPr>
        <w:t>（五）政府性基金预算收支决算情况说明</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2020年度政府性基金预算财政拨款年初结转结余59.90万元，年末结转结余0.00万元。本年收入126.29万元，较上年决算数增加57.93万元，增长84.7%，主要原因是财政追加政府性基金预算拨款。本年支出186.19万元，较上年决算数减少12.00万元，下降6.1%，主要原因是部分政府性基金预算拨款未实现支出。</w:t>
      </w:r>
    </w:p>
    <w:p>
      <w:pPr>
        <w:widowControl/>
        <w:numPr>
          <w:ilvl w:val="0"/>
          <w:numId w:val="1"/>
        </w:numPr>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国有资本经营预算财政拨款支出决算情况说明</w:t>
      </w:r>
    </w:p>
    <w:p>
      <w:pPr>
        <w:widowControl/>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本单位2020年无国有资本经营预算财政拨款支出。</w:t>
      </w:r>
    </w:p>
    <w:p>
      <w:pPr>
        <w:widowControl/>
        <w:spacing w:line="360" w:lineRule="auto"/>
        <w:ind w:firstLine="640" w:firstLineChars="200"/>
        <w:rPr>
          <w:rFonts w:ascii="Times New Roman" w:hAnsi="Times New Roman"/>
          <w:sz w:val="30"/>
          <w:szCs w:val="30"/>
        </w:rPr>
      </w:pPr>
      <w:r>
        <w:rPr>
          <w:rFonts w:hint="eastAsia" w:ascii="Times New Roman" w:hAnsi="Times New Roman" w:eastAsia="方正黑体_GBK"/>
          <w:sz w:val="32"/>
          <w:szCs w:val="32"/>
        </w:rPr>
        <w:t xml:space="preserve">三、“三公”经费情况说明 </w:t>
      </w:r>
    </w:p>
    <w:p>
      <w:pPr>
        <w:widowControl/>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（一）“三公”经费支出总体情况说明</w:t>
      </w:r>
    </w:p>
    <w:p>
      <w:pPr>
        <w:widowControl/>
        <w:spacing w:line="360" w:lineRule="auto"/>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shd w:val="clear" w:color="auto" w:fill="FFFFFF"/>
        </w:rPr>
        <w:t>2020年度“三公”经费支出共计24.15万元，较年初预算数减少2.35万元，下降8.9%，主要原因是</w:t>
      </w:r>
      <w:r>
        <w:rPr>
          <w:rFonts w:hint="eastAsia" w:ascii="方正仿宋_GBK" w:hAnsi="方正仿宋_GBK" w:eastAsia="方正仿宋_GBK" w:cs="方正仿宋_GBK"/>
          <w:color w:val="000000"/>
          <w:kern w:val="0"/>
          <w:sz w:val="32"/>
          <w:szCs w:val="32"/>
        </w:rPr>
        <w:t>本年严控三公经费。</w:t>
      </w:r>
      <w:r>
        <w:rPr>
          <w:rFonts w:hint="eastAsia" w:ascii="方正仿宋_GBK" w:hAnsi="方正仿宋_GBK" w:eastAsia="方正仿宋_GBK" w:cs="方正仿宋_GBK"/>
          <w:sz w:val="32"/>
          <w:szCs w:val="32"/>
          <w:shd w:val="clear" w:color="auto" w:fill="FFFFFF"/>
        </w:rPr>
        <w:t xml:space="preserve"> 较上年支出数减少0.03万元，下降0.1%，主要原因是</w:t>
      </w:r>
      <w:r>
        <w:rPr>
          <w:rFonts w:hint="eastAsia" w:ascii="方正仿宋_GBK" w:hAnsi="方正仿宋_GBK" w:eastAsia="方正仿宋_GBK" w:cs="方正仿宋_GBK"/>
          <w:color w:val="000000"/>
          <w:kern w:val="0"/>
          <w:sz w:val="32"/>
          <w:szCs w:val="32"/>
        </w:rPr>
        <w:t>一是认真贯彻落实中央八项规定精神</w:t>
      </w:r>
      <w:bookmarkStart w:id="0" w:name="_GoBack"/>
      <w:bookmarkEnd w:id="0"/>
      <w:r>
        <w:rPr>
          <w:rFonts w:hint="eastAsia" w:ascii="方正仿宋_GBK" w:hAnsi="方正仿宋_GBK" w:eastAsia="方正仿宋_GBK" w:cs="方正仿宋_GBK"/>
          <w:color w:val="000000"/>
          <w:kern w:val="0"/>
          <w:sz w:val="32"/>
          <w:szCs w:val="32"/>
        </w:rPr>
        <w:t>和厉行节约要求，按照只减不增的要求从严控制三公经费，全年实际支出较决算有所下降。二是我单位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widowControl/>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（二）“三公”经费分项支出情况</w:t>
      </w:r>
    </w:p>
    <w:p>
      <w:pPr>
        <w:pStyle w:val="5"/>
        <w:widowControl/>
        <w:spacing w:before="0" w:beforeAutospacing="0" w:after="0" w:afterAutospacing="0" w:line="360" w:lineRule="auto"/>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kern w:val="2"/>
          <w:sz w:val="32"/>
          <w:szCs w:val="32"/>
          <w:shd w:val="clear" w:color="auto" w:fill="FFFFFF"/>
        </w:rPr>
        <w:t xml:space="preserve">公务车运行维护费4.38万元，主要用于机要文件交换、市内因公出行、财政业务检查等工作所需车辆的燃料费、维修费、过桥过路费、保险费等。费用支出较年初预算数减少6.12万元，下降58.3%，主要原因是我镇严格落实公车使用规定，严禁公车私用，公车运行维护成本大幅下降。较上年支出数减少1.47万元，下降25.1%，主要原因是本年维修费、保险费减少。 </w:t>
      </w:r>
    </w:p>
    <w:p>
      <w:pPr>
        <w:widowControl/>
        <w:spacing w:line="360" w:lineRule="auto"/>
        <w:ind w:firstLine="640" w:firstLineChars="200"/>
        <w:rPr>
          <w:rFonts w:ascii="方正楷体_GBK" w:hAnsi="宋体" w:eastAsia="方正楷体_GBK" w:cs="宋体"/>
          <w:kern w:val="0"/>
          <w:sz w:val="32"/>
          <w:szCs w:val="32"/>
        </w:rPr>
      </w:pPr>
      <w:r>
        <w:rPr>
          <w:rFonts w:hint="eastAsia" w:ascii="方正仿宋_GBK" w:hAnsi="方正仿宋_GBK" w:eastAsia="方正仿宋_GBK" w:cs="方正仿宋_GBK"/>
          <w:sz w:val="32"/>
          <w:szCs w:val="32"/>
          <w:shd w:val="clear" w:color="auto" w:fill="FFFFFF"/>
        </w:rPr>
        <w:t>公务接待费19.77万元，主要用于</w:t>
      </w:r>
      <w:r>
        <w:rPr>
          <w:rFonts w:hint="eastAsia" w:ascii="方正仿宋_GBK" w:hAnsi="方正仿宋_GBK" w:eastAsia="方正仿宋_GBK" w:cs="方正仿宋_GBK"/>
          <w:color w:val="000000"/>
          <w:kern w:val="0"/>
          <w:sz w:val="32"/>
          <w:szCs w:val="32"/>
        </w:rPr>
        <w:t>接受相关单位检查指导工作发生的接待支出</w:t>
      </w:r>
      <w:r>
        <w:rPr>
          <w:rFonts w:hint="eastAsia" w:ascii="方正仿宋_GBK" w:hAnsi="方正仿宋_GBK" w:eastAsia="方正仿宋_GBK" w:cs="方正仿宋_GBK"/>
          <w:sz w:val="32"/>
          <w:szCs w:val="32"/>
          <w:shd w:val="clear" w:color="auto" w:fill="FFFFFF"/>
        </w:rPr>
        <w:t>。费用支出较年初预算数增加3.77万元，增长23.6%，主要原因</w:t>
      </w:r>
      <w:r>
        <w:rPr>
          <w:rFonts w:hint="eastAsia" w:ascii="方正仿宋_GBK" w:hAnsi="方正仿宋_GBK" w:eastAsia="方正仿宋_GBK" w:cs="方正仿宋_GBK"/>
          <w:color w:val="000000"/>
          <w:kern w:val="0"/>
          <w:sz w:val="32"/>
          <w:szCs w:val="32"/>
        </w:rPr>
        <w:t>是本年扶贫攻坚、农村人居环境整治、人口普查等工作任务重，接待人数、次数较预算增多</w:t>
      </w:r>
      <w:r>
        <w:rPr>
          <w:rFonts w:hint="eastAsia" w:ascii="方正仿宋_GBK" w:hAnsi="方正仿宋_GBK" w:eastAsia="方正仿宋_GBK" w:cs="方正仿宋_GBK"/>
          <w:sz w:val="32"/>
          <w:szCs w:val="32"/>
          <w:shd w:val="clear" w:color="auto" w:fill="FFFFFF"/>
        </w:rPr>
        <w:t>。较上年支出数增加1.44万元，增长7.9%，主要原因是</w:t>
      </w:r>
      <w:r>
        <w:rPr>
          <w:rFonts w:hint="eastAsia" w:ascii="方正仿宋_GBK" w:hAnsi="方正仿宋_GBK" w:eastAsia="方正仿宋_GBK" w:cs="方正仿宋_GBK"/>
          <w:color w:val="000000"/>
          <w:kern w:val="0"/>
          <w:sz w:val="32"/>
          <w:szCs w:val="32"/>
        </w:rPr>
        <w:t>本年扶贫攻坚、农村人居环境整治、人口普查等工作任务重，接待人数、次数较上年增多。</w:t>
      </w:r>
    </w:p>
    <w:p>
      <w:pPr>
        <w:widowControl/>
        <w:spacing w:line="360" w:lineRule="auto"/>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（三）“三公”经费实物量情况</w:t>
      </w:r>
    </w:p>
    <w:p>
      <w:pPr>
        <w:pStyle w:val="5"/>
        <w:widowControl/>
        <w:adjustRightInd w:val="0"/>
        <w:spacing w:before="0" w:beforeAutospacing="0" w:after="0" w:afterAutospacing="0" w:line="360" w:lineRule="auto"/>
        <w:ind w:firstLine="640" w:firstLineChars="200"/>
        <w:jc w:val="both"/>
        <w:rPr>
          <w:rFonts w:ascii="Times New Roman" w:hAnsi="Times New Roman" w:eastAsia="方正楷体_GBK"/>
          <w:color w:val="333333"/>
          <w:kern w:val="2"/>
          <w:sz w:val="32"/>
          <w:szCs w:val="32"/>
        </w:rPr>
      </w:pPr>
      <w:r>
        <w:rPr>
          <w:rFonts w:hint="eastAsia" w:ascii="方正仿宋_GBK" w:hAnsi="方正仿宋_GBK" w:eastAsia="方正仿宋_GBK" w:cs="方正仿宋_GBK"/>
          <w:kern w:val="2"/>
          <w:sz w:val="32"/>
          <w:szCs w:val="32"/>
          <w:shd w:val="clear" w:color="auto" w:fill="FFFFFF"/>
        </w:rPr>
        <w:t>2020年度本部门因公出国（境）共计0个团组，0人；公务用车购置0辆，公务车保有量为3辆；国内公务接待427批次2,907人，其中：国内外事接待0批次，0人；国（境）外公务接待0批次，0人。2020年本部门人均接待费68.00元，车均购置费0.00万元，车均维护费1.46万元。</w:t>
      </w:r>
    </w:p>
    <w:p>
      <w:pPr>
        <w:pStyle w:val="11"/>
        <w:tabs>
          <w:tab w:val="center" w:pos="4153"/>
          <w:tab w:val="left" w:pos="7275"/>
        </w:tabs>
        <w:spacing w:line="360" w:lineRule="auto"/>
        <w:ind w:firstLine="640"/>
        <w:rPr>
          <w:rFonts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spacing w:line="360" w:lineRule="auto"/>
        <w:ind w:firstLine="640" w:firstLineChars="20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（一）机关运行经费情况说明</w:t>
      </w:r>
    </w:p>
    <w:p>
      <w:pPr>
        <w:widowControl/>
        <w:spacing w:line="360" w:lineRule="auto"/>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shd w:val="clear" w:color="auto" w:fill="FFFFFF"/>
        </w:rPr>
        <w:t>2020年度本部门机关运行经费支出195.41万元，</w:t>
      </w:r>
      <w:r>
        <w:rPr>
          <w:rFonts w:hint="eastAsia" w:ascii="方正仿宋_GBK" w:hAnsi="方正仿宋_GBK" w:eastAsia="方正仿宋_GBK" w:cs="方正仿宋_GBK"/>
          <w:color w:val="000000"/>
          <w:kern w:val="0"/>
          <w:sz w:val="32"/>
          <w:szCs w:val="32"/>
        </w:rPr>
        <w:t>机关运行经费主要用于保障机关正常运转的各项商品服务支出</w:t>
      </w:r>
      <w:r>
        <w:rPr>
          <w:rFonts w:hint="eastAsia" w:ascii="方正仿宋_GBK" w:hAnsi="方正仿宋_GBK" w:eastAsia="方正仿宋_GBK" w:cs="方正仿宋_GBK"/>
          <w:sz w:val="32"/>
          <w:szCs w:val="32"/>
          <w:shd w:val="clear" w:color="auto" w:fill="FFFFFF"/>
        </w:rPr>
        <w:t>。机关运行经费较上年决算数减少3.56万元，下降1.8%，主要原因是</w:t>
      </w:r>
      <w:r>
        <w:rPr>
          <w:rFonts w:hint="eastAsia" w:ascii="方正仿宋_GBK" w:hAnsi="方正仿宋_GBK" w:eastAsia="方正仿宋_GBK" w:cs="方正仿宋_GBK"/>
          <w:color w:val="000000"/>
          <w:kern w:val="0"/>
          <w:sz w:val="32"/>
          <w:szCs w:val="32"/>
        </w:rPr>
        <w:t>本年商品服务支出较上年减少。</w:t>
      </w:r>
    </w:p>
    <w:p>
      <w:pPr>
        <w:pStyle w:val="5"/>
        <w:widowControl/>
        <w:spacing w:before="0" w:beforeAutospacing="0" w:after="0" w:afterAutospacing="0" w:line="360" w:lineRule="auto"/>
        <w:ind w:firstLine="640" w:firstLineChars="200"/>
        <w:jc w:val="both"/>
        <w:rPr>
          <w:rFonts w:ascii="Times New Roman" w:hAnsi="Times New Roman" w:eastAsia="方正楷体_GBK"/>
          <w:color w:val="333333"/>
          <w:sz w:val="32"/>
          <w:szCs w:val="32"/>
        </w:rPr>
      </w:pPr>
      <w:r>
        <w:rPr>
          <w:rFonts w:hint="eastAsia" w:ascii="方正仿宋_GBK" w:hAnsi="方正仿宋_GBK" w:eastAsia="方正仿宋_GBK" w:cs="方正仿宋_GBK"/>
          <w:kern w:val="2"/>
          <w:sz w:val="32"/>
          <w:szCs w:val="32"/>
          <w:shd w:val="clear" w:color="auto" w:fill="FFFFFF"/>
        </w:rPr>
        <w:t>本年度培训费支出 0.56万元，较上年决算数增加0.56万元，增长100%，主要原因是本年新增培训支出。</w:t>
      </w:r>
    </w:p>
    <w:p>
      <w:pPr>
        <w:numPr>
          <w:ilvl w:val="0"/>
          <w:numId w:val="2"/>
        </w:numPr>
        <w:spacing w:line="360" w:lineRule="auto"/>
        <w:ind w:firstLine="640" w:firstLineChars="20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国有资产占用情况说明</w:t>
      </w:r>
    </w:p>
    <w:p>
      <w:pPr>
        <w:pStyle w:val="5"/>
        <w:widowControl/>
        <w:spacing w:before="0" w:beforeAutospacing="0" w:after="0" w:afterAutospacing="0" w:line="360" w:lineRule="auto"/>
        <w:ind w:firstLine="640" w:firstLineChars="200"/>
        <w:jc w:val="both"/>
        <w:rPr>
          <w:rFonts w:ascii="Times New Roman" w:hAnsi="Times New Roman" w:eastAsia="方正楷体_GBK"/>
          <w:color w:val="333333"/>
          <w:sz w:val="32"/>
          <w:szCs w:val="32"/>
        </w:rPr>
      </w:pPr>
      <w:r>
        <w:rPr>
          <w:rFonts w:hint="eastAsia" w:ascii="方正仿宋_GBK" w:hAnsi="方正仿宋_GBK" w:eastAsia="方正仿宋_GBK" w:cs="方正仿宋_GBK"/>
          <w:kern w:val="2"/>
          <w:sz w:val="32"/>
          <w:szCs w:val="32"/>
          <w:shd w:val="clear" w:color="auto" w:fill="FFFFFF"/>
        </w:rPr>
        <w:t>截至2020年12月31日，本部门共有车辆3辆，其中，副部（省）级及以上领导用车0辆、主要领导干部用车0辆、机要通信用车0辆、应急保障用车2辆、执法执勤用车0辆，特种专业技术用车1辆，离退休干部用车0辆，其他用车0辆。单价50万元（含）以上通用设备0台（套），单价100万元（含）以上专用设备0台（套）。</w:t>
      </w:r>
    </w:p>
    <w:p>
      <w:pPr>
        <w:numPr>
          <w:ilvl w:val="0"/>
          <w:numId w:val="2"/>
        </w:numPr>
        <w:spacing w:line="360" w:lineRule="auto"/>
        <w:ind w:firstLine="640" w:firstLineChars="20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政府采购支出情况说明</w:t>
      </w:r>
    </w:p>
    <w:p>
      <w:pPr>
        <w:widowControl/>
        <w:spacing w:line="360" w:lineRule="auto"/>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shd w:val="clear" w:color="auto" w:fill="FFFFFF"/>
        </w:rPr>
        <w:t>2020年度本部门政府采购支出总额13.02万元，其中：政府采购货物支出12.37万元、政府采购工程支出0.00万元、政府采购服务支出0.66万元。授予中小企业合同金额13.02万元，占政府采购支出总额的100%，其中：授予小微企业合同金额 13.02万元，占政府采购支出总额的100%。主要用于采购</w:t>
      </w:r>
      <w:r>
        <w:rPr>
          <w:rFonts w:hint="eastAsia" w:ascii="方正仿宋_GBK" w:hAnsi="方正仿宋_GBK" w:eastAsia="方正仿宋_GBK" w:cs="方正仿宋_GBK"/>
          <w:color w:val="000000"/>
          <w:kern w:val="0"/>
          <w:sz w:val="32"/>
          <w:szCs w:val="32"/>
        </w:rPr>
        <w:t>政府办公用品等固定资产。</w:t>
      </w:r>
    </w:p>
    <w:p>
      <w:pPr>
        <w:spacing w:line="360" w:lineRule="auto"/>
        <w:ind w:left="420" w:leftChars="200" w:firstLine="640" w:firstLineChars="200"/>
        <w:rPr>
          <w:rFonts w:ascii="Times New Roman" w:hAnsi="Times New Roman" w:eastAsia="方正仿宋_GBK" w:cs="宋体"/>
          <w:b/>
          <w:kern w:val="0"/>
          <w:sz w:val="32"/>
          <w:szCs w:val="32"/>
        </w:rPr>
      </w:pPr>
      <w:r>
        <w:rPr>
          <w:rFonts w:hint="eastAsia" w:ascii="Times New Roman" w:hAnsi="Times New Roman" w:eastAsia="方正黑体_GBK" w:cs="宋体"/>
          <w:kern w:val="0"/>
          <w:sz w:val="32"/>
          <w:szCs w:val="32"/>
        </w:rPr>
        <w:t>五、预算绩效管理情况说明</w:t>
      </w:r>
    </w:p>
    <w:p>
      <w:pPr>
        <w:spacing w:line="360" w:lineRule="auto"/>
        <w:ind w:firstLine="640" w:firstLineChars="200"/>
        <w:rPr>
          <w:rFonts w:ascii="方正仿宋_GBK" w:eastAsia="方正仿宋_GBK"/>
          <w:sz w:val="32"/>
          <w:szCs w:val="32"/>
        </w:rPr>
      </w:pPr>
      <w:r>
        <w:rPr>
          <w:rFonts w:hint="eastAsia" w:ascii="方正楷体_GBK" w:eastAsia="方正楷体_GBK"/>
          <w:sz w:val="32"/>
          <w:szCs w:val="32"/>
        </w:rPr>
        <w:t>（一）预算绩效管理工作开展情况</w:t>
      </w:r>
    </w:p>
    <w:p>
      <w:pPr>
        <w:spacing w:line="360" w:lineRule="auto"/>
        <w:ind w:firstLine="640" w:firstLineChars="200"/>
        <w:rPr>
          <w:rFonts w:ascii="方正仿宋_GBK" w:eastAsia="方正仿宋_GBK"/>
          <w:sz w:val="32"/>
          <w:szCs w:val="32"/>
        </w:rPr>
      </w:pPr>
      <w:r>
        <w:rPr>
          <w:rFonts w:hint="eastAsia" w:eastAsia="方正仿宋_GBK"/>
          <w:sz w:val="32"/>
          <w:szCs w:val="32"/>
        </w:rPr>
        <w:t>  </w:t>
      </w:r>
      <w:r>
        <w:rPr>
          <w:rFonts w:hint="eastAsia" w:ascii="方正仿宋_GBK" w:eastAsia="方正仿宋_GBK"/>
          <w:sz w:val="32"/>
          <w:szCs w:val="32"/>
        </w:rPr>
        <w:t>根据预算绩效管理要求，本单位对2个项目开展了绩效自评，涉及资金232.25万元。一是马脑顶村道班至大坪便民路硬化工程项目，二是火石垭村2组黄家至蔡家垭口路面硬化工程项目，从评价情况来看，工作组从目标申报、项目的决策、资金使用、资金监管及财务会计信息、项目组织管理、项目绩效等各方面开展细致分析，总结项目资金管理的经验和资金使用的效益，着力发现资金使用过程中存在的问题并提出相应的建议、意见。加强了专项资金管理，提高了资金使用效率，总结了项目建设成效，查找了资金项目管理中存在的问题，积累了项目资金管理的经验，进一步提高了专项资金使用效益。</w:t>
      </w:r>
    </w:p>
    <w:p>
      <w:pPr>
        <w:pStyle w:val="11"/>
        <w:tabs>
          <w:tab w:val="center" w:pos="4153"/>
          <w:tab w:val="left" w:pos="7275"/>
        </w:tabs>
        <w:spacing w:line="360" w:lineRule="auto"/>
        <w:ind w:firstLine="64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（二）绩效自评结果</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1.石家镇马脑顶村道班至大坪便民路硬化工程项目绩效目标自评综述：项目全年预算数为106万元，执行数为105.9917万元，完成预算的99.99%。主要产出和效果：一是项目实施的经济效益，有效解决了我镇200余人的生活、生产条件问题，为我镇快速发展提供了良好的条件。二是项目实施的社会效益，解决了群众的生产、生活问题，方便群众生产生活，密切了党群干群关系。三是项目实施的可持续影响分析项目实施能够更好地适应经济社会发展新形势的需求，保证利民、便民工作的开展；方便群众生产生活，带动当地发展，得到上级政府和群众肯定。</w:t>
      </w:r>
    </w:p>
    <w:p>
      <w:pPr>
        <w:spacing w:line="360" w:lineRule="auto"/>
        <w:ind w:firstLine="640" w:firstLineChars="200"/>
        <w:rPr>
          <w:rFonts w:ascii="方正仿宋_GBK" w:eastAsia="方正仿宋_GBK"/>
          <w:sz w:val="32"/>
          <w:szCs w:val="32"/>
        </w:rPr>
      </w:pPr>
      <w:r>
        <w:rPr>
          <w:rFonts w:hint="eastAsia" w:ascii="方正仿宋_GBK" w:eastAsia="方正仿宋_GBK"/>
          <w:sz w:val="32"/>
          <w:szCs w:val="32"/>
        </w:rPr>
        <w:t>2.石家镇火石垭村2组黄家至蔡家垭口路面硬化工程项目绩效目标自评综述：项目全年预算数为126.25万元，执行数为106万元，完成预算的83.96%。主要产出和效果：一是项目实施的经济效益，为我镇经济发展节约了物资运输成本；二是项目实施的社会效益方便我镇群众的出行问题和生产生活，提高安全保障水平。密切了党群干群关系；三是项目实施的生态效益，项目实施更好地适应了经济社会发展新形势的需求，保证了利民、便民工作的开展；方便了群众生产生活，带动了当地农业旅游发展。</w:t>
      </w:r>
    </w:p>
    <w:p>
      <w:pPr>
        <w:spacing w:line="592" w:lineRule="exact"/>
        <w:ind w:firstLine="640" w:firstLineChars="200"/>
        <w:rPr>
          <w:rFonts w:ascii="方正仿宋_GBK" w:eastAsia="方正仿宋_GBK"/>
          <w:sz w:val="32"/>
          <w:szCs w:val="32"/>
        </w:rPr>
      </w:pPr>
      <w:r>
        <w:rPr>
          <w:rFonts w:hint="eastAsia" w:ascii="方正仿宋_GBK" w:eastAsia="方正仿宋_GBK"/>
          <w:sz w:val="32"/>
          <w:szCs w:val="32"/>
        </w:rPr>
        <w:t>绩效目标自评具体情况见下表：</w:t>
      </w:r>
    </w:p>
    <w:tbl>
      <w:tblPr>
        <w:tblStyle w:val="6"/>
        <w:tblpPr w:leftFromText="180" w:rightFromText="180" w:vertAnchor="text" w:horzAnchor="page" w:tblpX="637" w:tblpY="583"/>
        <w:tblOverlap w:val="never"/>
        <w:tblW w:w="10830" w:type="dxa"/>
        <w:tblInd w:w="0" w:type="dxa"/>
        <w:tblLayout w:type="autofit"/>
        <w:tblCellMar>
          <w:top w:w="0" w:type="dxa"/>
          <w:left w:w="0" w:type="dxa"/>
          <w:bottom w:w="0" w:type="dxa"/>
          <w:right w:w="0" w:type="dxa"/>
        </w:tblCellMar>
      </w:tblPr>
      <w:tblGrid>
        <w:gridCol w:w="515"/>
        <w:gridCol w:w="465"/>
        <w:gridCol w:w="1035"/>
        <w:gridCol w:w="2029"/>
        <w:gridCol w:w="1253"/>
        <w:gridCol w:w="1697"/>
        <w:gridCol w:w="1586"/>
        <w:gridCol w:w="2250"/>
      </w:tblGrid>
      <w:tr>
        <w:tblPrEx>
          <w:tblCellMar>
            <w:top w:w="0" w:type="dxa"/>
            <w:left w:w="0" w:type="dxa"/>
            <w:bottom w:w="0" w:type="dxa"/>
            <w:right w:w="0" w:type="dxa"/>
          </w:tblCellMar>
        </w:tblPrEx>
        <w:trPr>
          <w:trHeight w:val="420" w:hRule="atLeast"/>
        </w:trPr>
        <w:tc>
          <w:tcPr>
            <w:tcW w:w="10830"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widowControl/>
              <w:kinsoku/>
              <w:wordWrap/>
              <w:overflowPunct/>
              <w:topLinePunct w:val="0"/>
              <w:autoSpaceDE/>
              <w:autoSpaceDN/>
              <w:bidi w:val="0"/>
              <w:adjustRightInd/>
              <w:snapToGrid/>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黔江区项目支出绩效目标自评表</w:t>
            </w:r>
          </w:p>
        </w:tc>
      </w:tr>
      <w:tr>
        <w:tblPrEx>
          <w:tblCellMar>
            <w:top w:w="0" w:type="dxa"/>
            <w:left w:w="0" w:type="dxa"/>
            <w:bottom w:w="0" w:type="dxa"/>
            <w:right w:w="0" w:type="dxa"/>
          </w:tblCellMar>
        </w:tblPrEx>
        <w:trPr>
          <w:trHeight w:val="360" w:hRule="atLeast"/>
        </w:trPr>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石家镇马脑顶村道班至大坪便民路硬化工程</w:t>
            </w:r>
          </w:p>
        </w:tc>
      </w:tr>
      <w:tr>
        <w:tblPrEx>
          <w:tblCellMar>
            <w:top w:w="0" w:type="dxa"/>
            <w:left w:w="0" w:type="dxa"/>
            <w:bottom w:w="0" w:type="dxa"/>
            <w:right w:w="0" w:type="dxa"/>
          </w:tblCellMar>
        </w:tblPrEx>
        <w:trPr>
          <w:trHeight w:val="360" w:hRule="atLeast"/>
        </w:trPr>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市级主管部门</w:t>
            </w:r>
          </w:p>
        </w:tc>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重庆市交民宗委</w:t>
            </w:r>
          </w:p>
        </w:tc>
      </w:tr>
      <w:tr>
        <w:tblPrEx>
          <w:tblCellMar>
            <w:top w:w="0" w:type="dxa"/>
            <w:left w:w="0" w:type="dxa"/>
            <w:bottom w:w="0" w:type="dxa"/>
            <w:right w:w="0" w:type="dxa"/>
          </w:tblCellMar>
        </w:tblPrEx>
        <w:trPr>
          <w:trHeight w:val="360" w:hRule="atLeast"/>
        </w:trPr>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地方主管部门</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黔江区民宗委</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项目实施单位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石家镇人民政府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20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项目资金（万元）</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预算数（A）</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p>
        </w:tc>
      </w:tr>
      <w:tr>
        <w:tblPrEx>
          <w:tblCellMar>
            <w:top w:w="0" w:type="dxa"/>
            <w:left w:w="0" w:type="dxa"/>
            <w:bottom w:w="0" w:type="dxa"/>
            <w:right w:w="0" w:type="dxa"/>
          </w:tblCellMar>
        </w:tblPrEx>
        <w:trPr>
          <w:trHeight w:val="360" w:hRule="atLeast"/>
        </w:trPr>
        <w:tc>
          <w:tcPr>
            <w:tcW w:w="20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106万元</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105.9917万元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99.90%</w:t>
            </w:r>
          </w:p>
        </w:tc>
      </w:tr>
      <w:tr>
        <w:tblPrEx>
          <w:tblCellMar>
            <w:top w:w="0" w:type="dxa"/>
            <w:left w:w="0" w:type="dxa"/>
            <w:bottom w:w="0" w:type="dxa"/>
            <w:right w:w="0" w:type="dxa"/>
          </w:tblCellMar>
        </w:tblPrEx>
        <w:trPr>
          <w:trHeight w:val="360" w:hRule="atLeast"/>
        </w:trPr>
        <w:tc>
          <w:tcPr>
            <w:tcW w:w="20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其中：上级补助</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106万元</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105.9917万元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99.90%</w:t>
            </w:r>
          </w:p>
        </w:tc>
      </w:tr>
      <w:tr>
        <w:tblPrEx>
          <w:tblCellMar>
            <w:top w:w="0" w:type="dxa"/>
            <w:left w:w="0" w:type="dxa"/>
            <w:bottom w:w="0" w:type="dxa"/>
            <w:right w:w="0" w:type="dxa"/>
          </w:tblCellMar>
        </w:tblPrEx>
        <w:trPr>
          <w:trHeight w:val="360" w:hRule="atLeast"/>
        </w:trPr>
        <w:tc>
          <w:tcPr>
            <w:tcW w:w="20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当年预算</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20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上年结转结余</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439"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47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55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全年实际完成情况</w:t>
            </w:r>
          </w:p>
        </w:tc>
      </w:tr>
      <w:tr>
        <w:tblPrEx>
          <w:tblCellMar>
            <w:top w:w="0" w:type="dxa"/>
            <w:left w:w="0" w:type="dxa"/>
            <w:bottom w:w="0" w:type="dxa"/>
            <w:right w:w="0" w:type="dxa"/>
          </w:tblCellMar>
        </w:tblPrEx>
        <w:trPr>
          <w:trHeight w:val="84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7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2020年4月开工建设，2020年6月完工投用，2020年7月办结财务决算</w:t>
            </w:r>
          </w:p>
        </w:tc>
        <w:tc>
          <w:tcPr>
            <w:tcW w:w="5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2020年4月开工建设，2020年6月完工投用，2020年7月办结财务决算</w:t>
            </w:r>
          </w:p>
        </w:tc>
      </w:tr>
      <w:tr>
        <w:tblPrEx>
          <w:tblCellMar>
            <w:top w:w="0" w:type="dxa"/>
            <w:left w:w="0" w:type="dxa"/>
            <w:bottom w:w="0" w:type="dxa"/>
            <w:right w:w="0" w:type="dxa"/>
          </w:tblCellMar>
        </w:tblPrEx>
        <w:trPr>
          <w:trHeight w:val="465" w:hRule="atLeast"/>
        </w:trPr>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全年完成值</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未完成原因和改进措施</w:t>
            </w: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建设里程</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2公里</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1.9925公里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验收平均宽度4.85米</w:t>
            </w: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合格</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合格</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合格</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前期准备</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1个月</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1个月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2个月</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2个月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财务决算</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1个月</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1个月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万元/公里</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节约物资运输成本</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方便快速出行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160人</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160人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保障出行安全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160人</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160人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减少物资运输汽车尾气排放量</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减少居民进出汽车尾气排放量</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项目使用寿命</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居民投诉次数</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负面网络舆情次数</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说明</w:t>
            </w:r>
          </w:p>
        </w:tc>
        <w:tc>
          <w:tcPr>
            <w:tcW w:w="985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请在此简要说明各级审计和财政监督检查中发现的问题及其所涉及的金额，如没有请填无。</w:t>
            </w:r>
          </w:p>
        </w:tc>
      </w:tr>
    </w:tbl>
    <w:p>
      <w:pPr>
        <w:spacing w:line="592" w:lineRule="exact"/>
        <w:ind w:firstLine="640" w:firstLineChars="200"/>
        <w:rPr>
          <w:rFonts w:ascii="方正仿宋_GBK" w:eastAsia="方正仿宋_GBK"/>
          <w:sz w:val="32"/>
          <w:szCs w:val="32"/>
        </w:rPr>
      </w:pPr>
    </w:p>
    <w:tbl>
      <w:tblPr>
        <w:tblStyle w:val="6"/>
        <w:tblpPr w:leftFromText="180" w:rightFromText="180" w:vertAnchor="text" w:horzAnchor="page" w:tblpX="607" w:tblpY="723"/>
        <w:tblOverlap w:val="never"/>
        <w:tblW w:w="10890" w:type="dxa"/>
        <w:tblInd w:w="0" w:type="dxa"/>
        <w:tblLayout w:type="fixed"/>
        <w:tblCellMar>
          <w:top w:w="0" w:type="dxa"/>
          <w:left w:w="0" w:type="dxa"/>
          <w:bottom w:w="0" w:type="dxa"/>
          <w:right w:w="0" w:type="dxa"/>
        </w:tblCellMar>
      </w:tblPr>
      <w:tblGrid>
        <w:gridCol w:w="529"/>
        <w:gridCol w:w="478"/>
        <w:gridCol w:w="1063"/>
        <w:gridCol w:w="2037"/>
        <w:gridCol w:w="1337"/>
        <w:gridCol w:w="1703"/>
        <w:gridCol w:w="1591"/>
        <w:gridCol w:w="2152"/>
      </w:tblGrid>
      <w:tr>
        <w:tblPrEx>
          <w:tblCellMar>
            <w:top w:w="0" w:type="dxa"/>
            <w:left w:w="0" w:type="dxa"/>
            <w:bottom w:w="0" w:type="dxa"/>
            <w:right w:w="0" w:type="dxa"/>
          </w:tblCellMar>
        </w:tblPrEx>
        <w:trPr>
          <w:trHeight w:val="420" w:hRule="atLeast"/>
        </w:trPr>
        <w:tc>
          <w:tcPr>
            <w:tcW w:w="10890"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黔江区项目支出绩效目标自评表</w:t>
            </w:r>
          </w:p>
        </w:tc>
      </w:tr>
      <w:tr>
        <w:tblPrEx>
          <w:tblCellMar>
            <w:top w:w="0" w:type="dxa"/>
            <w:left w:w="0" w:type="dxa"/>
            <w:bottom w:w="0" w:type="dxa"/>
            <w:right w:w="0" w:type="dxa"/>
          </w:tblCellMar>
        </w:tblPrEx>
        <w:trPr>
          <w:trHeight w:val="360"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88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石家镇火石垭村2组黄家至蔡家垭口路面硬化工程</w:t>
            </w:r>
          </w:p>
        </w:tc>
      </w:tr>
      <w:tr>
        <w:tblPrEx>
          <w:tblCellMar>
            <w:top w:w="0" w:type="dxa"/>
            <w:left w:w="0" w:type="dxa"/>
            <w:bottom w:w="0" w:type="dxa"/>
            <w:right w:w="0" w:type="dxa"/>
          </w:tblCellMar>
        </w:tblPrEx>
        <w:trPr>
          <w:trHeight w:val="360"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市级主管部门</w:t>
            </w:r>
          </w:p>
        </w:tc>
        <w:tc>
          <w:tcPr>
            <w:tcW w:w="88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重庆市交通局</w:t>
            </w:r>
          </w:p>
        </w:tc>
      </w:tr>
      <w:tr>
        <w:tblPrEx>
          <w:tblCellMar>
            <w:top w:w="0" w:type="dxa"/>
            <w:left w:w="0" w:type="dxa"/>
            <w:bottom w:w="0" w:type="dxa"/>
            <w:right w:w="0" w:type="dxa"/>
          </w:tblCellMar>
        </w:tblPrEx>
        <w:trPr>
          <w:trHeight w:val="360"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地方主管部门</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黔江区交通局</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项目实施单位</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石家镇人民政府</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9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项目资金（万元）</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预算数（A）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执行率（B/A）</w:t>
            </w:r>
          </w:p>
        </w:tc>
      </w:tr>
      <w:tr>
        <w:tblPrEx>
          <w:tblCellMar>
            <w:top w:w="0" w:type="dxa"/>
            <w:left w:w="0" w:type="dxa"/>
            <w:bottom w:w="0" w:type="dxa"/>
            <w:right w:w="0" w:type="dxa"/>
          </w:tblCellMar>
        </w:tblPrEx>
        <w:trPr>
          <w:trHeight w:val="360" w:hRule="atLeast"/>
        </w:trPr>
        <w:tc>
          <w:tcPr>
            <w:tcW w:w="19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126.25万元</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106万元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84.00%</w:t>
            </w:r>
          </w:p>
        </w:tc>
      </w:tr>
      <w:tr>
        <w:tblPrEx>
          <w:tblCellMar>
            <w:top w:w="0" w:type="dxa"/>
            <w:left w:w="0" w:type="dxa"/>
            <w:bottom w:w="0" w:type="dxa"/>
            <w:right w:w="0" w:type="dxa"/>
          </w:tblCellMar>
        </w:tblPrEx>
        <w:trPr>
          <w:trHeight w:val="360" w:hRule="atLeast"/>
        </w:trPr>
        <w:tc>
          <w:tcPr>
            <w:tcW w:w="19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其中：上级补助</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126.25万元</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106万元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84.00%</w:t>
            </w:r>
          </w:p>
        </w:tc>
      </w:tr>
      <w:tr>
        <w:tblPrEx>
          <w:tblCellMar>
            <w:top w:w="0" w:type="dxa"/>
            <w:left w:w="0" w:type="dxa"/>
            <w:bottom w:w="0" w:type="dxa"/>
            <w:right w:w="0" w:type="dxa"/>
          </w:tblCellMar>
        </w:tblPrEx>
        <w:trPr>
          <w:trHeight w:val="360" w:hRule="atLeast"/>
        </w:trPr>
        <w:tc>
          <w:tcPr>
            <w:tcW w:w="19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当年预算</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9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上年结转结余</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48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年初设定目标</w:t>
            </w:r>
          </w:p>
        </w:tc>
        <w:tc>
          <w:tcPr>
            <w:tcW w:w="54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全年实际完成情况</w:t>
            </w:r>
          </w:p>
        </w:tc>
      </w:tr>
      <w:tr>
        <w:tblPrEx>
          <w:tblCellMar>
            <w:top w:w="0" w:type="dxa"/>
            <w:left w:w="0" w:type="dxa"/>
            <w:bottom w:w="0" w:type="dxa"/>
            <w:right w:w="0" w:type="dxa"/>
          </w:tblCellMar>
        </w:tblPrEx>
        <w:trPr>
          <w:trHeight w:val="72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2020年4月开工建设，2021年4月完工投用</w:t>
            </w:r>
          </w:p>
        </w:tc>
        <w:tc>
          <w:tcPr>
            <w:tcW w:w="54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2020年4月开工建设，2020年6月完工投用，2020年8月办结财务决算</w:t>
            </w:r>
          </w:p>
        </w:tc>
      </w:tr>
      <w:tr>
        <w:tblPrEx>
          <w:tblCellMar>
            <w:top w:w="0" w:type="dxa"/>
            <w:left w:w="0" w:type="dxa"/>
            <w:bottom w:w="0" w:type="dxa"/>
            <w:right w:w="0" w:type="dxa"/>
          </w:tblCellMar>
        </w:tblPrEx>
        <w:trPr>
          <w:trHeight w:val="465"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年度指标值</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全年完成值</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未完成原因和改进措施</w:t>
            </w: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建设里程</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2.382公里</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2.436公里</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合格</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合格</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合格</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前期准备</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1月</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1月</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建设</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2月</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2月</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财务决算</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1月</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1月</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万元/公里</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节约物资运输成本</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3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方便快速出行</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530人</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530人</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保障出行安全</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530人</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530人</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减少物资运输汽车尾气排放量</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吨</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减少居民进出汽车尾气排放量</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项目使用寿命</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居民投诉次数</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ascii="宋体" w:hAnsi="宋体" w:cs="宋体"/>
                <w:color w:val="000000"/>
                <w:sz w:val="20"/>
                <w:szCs w:val="20"/>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负面网络舆情次数</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说明</w:t>
            </w:r>
          </w:p>
        </w:tc>
        <w:tc>
          <w:tcPr>
            <w:tcW w:w="988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请在此简要说明各级审计和财政监督检查中发现的问题及其所涉及的金额，如没有请填无。</w:t>
            </w:r>
          </w:p>
        </w:tc>
      </w:tr>
    </w:tbl>
    <w:p>
      <w:pPr>
        <w:spacing w:line="592" w:lineRule="exact"/>
        <w:ind w:firstLine="640" w:firstLineChars="200"/>
        <w:rPr>
          <w:rFonts w:ascii="方正仿宋_GBK" w:eastAsia="方正仿宋_GBK"/>
          <w:sz w:val="32"/>
          <w:szCs w:val="32"/>
        </w:rPr>
      </w:pPr>
    </w:p>
    <w:p>
      <w:pPr>
        <w:pStyle w:val="11"/>
        <w:tabs>
          <w:tab w:val="center" w:pos="4153"/>
          <w:tab w:val="left" w:pos="7275"/>
        </w:tabs>
        <w:spacing w:line="600"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六、专业名词解释</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（一）财政拨款收入</w:t>
      </w:r>
      <w:r>
        <w:rPr>
          <w:rFonts w:hint="eastAsia" w:ascii="方正仿宋_GBK" w:hAnsi="方正仿宋_GBK" w:eastAsia="方正仿宋_GBK" w:cs="方正仿宋_GBK"/>
          <w:color w:val="000000"/>
          <w:kern w:val="0"/>
          <w:sz w:val="32"/>
          <w:szCs w:val="32"/>
        </w:rPr>
        <w:t>：指本年度从本级财政单位取得的财政拨款，包括一般公共预算财政拨款和政府性基金预算财政拨款。</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（二）事业收入</w:t>
      </w:r>
      <w:r>
        <w:rPr>
          <w:rFonts w:hint="eastAsia" w:ascii="方正仿宋_GBK" w:hAnsi="方正仿宋_GBK" w:eastAsia="方正仿宋_GBK" w:cs="方正仿宋_GBK"/>
          <w:color w:val="000000"/>
          <w:kern w:val="0"/>
          <w:sz w:val="32"/>
          <w:szCs w:val="32"/>
        </w:rPr>
        <w:t>：指事业单位开展专业业务活动及其辅助活动取得的收入；事业单位收到的财政专户实际核拨的教育收费等资金在此反映。</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（三）经营收入</w:t>
      </w:r>
      <w:r>
        <w:rPr>
          <w:rFonts w:hint="eastAsia" w:ascii="方正仿宋_GBK" w:hAnsi="方正仿宋_GBK" w:eastAsia="方正仿宋_GBK" w:cs="方正仿宋_GBK"/>
          <w:color w:val="000000"/>
          <w:kern w:val="0"/>
          <w:sz w:val="32"/>
          <w:szCs w:val="32"/>
        </w:rPr>
        <w:t>：指事业单位在专业业务活动及其辅助活动之外开展非独立核算经营活动取得的收入。</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（四）其他收入</w:t>
      </w:r>
      <w:r>
        <w:rPr>
          <w:rFonts w:hint="eastAsia" w:ascii="方正仿宋_GBK" w:hAnsi="方正仿宋_GBK" w:eastAsia="方正仿宋_GBK" w:cs="方正仿宋_GBK"/>
          <w:color w:val="000000"/>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填列在本项内。</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（五）用事业基金弥补收支差额</w:t>
      </w:r>
      <w:r>
        <w:rPr>
          <w:rFonts w:hint="eastAsia" w:ascii="方正仿宋_GBK" w:hAnsi="方正仿宋_GBK" w:eastAsia="方正仿宋_GBK" w:cs="方正仿宋_GBK"/>
          <w:color w:val="000000"/>
          <w:kern w:val="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（六）年初结转和结余：</w:t>
      </w:r>
      <w:r>
        <w:rPr>
          <w:rFonts w:hint="eastAsia" w:ascii="方正仿宋_GBK" w:hAnsi="方正仿宋_GBK" w:eastAsia="方正仿宋_GBK" w:cs="方正仿宋_GBK"/>
          <w:color w:val="000000"/>
          <w:kern w:val="0"/>
          <w:sz w:val="32"/>
          <w:szCs w:val="32"/>
        </w:rPr>
        <w:t>指单位上年结转本年使用的基本支出结转、项目支出结转和结余、经营结余。不包括事业单位净资产项下的事业基金和专用基金。</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（七）结余分配</w:t>
      </w:r>
      <w:r>
        <w:rPr>
          <w:rFonts w:hint="eastAsia" w:ascii="方正仿宋_GBK" w:hAnsi="方正仿宋_GBK" w:eastAsia="方正仿宋_GBK" w:cs="方正仿宋_GBK"/>
          <w:color w:val="000000"/>
          <w:kern w:val="0"/>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（八）年末结转和结余</w:t>
      </w:r>
      <w:r>
        <w:rPr>
          <w:rFonts w:hint="eastAsia" w:ascii="方正仿宋_GBK" w:hAnsi="方正仿宋_GBK" w:eastAsia="方正仿宋_GBK" w:cs="方正仿宋_GBK"/>
          <w:color w:val="000000"/>
          <w:kern w:val="0"/>
          <w:sz w:val="32"/>
          <w:szCs w:val="32"/>
        </w:rPr>
        <w:t>：指单位结转下年的基本支出结转、项目支出结转和结余、经营结余。不包括事业单位净资产项下的事业基金和专用基金。</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（九）基本支出</w:t>
      </w:r>
      <w:r>
        <w:rPr>
          <w:rFonts w:hint="eastAsia" w:ascii="方正仿宋_GBK" w:hAnsi="方正仿宋_GBK" w:eastAsia="方正仿宋_GBK" w:cs="方正仿宋_GBK"/>
          <w:color w:val="000000"/>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（十）项目支出</w:t>
      </w:r>
      <w:r>
        <w:rPr>
          <w:rFonts w:hint="eastAsia" w:ascii="方正仿宋_GBK" w:hAnsi="方正仿宋_GBK" w:eastAsia="方正仿宋_GBK" w:cs="方正仿宋_GBK"/>
          <w:color w:val="000000"/>
          <w:kern w:val="0"/>
          <w:sz w:val="32"/>
          <w:szCs w:val="32"/>
        </w:rPr>
        <w:t>：指在基本支出之外为完成特定行政任务和事业发展目标所发生的支出。</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（十一）经营支出</w:t>
      </w:r>
      <w:r>
        <w:rPr>
          <w:rFonts w:hint="eastAsia" w:ascii="方正仿宋_GBK" w:hAnsi="方正仿宋_GBK" w:eastAsia="方正仿宋_GBK" w:cs="方正仿宋_GBK"/>
          <w:color w:val="000000"/>
          <w:kern w:val="0"/>
          <w:sz w:val="32"/>
          <w:szCs w:val="32"/>
        </w:rPr>
        <w:t>：指事业单位在专业业务活动及其辅助活动之外开展非独立核算经营活动发生的支出。</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（十二）“三公”经费</w:t>
      </w:r>
      <w:r>
        <w:rPr>
          <w:rFonts w:hint="eastAsia" w:ascii="方正仿宋_GBK" w:hAnsi="方正仿宋_GBK" w:eastAsia="方正仿宋_GBK" w:cs="方正仿宋_GBK"/>
          <w:color w:val="000000"/>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（十三）机关运行经费</w:t>
      </w:r>
      <w:r>
        <w:rPr>
          <w:rFonts w:hint="eastAsia" w:ascii="方正仿宋_GBK" w:hAnsi="方正仿宋_GBK" w:eastAsia="方正仿宋_GBK" w:cs="方正仿宋_GBK"/>
          <w:color w:val="000000"/>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（十四）工资福利支出（支出经济分类科目类级）</w:t>
      </w:r>
      <w:r>
        <w:rPr>
          <w:rFonts w:hint="eastAsia" w:ascii="方正仿宋_GBK" w:hAnsi="方正仿宋_GBK" w:eastAsia="方正仿宋_GBK" w:cs="方正仿宋_GBK"/>
          <w:color w:val="000000"/>
          <w:kern w:val="0"/>
          <w:sz w:val="32"/>
          <w:szCs w:val="32"/>
        </w:rPr>
        <w:t>：反映单位开支的在职职工和编制外长期聘用人员的各类劳动报酬，以及为上述人员缴纳的各项社会保险费等。</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（十五）商品和服务支出（支出经济分类科目类级）：</w:t>
      </w:r>
      <w:r>
        <w:rPr>
          <w:rFonts w:hint="eastAsia" w:ascii="方正仿宋_GBK" w:hAnsi="方正仿宋_GBK" w:eastAsia="方正仿宋_GBK" w:cs="方正仿宋_GBK"/>
          <w:color w:val="000000"/>
          <w:kern w:val="0"/>
          <w:sz w:val="32"/>
          <w:szCs w:val="32"/>
        </w:rPr>
        <w:t>反映单位购买商品和服务的支出（不包括用于购置固定资产的支出、战略性和应急储备支出）。</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（十六）对个人和家庭的补助（支出经济分类科目类级）</w:t>
      </w:r>
      <w:r>
        <w:rPr>
          <w:rFonts w:hint="eastAsia" w:ascii="方正仿宋_GBK" w:hAnsi="方正仿宋_GBK" w:eastAsia="方正仿宋_GBK" w:cs="方正仿宋_GBK"/>
          <w:color w:val="000000"/>
          <w:kern w:val="0"/>
          <w:sz w:val="32"/>
          <w:szCs w:val="32"/>
        </w:rPr>
        <w:t>：反映用于对个人和家庭的补助支出。</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楷体_GBK" w:hAnsi="宋体" w:eastAsia="方正楷体_GBK" w:cs="宋体"/>
          <w:kern w:val="0"/>
          <w:sz w:val="32"/>
          <w:szCs w:val="32"/>
        </w:rPr>
        <w:t>（十七）其他资本性支出（支出经济分类科目类级）：</w:t>
      </w:r>
      <w:r>
        <w:rPr>
          <w:rFonts w:hint="eastAsia" w:ascii="方正仿宋_GBK" w:hAnsi="方正仿宋_GBK" w:eastAsia="方正仿宋_GBK" w:cs="方正仿宋_GBK"/>
          <w:color w:val="000000"/>
          <w:kern w:val="0"/>
          <w:sz w:val="32"/>
          <w:szCs w:val="32"/>
        </w:rPr>
        <w:t>反映非各级发展与改革单位集中安排的用于购置固定资产、战略性和应急性储备、土地和无形资产，以及构建基础设施、大型修缮和财政支持企业更新改造所发生的支出。</w:t>
      </w:r>
    </w:p>
    <w:p>
      <w:pPr>
        <w:widowControl/>
        <w:spacing w:line="594" w:lineRule="exact"/>
        <w:ind w:firstLine="640" w:firstLineChars="20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七、决算公开联系方式及信息反馈渠道。</w:t>
      </w:r>
    </w:p>
    <w:p>
      <w:pPr>
        <w:widowControl/>
        <w:spacing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本单位决算公开信息反馈和联系方式：79549001</w:t>
      </w:r>
    </w:p>
    <w:p>
      <w:pPr>
        <w:spacing w:line="594" w:lineRule="exact"/>
        <w:ind w:firstLine="640" w:firstLineChars="200"/>
        <w:rPr>
          <w:rFonts w:ascii="方正仿宋_GBK" w:hAnsi="方正仿宋_GBK" w:eastAsia="方正仿宋_GBK" w:cs="方正仿宋_GBK"/>
          <w:sz w:val="32"/>
          <w:szCs w:val="32"/>
        </w:rPr>
      </w:pPr>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BBC85"/>
    <w:multiLevelType w:val="singleLevel"/>
    <w:tmpl w:val="173BBC85"/>
    <w:lvl w:ilvl="0" w:tentative="0">
      <w:start w:val="2"/>
      <w:numFmt w:val="chineseCounting"/>
      <w:suff w:val="nothing"/>
      <w:lvlText w:val="（%1）"/>
      <w:lvlJc w:val="left"/>
      <w:rPr>
        <w:rFonts w:hint="eastAsia"/>
      </w:rPr>
    </w:lvl>
  </w:abstractNum>
  <w:abstractNum w:abstractNumId="1">
    <w:nsid w:val="70919E47"/>
    <w:multiLevelType w:val="singleLevel"/>
    <w:tmpl w:val="70919E47"/>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95"/>
    <w:rsid w:val="0000334D"/>
    <w:rsid w:val="000E4D6D"/>
    <w:rsid w:val="000E50C8"/>
    <w:rsid w:val="001E5ECB"/>
    <w:rsid w:val="002257D4"/>
    <w:rsid w:val="0025696A"/>
    <w:rsid w:val="002C3FF5"/>
    <w:rsid w:val="002D3CBE"/>
    <w:rsid w:val="003048DF"/>
    <w:rsid w:val="003127EF"/>
    <w:rsid w:val="00355736"/>
    <w:rsid w:val="0037778E"/>
    <w:rsid w:val="00383508"/>
    <w:rsid w:val="003C50BD"/>
    <w:rsid w:val="004B1A12"/>
    <w:rsid w:val="00503F15"/>
    <w:rsid w:val="00536766"/>
    <w:rsid w:val="00542FAA"/>
    <w:rsid w:val="005468FC"/>
    <w:rsid w:val="00570F0F"/>
    <w:rsid w:val="00592E32"/>
    <w:rsid w:val="005A179E"/>
    <w:rsid w:val="005D5CB8"/>
    <w:rsid w:val="00610B86"/>
    <w:rsid w:val="00680C47"/>
    <w:rsid w:val="00684E34"/>
    <w:rsid w:val="007107AB"/>
    <w:rsid w:val="0078587E"/>
    <w:rsid w:val="00791BF8"/>
    <w:rsid w:val="007A416F"/>
    <w:rsid w:val="00822186"/>
    <w:rsid w:val="008E76AF"/>
    <w:rsid w:val="008F1649"/>
    <w:rsid w:val="008F3F95"/>
    <w:rsid w:val="009619EB"/>
    <w:rsid w:val="00997A29"/>
    <w:rsid w:val="009C068E"/>
    <w:rsid w:val="009E4CB2"/>
    <w:rsid w:val="00A24D60"/>
    <w:rsid w:val="00AC0E1A"/>
    <w:rsid w:val="00AC31F8"/>
    <w:rsid w:val="00B55A36"/>
    <w:rsid w:val="00B60382"/>
    <w:rsid w:val="00B804F4"/>
    <w:rsid w:val="00BD66D0"/>
    <w:rsid w:val="00BF0AD4"/>
    <w:rsid w:val="00C44357"/>
    <w:rsid w:val="00D14D90"/>
    <w:rsid w:val="00E9145E"/>
    <w:rsid w:val="00F020D0"/>
    <w:rsid w:val="00F7285C"/>
    <w:rsid w:val="00F938EC"/>
    <w:rsid w:val="00F93FA9"/>
    <w:rsid w:val="0C22720A"/>
    <w:rsid w:val="0F250B6E"/>
    <w:rsid w:val="40A92EE3"/>
    <w:rsid w:val="585B1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15</Pages>
  <Words>1215</Words>
  <Characters>6929</Characters>
  <Lines>57</Lines>
  <Paragraphs>16</Paragraphs>
  <TotalTime>10</TotalTime>
  <ScaleCrop>false</ScaleCrop>
  <LinksUpToDate>false</LinksUpToDate>
  <CharactersWithSpaces>8128</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2021-08-09T08:49:00Z</dcterms:created>
  <dc:creator>深度联盟http:/sdwm.org</dc:creator>
  <cp:lastModifiedBy>庞一飞[17702321070]</cp:lastModifiedBy>
  <cp:lastPrinted>2021-08-09T09:19:00Z</cp:lastPrinted>
  <dcterms:modified xsi:type="dcterms:W3CDTF">2022-01-13T06:54:27Z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871670AC458B48FF9A0A5178E160F0A5</vt:lpwstr>
  </property>
</Properties>
</file>