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rPr>
      </w:pPr>
      <w:bookmarkStart w:id="0" w:name="OLE_LINK1"/>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b w:val="0"/>
          <w:bCs w:val="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634" w:lineRule="exact"/>
        <w:textAlignment w:val="auto"/>
        <w:rPr>
          <w:rFonts w:hint="default" w:ascii="Times New Roman" w:hAnsi="Times New Roman" w:eastAsia="方正仿宋_GBK" w:cs="Times New Roman"/>
          <w:b w:val="0"/>
          <w:bCs w:val="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3"/>
        <w:rPr>
          <w:rFonts w:hint="default" w:ascii="Times New Roman" w:hAnsi="Times New Roman" w:eastAsia="方正仿宋_GBK" w:cs="Times New Roman"/>
          <w:b w:val="0"/>
          <w:bCs w:val="0"/>
          <w:sz w:val="32"/>
          <w:szCs w:val="32"/>
          <w:lang w:eastAsia="zh-CN"/>
        </w:rPr>
      </w:pPr>
    </w:p>
    <w:p>
      <w:pPr>
        <w:pStyle w:val="4"/>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160" w:firstLineChars="5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舟白办事处发〔</w:t>
      </w:r>
      <w:r>
        <w:rPr>
          <w:rFonts w:hint="default" w:ascii="Times New Roman" w:hAnsi="Times New Roman" w:eastAsia="方正仿宋_GBK" w:cs="Times New Roman"/>
          <w:b w:val="0"/>
          <w:bCs w:val="0"/>
          <w:sz w:val="32"/>
          <w:szCs w:val="32"/>
          <w:lang w:val="en-US" w:eastAsia="zh-CN"/>
        </w:rPr>
        <w:t>202</w:t>
      </w: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61</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b w:val="0"/>
          <w:bCs w:val="0"/>
          <w:sz w:val="40"/>
          <w:szCs w:val="44"/>
        </w:rPr>
      </w:pPr>
    </w:p>
    <w:p>
      <w:pPr>
        <w:keepNext w:val="0"/>
        <w:keepLines w:val="0"/>
        <w:pageBreakBefore w:val="0"/>
        <w:widowControl w:val="0"/>
        <w:tabs>
          <w:tab w:val="left" w:pos="3476"/>
        </w:tabs>
        <w:kinsoku/>
        <w:wordWrap/>
        <w:overflowPunct/>
        <w:topLinePunct w:val="0"/>
        <w:bidi w:val="0"/>
        <w:snapToGrid/>
        <w:spacing w:line="594" w:lineRule="exact"/>
        <w:jc w:val="center"/>
        <w:rPr>
          <w:rFonts w:hint="default" w:ascii="Times New Roman" w:hAnsi="Times New Roman" w:eastAsia="方正小标宋_GBK" w:cs="Times New Roman"/>
          <w:b w:val="0"/>
          <w:bCs w:val="0"/>
          <w:sz w:val="44"/>
          <w:szCs w:val="44"/>
          <w:lang w:val="zh-CN"/>
        </w:rPr>
      </w:pPr>
      <w:r>
        <w:rPr>
          <w:rFonts w:hint="default" w:ascii="Times New Roman" w:hAnsi="Times New Roman" w:eastAsia="方正小标宋_GBK" w:cs="Times New Roman"/>
          <w:b w:val="0"/>
          <w:bCs w:val="0"/>
          <w:sz w:val="44"/>
          <w:szCs w:val="44"/>
          <w:lang w:val="zh-CN"/>
        </w:rPr>
        <w:t>黔江区人民政府舟白街道办事处</w:t>
      </w:r>
    </w:p>
    <w:bookmarkEnd w:id="0"/>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Cs/>
          <w:color w:val="000000" w:themeColor="text1"/>
          <w:kern w:val="0"/>
          <w:sz w:val="44"/>
          <w:szCs w:val="44"/>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14:textFill>
            <w14:solidFill>
              <w14:schemeClr w14:val="tx1"/>
            </w14:solidFill>
          </w14:textFill>
        </w:rPr>
        <w:t>关于印发</w:t>
      </w:r>
      <w:r>
        <w:rPr>
          <w:rFonts w:hint="eastAsia" w:ascii="Times New Roman" w:hAnsi="Times New Roman" w:eastAsia="方正小标宋_GBK" w:cs="Times New Roman"/>
          <w:bCs/>
          <w:color w:val="000000" w:themeColor="text1"/>
          <w:kern w:val="0"/>
          <w:sz w:val="44"/>
          <w:szCs w:val="44"/>
          <w:lang w:eastAsia="zh-CN"/>
          <w14:textFill>
            <w14:solidFill>
              <w14:schemeClr w14:val="tx1"/>
            </w14:solidFill>
          </w14:textFill>
        </w:rPr>
        <w:t>《</w:t>
      </w:r>
      <w:r>
        <w:rPr>
          <w:rFonts w:hint="default" w:ascii="Times New Roman" w:hAnsi="Times New Roman" w:eastAsia="方正小标宋_GBK" w:cs="Times New Roman"/>
          <w:bCs/>
          <w:color w:val="000000" w:themeColor="text1"/>
          <w:kern w:val="0"/>
          <w:sz w:val="44"/>
          <w:szCs w:val="44"/>
          <w:lang w:eastAsia="zh-CN"/>
          <w14:textFill>
            <w14:solidFill>
              <w14:schemeClr w14:val="tx1"/>
            </w14:solidFill>
          </w14:textFill>
        </w:rPr>
        <w:t>舟白街道</w:t>
      </w:r>
      <w:r>
        <w:rPr>
          <w:rFonts w:hint="default" w:ascii="Times New Roman" w:hAnsi="Times New Roman" w:eastAsia="方正小标宋_GBK" w:cs="Times New Roman"/>
          <w:bCs/>
          <w:color w:val="000000" w:themeColor="text1"/>
          <w:kern w:val="0"/>
          <w:sz w:val="44"/>
          <w:szCs w:val="44"/>
          <w14:textFill>
            <w14:solidFill>
              <w14:schemeClr w14:val="tx1"/>
            </w14:solidFill>
          </w14:textFill>
        </w:rPr>
        <w:t>2023年化肥农药减量效</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Cs/>
          <w:color w:val="000000" w:themeColor="text1"/>
          <w:kern w:val="0"/>
          <w:sz w:val="44"/>
          <w:szCs w:val="44"/>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14:textFill>
            <w14:solidFill>
              <w14:schemeClr w14:val="tx1"/>
            </w14:solidFill>
          </w14:textFill>
        </w:rPr>
        <w:t>工作</w:t>
      </w:r>
      <w:bookmarkStart w:id="1" w:name="_GoBack"/>
      <w:r>
        <w:rPr>
          <w:rFonts w:hint="default" w:ascii="Times New Roman" w:hAnsi="Times New Roman" w:eastAsia="方正小标宋_GBK" w:cs="Times New Roman"/>
          <w:bCs/>
          <w:color w:val="000000" w:themeColor="text1"/>
          <w:kern w:val="0"/>
          <w:sz w:val="44"/>
          <w:szCs w:val="44"/>
          <w14:textFill>
            <w14:solidFill>
              <w14:schemeClr w14:val="tx1"/>
            </w14:solidFill>
          </w14:textFill>
        </w:rPr>
        <w:t>方</w:t>
      </w:r>
      <w:bookmarkEnd w:id="1"/>
      <w:r>
        <w:rPr>
          <w:rFonts w:hint="default" w:ascii="Times New Roman" w:hAnsi="Times New Roman" w:eastAsia="方正小标宋_GBK" w:cs="Times New Roman"/>
          <w:bCs/>
          <w:color w:val="000000" w:themeColor="text1"/>
          <w:kern w:val="0"/>
          <w:sz w:val="44"/>
          <w:szCs w:val="44"/>
          <w14:textFill>
            <w14:solidFill>
              <w14:schemeClr w14:val="tx1"/>
            </w14:solidFill>
          </w14:textFill>
        </w:rPr>
        <w:t>案</w:t>
      </w:r>
      <w:r>
        <w:rPr>
          <w:rFonts w:hint="eastAsia" w:ascii="Times New Roman" w:hAnsi="Times New Roman" w:eastAsia="方正小标宋_GBK" w:cs="Times New Roman"/>
          <w:bCs/>
          <w:color w:val="000000" w:themeColor="text1"/>
          <w:kern w:val="0"/>
          <w:sz w:val="44"/>
          <w:szCs w:val="44"/>
          <w:lang w:eastAsia="zh-CN"/>
          <w14:textFill>
            <w14:solidFill>
              <w14:schemeClr w14:val="tx1"/>
            </w14:solidFill>
          </w14:textFill>
        </w:rPr>
        <w:t>》</w:t>
      </w:r>
      <w:r>
        <w:rPr>
          <w:rFonts w:hint="default" w:ascii="Times New Roman" w:hAnsi="Times New Roman" w:eastAsia="方正小标宋_GBK" w:cs="Times New Roman"/>
          <w:bCs/>
          <w:color w:val="000000" w:themeColor="text1"/>
          <w:kern w:val="0"/>
          <w:sz w:val="44"/>
          <w:szCs w:val="44"/>
          <w14:textFill>
            <w14:solidFill>
              <w14:schemeClr w14:val="tx1"/>
            </w14:solidFill>
          </w14:textFill>
        </w:rPr>
        <w:t>的通知</w:t>
      </w:r>
    </w:p>
    <w:p>
      <w:pPr>
        <w:keepNext w:val="0"/>
        <w:keepLines w:val="0"/>
        <w:pageBreakBefore w:val="0"/>
        <w:widowControl w:val="0"/>
        <w:kinsoku/>
        <w:wordWrap/>
        <w:overflowPunct/>
        <w:topLinePunct w:val="0"/>
        <w:bidi w:val="0"/>
        <w:snapToGrid/>
        <w:spacing w:line="594"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各社区居(村)委、种植大户、专业合作社、农业企业: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eastAsia="zh-CN"/>
        </w:rPr>
        <w:t>现将《舟白街道</w:t>
      </w:r>
      <w:r>
        <w:rPr>
          <w:rFonts w:hint="default" w:ascii="Times New Roman" w:hAnsi="Times New Roman" w:eastAsia="方正仿宋_GBK" w:cs="Times New Roman"/>
          <w:sz w:val="32"/>
          <w:szCs w:val="32"/>
        </w:rPr>
        <w:t>2023年化肥农药减量增效工作方案</w:t>
      </w:r>
      <w:r>
        <w:rPr>
          <w:rFonts w:hint="default" w:ascii="Times New Roman" w:hAnsi="Times New Roman" w:eastAsia="方正仿宋_GBK" w:cs="Times New Roman"/>
          <w:sz w:val="32"/>
          <w:szCs w:val="32"/>
          <w:lang w:eastAsia="zh-CN"/>
        </w:rPr>
        <w:t>》印发给你们，请结合实际，务实创新地抓好落实，努力实现化肥、农药减量增效，助力农业绿色高质量发展和乡村振兴。</w:t>
      </w:r>
    </w:p>
    <w:p>
      <w:pPr>
        <w:ind w:firstLine="640" w:firstLineChars="200"/>
        <w:rPr>
          <w:rFonts w:hint="default" w:ascii="Times New Roman" w:hAnsi="Times New Roman" w:cs="Times New Roman"/>
        </w:rPr>
      </w:pPr>
      <w:r>
        <w:rPr>
          <w:rFonts w:hint="default" w:ascii="Times New Roman" w:hAnsi="Times New Roman" w:eastAsia="方正仿宋_GBK" w:cs="Times New Roman"/>
          <w:kern w:val="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ind w:left="5110" w:leftChars="1824" w:hanging="1280" w:hangingChars="400"/>
        <w:jc w:val="center"/>
        <w:textAlignment w:val="auto"/>
        <w:rPr>
          <w:rFonts w:hint="default" w:ascii="Times New Roman" w:hAnsi="Times New Roman" w:eastAsia="方正仿宋_GBK"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5110" w:leftChars="1824" w:hanging="1280" w:hangingChars="400"/>
        <w:jc w:val="center"/>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黔江区人民政府舟白街道</w:t>
      </w:r>
      <w:r>
        <w:rPr>
          <w:rFonts w:hint="eastAsia" w:ascii="Times New Roman" w:hAnsi="Times New Roman" w:eastAsia="方正仿宋_GBK" w:cs="Times New Roman"/>
          <w:color w:val="000000"/>
          <w:kern w:val="0"/>
          <w:sz w:val="32"/>
          <w:szCs w:val="32"/>
          <w:lang w:eastAsia="zh-CN"/>
        </w:rPr>
        <w:t>办事</w:t>
      </w:r>
      <w:r>
        <w:rPr>
          <w:rFonts w:hint="default" w:ascii="Times New Roman" w:hAnsi="Times New Roman" w:eastAsia="方正仿宋_GBK" w:cs="Times New Roman"/>
          <w:color w:val="000000"/>
          <w:kern w:val="0"/>
          <w:sz w:val="32"/>
          <w:szCs w:val="32"/>
          <w:lang w:eastAsia="zh-CN"/>
        </w:rPr>
        <w:t>处</w:t>
      </w:r>
    </w:p>
    <w:p>
      <w:pPr>
        <w:keepNext w:val="0"/>
        <w:keepLines w:val="0"/>
        <w:pageBreakBefore w:val="0"/>
        <w:widowControl w:val="0"/>
        <w:kinsoku/>
        <w:wordWrap/>
        <w:overflowPunct/>
        <w:topLinePunct w:val="0"/>
        <w:autoSpaceDE/>
        <w:autoSpaceDN/>
        <w:bidi w:val="0"/>
        <w:adjustRightInd/>
        <w:snapToGrid/>
        <w:spacing w:line="594" w:lineRule="exact"/>
        <w:ind w:left="5107" w:leftChars="2432" w:firstLine="0" w:firstLineChars="0"/>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eastAsia" w:ascii="Times New Roman" w:hAnsi="Times New Roman" w:eastAsia="方正仿宋_GBK" w:cs="Times New Roman"/>
          <w:color w:val="000000"/>
          <w:kern w:val="0"/>
          <w:sz w:val="32"/>
          <w:szCs w:val="32"/>
          <w:lang w:val="en-US" w:eastAsia="zh-CN"/>
        </w:rPr>
        <w:t>9</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18</w:t>
      </w:r>
      <w:r>
        <w:rPr>
          <w:rFonts w:hint="default" w:ascii="Times New Roman" w:hAnsi="Times New Roman" w:eastAsia="方正仿宋_GBK" w:cs="Times New Roman"/>
          <w:color w:val="000000"/>
          <w:kern w:val="0"/>
          <w:sz w:val="32"/>
          <w:szCs w:val="32"/>
        </w:rPr>
        <w:t>日</w:t>
      </w:r>
    </w:p>
    <w:p>
      <w:pPr>
        <w:keepNext w:val="0"/>
        <w:keepLines w:val="0"/>
        <w:pageBreakBefore w:val="0"/>
        <w:widowControl w:val="0"/>
        <w:kinsoku/>
        <w:wordWrap/>
        <w:overflowPunct/>
        <w:topLinePunct w:val="0"/>
        <w:bidi w:val="0"/>
        <w:snapToGrid/>
        <w:spacing w:line="594"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舟白街道</w:t>
      </w:r>
      <w:r>
        <w:rPr>
          <w:rFonts w:hint="default" w:ascii="Times New Roman" w:hAnsi="Times New Roman" w:eastAsia="方正小标宋_GBK" w:cs="Times New Roman"/>
          <w:sz w:val="44"/>
          <w:szCs w:val="44"/>
        </w:rPr>
        <w:t>2023年化肥农药减量增效</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工作方案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jc w:val="center"/>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w:t>
      </w:r>
      <w:r>
        <w:rPr>
          <w:rFonts w:hint="default" w:ascii="Times New Roman" w:hAnsi="Times New Roman" w:eastAsia="方正仿宋_GBK" w:cs="Times New Roman"/>
          <w:sz w:val="32"/>
          <w:szCs w:val="32"/>
          <w:lang w:eastAsia="zh-CN"/>
        </w:rPr>
        <w:t>中央</w:t>
      </w:r>
      <w:r>
        <w:rPr>
          <w:rFonts w:hint="default" w:ascii="Times New Roman" w:hAnsi="Times New Roman" w:eastAsia="方正仿宋_GBK" w:cs="Times New Roman"/>
          <w:sz w:val="32"/>
          <w:szCs w:val="32"/>
        </w:rPr>
        <w:t>一号文件精神及《重庆市农业农村委员会办公室关于印发重庆市2023年化肥农药减量工作方案的通知》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渝农办发〔2023〕81号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要求，全面落实</w:t>
      </w:r>
      <w:r>
        <w:rPr>
          <w:rFonts w:hint="default" w:ascii="Times New Roman" w:hAnsi="Times New Roman" w:eastAsia="方正仿宋_GBK" w:cs="Times New Roman"/>
          <w:sz w:val="32"/>
          <w:szCs w:val="32"/>
          <w:lang w:eastAsia="zh-CN"/>
        </w:rPr>
        <w:t>舟白街道</w:t>
      </w:r>
      <w:r>
        <w:rPr>
          <w:rFonts w:hint="default" w:ascii="Times New Roman" w:hAnsi="Times New Roman" w:eastAsia="方正仿宋_GBK" w:cs="Times New Roman"/>
          <w:sz w:val="32"/>
          <w:szCs w:val="32"/>
        </w:rPr>
        <w:t>2023年化肥农药减量目标任务，结合</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树立“增产施肥、经济施肥、环保施肥”和“预防为主、综合防治、绿色植保”工作理念，以单位面积用量高的地区、作物和新型经营主体为重点，因地制宜推广配方肥、有机肥、水肥一体化、秸秆还田、绿肥栽培等化肥农药减量重点技术和抗病品种、绿色防控、专业化统防统治等农药减量重点技术，优化施肥用药结构，持续推进全区化肥农药稳中有降，力争</w:t>
      </w:r>
      <w:r>
        <w:rPr>
          <w:rFonts w:hint="default" w:ascii="Times New Roman" w:hAnsi="Times New Roman" w:eastAsia="方正仿宋_GBK" w:cs="Times New Roman"/>
          <w:kern w:val="0"/>
          <w:sz w:val="32"/>
          <w:szCs w:val="32"/>
        </w:rPr>
        <w:t>全区化肥农药使用量保持负增长。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二、深入推进化肥减量工作</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lang w:val="en-US" w:eastAsia="zh-CN"/>
        </w:rPr>
        <w:t>有效提升肥料利用率43%以上</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测土配方施肥提升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开展田间肥效试验：</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在2022年油菜青还田、秸秆还田核心示范片上在后续作物上设置对照试验田块，通过田间对照试验结果进行示范效果评价。</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在粮油、蔬菜、及特经作物上开展田间肥效试验6个以上，验证配方施肥、新型肥料等技术的应用效果，为科学减量施肥提供依据。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（二）</w:t>
      </w:r>
      <w:r>
        <w:rPr>
          <w:rFonts w:hint="default" w:ascii="Times New Roman" w:hAnsi="Times New Roman" w:eastAsia="方正楷体_GBK" w:cs="Times New Roman"/>
          <w:sz w:val="32"/>
          <w:szCs w:val="32"/>
        </w:rPr>
        <w:t>持续开展施肥调查工作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全面开展</w:t>
      </w:r>
      <w:r>
        <w:rPr>
          <w:rFonts w:hint="default" w:ascii="Times New Roman" w:hAnsi="Times New Roman" w:eastAsia="方正仿宋_GBK" w:cs="Times New Roman"/>
          <w:sz w:val="32"/>
          <w:szCs w:val="32"/>
        </w:rPr>
        <w:t>施肥调查，</w:t>
      </w:r>
      <w:r>
        <w:rPr>
          <w:rFonts w:hint="default" w:ascii="Times New Roman" w:hAnsi="Times New Roman" w:eastAsia="方正仿宋_GBK" w:cs="Times New Roman"/>
          <w:sz w:val="32"/>
          <w:szCs w:val="32"/>
          <w:lang w:eastAsia="zh-CN"/>
        </w:rPr>
        <w:t>推进</w:t>
      </w:r>
      <w:r>
        <w:rPr>
          <w:rFonts w:hint="default" w:ascii="Times New Roman" w:hAnsi="Times New Roman" w:eastAsia="方正仿宋_GBK" w:cs="Times New Roman"/>
          <w:sz w:val="32"/>
          <w:szCs w:val="32"/>
        </w:rPr>
        <w:t>测土配方施肥技术推广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主要对作物施肥情况和肥料使用效果调查，将调查数据按时录入系统。系统开展农药使用种类、使用量、使用强度等监测，通过全国农药</w:t>
      </w:r>
      <w:r>
        <w:rPr>
          <w:rFonts w:hint="eastAsia" w:ascii="Times New Roman" w:hAnsi="Times New Roman" w:eastAsia="方正仿宋_GBK" w:cs="Times New Roman"/>
          <w:sz w:val="32"/>
          <w:szCs w:val="32"/>
          <w:lang w:eastAsia="zh-CN"/>
        </w:rPr>
        <w:t>机</w:t>
      </w:r>
      <w:r>
        <w:rPr>
          <w:rFonts w:hint="default" w:ascii="Times New Roman" w:hAnsi="Times New Roman" w:eastAsia="方正仿宋_GBK" w:cs="Times New Roman"/>
          <w:sz w:val="32"/>
          <w:szCs w:val="32"/>
        </w:rPr>
        <w:t>械信息管理系统，按时录入调查数据，及时做好数据审核与提交，为研判分析本辖区的农药使用结构、使用量、使用强度等提供支撑。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（三）</w:t>
      </w:r>
      <w:r>
        <w:rPr>
          <w:rFonts w:hint="default" w:ascii="Times New Roman" w:hAnsi="Times New Roman" w:eastAsia="方正楷体_GBK" w:cs="Times New Roman"/>
          <w:sz w:val="32"/>
          <w:szCs w:val="32"/>
        </w:rPr>
        <w:t>更新施肥推荐配方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推荐配方肥应用面积达种植面积的90%以上，推广措施：</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及时发放张贴配方卡，实现规模种植户、肥料经销点全覆盖</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“作物施肥推荐系统”，为规模种植业主提供科学施肥指导建议。</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与肥料生产企业和肥料经销商对接，引导合作企业按</w:t>
      </w:r>
      <w:r>
        <w:rPr>
          <w:rFonts w:hint="eastAsia" w:ascii="Times New Roman" w:hAnsi="Times New Roman" w:eastAsia="方正仿宋_GBK" w:cs="Times New Roman"/>
          <w:sz w:val="32"/>
          <w:szCs w:val="32"/>
          <w:lang w:eastAsia="zh-CN"/>
        </w:rPr>
        <w:t>配</w:t>
      </w:r>
      <w:r>
        <w:rPr>
          <w:rFonts w:hint="default" w:ascii="Times New Roman" w:hAnsi="Times New Roman" w:eastAsia="方正仿宋_GBK" w:cs="Times New Roman"/>
          <w:sz w:val="32"/>
          <w:szCs w:val="32"/>
        </w:rPr>
        <w:t>方生产经营配方肥，引导经销商将配方肥进乡进村进农户到田块，</w:t>
      </w:r>
      <w:r>
        <w:rPr>
          <w:rFonts w:hint="default" w:ascii="Times New Roman" w:hAnsi="Times New Roman" w:eastAsia="方正仿宋_GBK" w:cs="Times New Roman"/>
          <w:b/>
          <w:bCs/>
          <w:sz w:val="32"/>
          <w:szCs w:val="32"/>
        </w:rPr>
        <w:t>四是</w:t>
      </w:r>
      <w:r>
        <w:rPr>
          <w:rFonts w:hint="default" w:ascii="Times New Roman" w:hAnsi="Times New Roman" w:eastAsia="方正仿宋_GBK" w:cs="Times New Roman"/>
          <w:sz w:val="32"/>
          <w:szCs w:val="32"/>
        </w:rPr>
        <w:t>建1个以上配方肥销售点，并将</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作物施肥推荐卡配发到销售点或种植大户，由肥料销售点再发送到农户手中，方便按需购肥施肥，</w:t>
      </w:r>
      <w:r>
        <w:rPr>
          <w:rFonts w:hint="default" w:ascii="Times New Roman" w:hAnsi="Times New Roman" w:eastAsia="方正仿宋_GBK" w:cs="Times New Roman"/>
          <w:b/>
          <w:bCs/>
          <w:sz w:val="32"/>
          <w:szCs w:val="32"/>
        </w:rPr>
        <w:t>五是</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农业技术服务中心按时节对</w:t>
      </w:r>
      <w:r>
        <w:rPr>
          <w:rFonts w:hint="default" w:ascii="Times New Roman" w:hAnsi="Times New Roman" w:eastAsia="方正仿宋_GBK" w:cs="Times New Roman"/>
          <w:sz w:val="32"/>
          <w:szCs w:val="32"/>
          <w:lang w:eastAsia="zh-CN"/>
        </w:rPr>
        <w:t>村居干部</w:t>
      </w:r>
      <w:r>
        <w:rPr>
          <w:rFonts w:hint="default" w:ascii="Times New Roman" w:hAnsi="Times New Roman" w:eastAsia="方正仿宋_GBK" w:cs="Times New Roman"/>
          <w:sz w:val="32"/>
          <w:szCs w:val="32"/>
        </w:rPr>
        <w:t>、肥料经销、农业企业、种植大人员进行培训，促进作物配方肥落地。</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化肥减量示范推进</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创建配方肥应用及绿色防控示范：结合</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优质粮油示范规划区域集成建立水稻配方肥与机械侧深施示范、水稻机飞施肥示范、玉米大豆带状种植配方肥与种肥同播示范、油菜配方肥与种肥同播示范、油菜机飞播种施肥示范。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创建“三新”集成配套核心示范片</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亩：</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建立绿肥-稻新型肥料示范片、</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建立稻-油新型肥料示范片、</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建立蚕桑配方肥新型机械深施示范片。核心示范区实现“三有四落地”，即有标牌、有台账、有示范效果测产意见；实现面积落地、技术落地、作物落地、效果落地。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做好科学施肥技术培训指导</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应用智能化推荐施肥专家系统：积极推广使用智能化推荐施肥专家系统将复杂施肥原理转化为农户易接受、可操作的交互界面，努力解决推荐施肥最后1公里技术难题。</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应用市级施肥推荐系统：通过市级施肥推荐系统，及时为规模种植业主提供土壤养分数据及推荐配方。加强测土配方施肥合作企业管理，引导合作企业按</w:t>
      </w:r>
      <w:r>
        <w:rPr>
          <w:rFonts w:hint="eastAsia" w:ascii="Times New Roman" w:hAnsi="Times New Roman" w:eastAsia="方正仿宋_GBK" w:cs="Times New Roman"/>
          <w:sz w:val="32"/>
          <w:szCs w:val="32"/>
          <w:lang w:eastAsia="zh-CN"/>
        </w:rPr>
        <w:t>配</w:t>
      </w:r>
      <w:r>
        <w:rPr>
          <w:rFonts w:hint="default" w:ascii="Times New Roman" w:hAnsi="Times New Roman" w:eastAsia="方正仿宋_GBK" w:cs="Times New Roman"/>
          <w:sz w:val="32"/>
          <w:szCs w:val="32"/>
        </w:rPr>
        <w:t>方生产配方肥，组织规模种植户与合作企业加强对接。积极引导配方肥进乡</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农资店，拓宽普通农户购买配方肥产品渠道。</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开展线下技术培训：</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农服中心对</w:t>
      </w:r>
      <w:r>
        <w:rPr>
          <w:rFonts w:hint="default" w:ascii="Times New Roman" w:hAnsi="Times New Roman" w:eastAsia="方正仿宋_GBK" w:cs="Times New Roman"/>
          <w:sz w:val="32"/>
          <w:szCs w:val="32"/>
          <w:lang w:eastAsia="zh-CN"/>
        </w:rPr>
        <w:t>村居干部</w:t>
      </w:r>
      <w:r>
        <w:rPr>
          <w:rFonts w:hint="default" w:ascii="Times New Roman" w:hAnsi="Times New Roman" w:eastAsia="方正仿宋_GBK" w:cs="Times New Roman"/>
          <w:sz w:val="32"/>
          <w:szCs w:val="32"/>
        </w:rPr>
        <w:t>、经销商、规模种植户进行施肥技术培训，重点强化规模种植户科学施肥培训指导，利用春耕生产及秋收进行现场培训，建立培训档案，</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开展1次及以上科学施肥（化肥农药减量）技术培训活动，带动普通农户提高科学施肥技术认知度，加快新技术新品种新机具推广应用。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三、深入推进化学农药减量工作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楷体_GBK" w:cs="Times New Roman"/>
          <w:sz w:val="32"/>
          <w:szCs w:val="32"/>
        </w:rPr>
        <w:t>强化农作物病虫疫情监测预警</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分利用财政资金，抢抓“十四五”动植物能力提升工程项目建设机遇，提高病虫害测报手段和防治研究水平，实现“聚点成网”，确保农作物重大病虫和突发、爆发病虫早发现、早报告。强化病虫发生趋势会商研判，创新多元化、可视化预警信息发布方式，及时发布病虫情报，提升病虫害科学防控能力，减少化学农药的使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（二）</w:t>
      </w:r>
      <w:r>
        <w:rPr>
          <w:rFonts w:hint="default" w:ascii="Times New Roman" w:hAnsi="Times New Roman" w:eastAsia="方正楷体_GBK" w:cs="Times New Roman"/>
          <w:sz w:val="32"/>
          <w:szCs w:val="32"/>
        </w:rPr>
        <w:t>强化绿色防控与统防统治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建立绿色防控与统防统治示范</w:t>
      </w:r>
      <w:r>
        <w:rPr>
          <w:rFonts w:hint="default" w:ascii="Times New Roman" w:hAnsi="Times New Roman" w:eastAsia="方正仿宋_GBK" w:cs="Times New Roman"/>
          <w:sz w:val="32"/>
          <w:szCs w:val="32"/>
          <w:lang w:eastAsia="zh-CN"/>
        </w:rPr>
        <w:t>片</w:t>
      </w:r>
      <w:r>
        <w:rPr>
          <w:rFonts w:hint="default" w:ascii="Times New Roman" w:hAnsi="Times New Roman" w:eastAsia="方正仿宋_GBK" w:cs="Times New Roman"/>
          <w:sz w:val="32"/>
          <w:szCs w:val="32"/>
        </w:rPr>
        <w:t>。覆盖重点粮油作物，示范推广绿色防控技术，形成一批防治效果好、操作简便的绿色防控技术模式，主要农作物病虫害绿色防控覆盖率</w:t>
      </w:r>
      <w:r>
        <w:rPr>
          <w:rFonts w:hint="default" w:ascii="Times New Roman" w:hAnsi="Times New Roman" w:eastAsia="方正仿宋_GBK" w:cs="Times New Roman"/>
          <w:sz w:val="32"/>
          <w:szCs w:val="32"/>
          <w:lang w:bidi="en-US"/>
        </w:rPr>
        <w:t>较上年提高2个百分点以上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推进专业化统防统治。全方位加大对专业化防治服务组织的扶持力度，扶持一批专业化统防统治组织，因地制宜推广全程承包和应急防治技术服务，三大粮食作物病虫害</w:t>
      </w:r>
      <w:r>
        <w:rPr>
          <w:rFonts w:hint="default" w:ascii="Times New Roman" w:hAnsi="Times New Roman" w:eastAsia="方正仿宋_GBK" w:cs="Times New Roman"/>
          <w:sz w:val="32"/>
          <w:szCs w:val="32"/>
          <w:lang w:bidi="en-US"/>
        </w:rPr>
        <w:t>统防统治覆盖率保持在44.6%以上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推进科学用药。加大农药科学安全使用技术宣传引导力度，全年开展培训</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人次以上，针对重点地区、作物、病虫害、种植户，推广应用高效低毒低用量农药、高效植保机械、农药减量助剂等技术措施，降低中高毒农药使用比例，健全完善农药包装废弃物回收及处理体系与机制。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（三）</w:t>
      </w:r>
      <w:r>
        <w:rPr>
          <w:rFonts w:hint="default" w:ascii="Times New Roman" w:hAnsi="Times New Roman" w:eastAsia="方正楷体_GBK" w:cs="Times New Roman"/>
          <w:sz w:val="32"/>
          <w:szCs w:val="32"/>
        </w:rPr>
        <w:t>持续开展农药使用监测评估工作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农药使用监测评估调查，系统开展农药使用种类、使用量、使用强度等监测，通过全国农药</w:t>
      </w:r>
      <w:r>
        <w:rPr>
          <w:rFonts w:hint="eastAsia" w:ascii="Times New Roman" w:hAnsi="Times New Roman" w:eastAsia="方正仿宋_GBK" w:cs="Times New Roman"/>
          <w:sz w:val="32"/>
          <w:szCs w:val="32"/>
          <w:lang w:eastAsia="zh-CN"/>
        </w:rPr>
        <w:t>机</w:t>
      </w:r>
      <w:r>
        <w:rPr>
          <w:rFonts w:hint="default" w:ascii="Times New Roman" w:hAnsi="Times New Roman" w:eastAsia="方正仿宋_GBK" w:cs="Times New Roman"/>
          <w:sz w:val="32"/>
          <w:szCs w:val="32"/>
        </w:rPr>
        <w:t>械信息管理系统，按时录入调查数据，及时做好数据审核与提交，为研判分析本辖区的农药使用结构、使用量、使用强度等提供支撑。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（四）</w:t>
      </w:r>
      <w:r>
        <w:rPr>
          <w:rFonts w:hint="default" w:ascii="Times New Roman" w:hAnsi="Times New Roman" w:eastAsia="方正楷体_GBK" w:cs="Times New Roman"/>
          <w:sz w:val="32"/>
          <w:szCs w:val="32"/>
        </w:rPr>
        <w:t>强化示范引领与技术储备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抓好试验示范与集成创新。根据产业发展实际，积极探索开展生物农药、理化诱控、环境友好型化学农药、高效植保器械等农药减量新技术的试验示范，探索储备一批技术模式。目前正在开展三氟苯嘧啶防治稻飞虱试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四、强化组织保障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（一）强化组织领导</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sz w:val="32"/>
          <w:szCs w:val="32"/>
          <w:lang w:eastAsia="zh-CN"/>
        </w:rPr>
        <w:t>街道成立以党工委书记和办事处主任为双组长、分管领导和驻村领导为副组长，党政办、财政所、司法所、农业服务中心等为成员的领导小组，领导小组下设办公室在农业服务中心，由赵世兵同志任办公室主任，统筹相关工作。</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村居</w:t>
      </w:r>
      <w:r>
        <w:rPr>
          <w:rFonts w:hint="default" w:ascii="Times New Roman" w:hAnsi="Times New Roman" w:eastAsia="方正仿宋_GBK" w:cs="Times New Roman"/>
          <w:sz w:val="32"/>
          <w:szCs w:val="32"/>
        </w:rPr>
        <w:t>要结合实际制定工作方案，成立相应的协调指导小组，并报</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农技中心备案。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（二）</w:t>
      </w:r>
      <w:r>
        <w:rPr>
          <w:rFonts w:hint="default" w:ascii="Times New Roman" w:hAnsi="Times New Roman" w:eastAsia="方正楷体_GBK" w:cs="Times New Roman"/>
          <w:sz w:val="32"/>
          <w:szCs w:val="32"/>
        </w:rPr>
        <w:t>强化调度调查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lang w:eastAsia="zh-CN"/>
        </w:rPr>
        <w:t>村居</w:t>
      </w:r>
      <w:r>
        <w:rPr>
          <w:rFonts w:hint="default" w:ascii="Times New Roman" w:hAnsi="Times New Roman" w:eastAsia="方正仿宋_GBK" w:cs="Times New Roman"/>
          <w:sz w:val="32"/>
          <w:szCs w:val="32"/>
        </w:rPr>
        <w:t>要围绕重点减量技术，及时收集汇总相关技术推广情况。</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强化农事记录与减量调查。要督促指导农产品生产企业、农民专业合作等经济组织依法建立健全生产记录，如实记载使用化肥农药的名称、来源、用法、用量和使用、停用的日期（见附件2）。应科学合理确定规模种植户的生产规模标准，建立清单。12月中旬前，结合农事记录，完成调查规模种植户（示范户）化肥农药使用情况，找准用量高的业主，重点开展培训指导，形成减量效果汇总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（三）</w:t>
      </w:r>
      <w:r>
        <w:rPr>
          <w:rFonts w:hint="default" w:ascii="Times New Roman" w:hAnsi="Times New Roman" w:eastAsia="方正楷体_GBK" w:cs="Times New Roman"/>
          <w:sz w:val="32"/>
          <w:szCs w:val="32"/>
        </w:rPr>
        <w:t>加强执法检查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农业</w:t>
      </w:r>
      <w:r>
        <w:rPr>
          <w:rFonts w:hint="default" w:ascii="Times New Roman" w:hAnsi="Times New Roman" w:eastAsia="方正仿宋_GBK" w:cs="Times New Roman"/>
          <w:sz w:val="32"/>
          <w:szCs w:val="32"/>
          <w:lang w:eastAsia="zh-CN"/>
        </w:rPr>
        <w:t>服务中心</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bCs/>
          <w:sz w:val="32"/>
          <w:szCs w:val="32"/>
          <w:lang w:eastAsia="zh-CN"/>
        </w:rPr>
        <w:t>村居</w:t>
      </w:r>
      <w:r>
        <w:rPr>
          <w:rFonts w:hint="default" w:ascii="Times New Roman" w:hAnsi="Times New Roman" w:eastAsia="方正仿宋_GBK" w:cs="Times New Roman"/>
          <w:sz w:val="32"/>
          <w:szCs w:val="32"/>
        </w:rPr>
        <w:t>要根据《中华人民共和国农产品质量安全法》相关要求，加强农产品生产企业、农民专业合作社、农业社会化服务组织农事记录的执法检查，发现问题及时督促整改，符合立案的依法查处。要加强农药和肥料市场监督管理，严厉打击生产销售假劣产品违法行为，确保农户用上放心肥放心药，及时将发现的违法线索移交农业执法机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（四）</w:t>
      </w:r>
      <w:r>
        <w:rPr>
          <w:rFonts w:hint="default" w:ascii="Times New Roman" w:hAnsi="Times New Roman" w:eastAsia="方正楷体_GBK" w:cs="Times New Roman"/>
          <w:sz w:val="32"/>
          <w:szCs w:val="32"/>
        </w:rPr>
        <w:t>加强绩效评估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sz w:val="32"/>
          <w:szCs w:val="32"/>
        </w:rPr>
        <w:t>围绕全年重点工作做好2023年化肥农药减量绩效评估。各</w:t>
      </w:r>
      <w:r>
        <w:rPr>
          <w:rFonts w:hint="default" w:ascii="Times New Roman" w:hAnsi="Times New Roman" w:eastAsia="方正仿宋_GBK" w:cs="Times New Roman"/>
          <w:bCs/>
          <w:sz w:val="32"/>
          <w:szCs w:val="32"/>
          <w:lang w:eastAsia="zh-CN"/>
        </w:rPr>
        <w:t>村居</w:t>
      </w:r>
      <w:r>
        <w:rPr>
          <w:rFonts w:hint="default" w:ascii="Times New Roman" w:hAnsi="Times New Roman" w:eastAsia="方正仿宋_GBK" w:cs="Times New Roman"/>
          <w:color w:val="000000" w:themeColor="text1"/>
          <w:sz w:val="32"/>
          <w:szCs w:val="32"/>
          <w14:textFill>
            <w14:solidFill>
              <w14:schemeClr w14:val="tx1"/>
            </w14:solidFill>
          </w14:textFill>
        </w:rPr>
        <w:t>按照</w:t>
      </w:r>
      <w:r>
        <w:rPr>
          <w:rFonts w:hint="default" w:ascii="Times New Roman" w:hAnsi="Times New Roman" w:eastAsia="方正仿宋_GBK" w:cs="Times New Roman"/>
          <w:bCs/>
          <w:color w:val="000000" w:themeColor="text1"/>
          <w:sz w:val="32"/>
          <w:szCs w:val="32"/>
          <w14:textFill>
            <w14:solidFill>
              <w14:schemeClr w14:val="tx1"/>
            </w14:solidFill>
          </w14:textFill>
        </w:rPr>
        <w:t>2023年化肥农药减量增效绩效评价指标表</w:t>
      </w:r>
      <w:r>
        <w:rPr>
          <w:rFonts w:hint="default" w:ascii="Times New Roman" w:hAnsi="Times New Roman" w:eastAsia="方正仿宋_GBK" w:cs="Times New Roman"/>
          <w:color w:val="000000" w:themeColor="text1"/>
          <w:sz w:val="32"/>
          <w:szCs w:val="32"/>
          <w14:textFill>
            <w14:solidFill>
              <w14:schemeClr w14:val="tx1"/>
            </w14:solidFill>
          </w14:textFill>
        </w:rPr>
        <w:t>（附件3），于12月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日前提交化肥农药减量工作总结、绩效评估工作报告，及相关工作佐证材料交黔江区农技服务中心。相关评价结果应用于全区粮食安全考核和乡村振兴考核。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街道</w:t>
      </w:r>
      <w:r>
        <w:rPr>
          <w:rFonts w:hint="default" w:ascii="Times New Roman" w:hAnsi="Times New Roman" w:eastAsia="方正仿宋_GBK" w:cs="Times New Roman"/>
          <w:color w:val="000000" w:themeColor="text1"/>
          <w:sz w:val="32"/>
          <w:szCs w:val="32"/>
          <w14:textFill>
            <w14:solidFill>
              <w14:schemeClr w14:val="tx1"/>
            </w14:solidFill>
          </w14:textFill>
        </w:rPr>
        <w:t>于2023年12月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14:textFill>
            <w14:solidFill>
              <w14:schemeClr w14:val="tx1"/>
            </w14:solidFill>
          </w14:textFill>
        </w:rPr>
        <w:t>日前完成化肥农药减量工作总结、绩效评估形成工作报告，并与相关工作佐证材料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交</w:t>
      </w:r>
      <w:r>
        <w:rPr>
          <w:rFonts w:hint="default" w:ascii="Times New Roman" w:hAnsi="Times New Roman" w:eastAsia="方正仿宋_GBK" w:cs="Times New Roman"/>
          <w:bCs/>
          <w:color w:val="000000" w:themeColor="text1"/>
          <w:sz w:val="32"/>
          <w:szCs w:val="32"/>
          <w14:textFill>
            <w14:solidFill>
              <w14:schemeClr w14:val="tx1"/>
            </w14:solidFill>
          </w14:textFill>
        </w:rPr>
        <w:t>至</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农业服务中心</w:t>
      </w:r>
      <w:r>
        <w:rPr>
          <w:rFonts w:hint="default" w:ascii="Times New Roman" w:hAnsi="Times New Roman" w:eastAsia="方正仿宋_GBK" w:cs="Times New Roman"/>
          <w:bCs/>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绩效评价结果应用于</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街道</w:t>
      </w:r>
      <w:r>
        <w:rPr>
          <w:rFonts w:hint="default" w:ascii="Times New Roman" w:hAnsi="Times New Roman" w:eastAsia="方正仿宋_GBK" w:cs="Times New Roman"/>
          <w:color w:val="000000" w:themeColor="text1"/>
          <w:sz w:val="32"/>
          <w:szCs w:val="32"/>
          <w14:textFill>
            <w14:solidFill>
              <w14:schemeClr w14:val="tx1"/>
            </w14:solidFill>
          </w14:textFill>
        </w:rPr>
        <w:t>年度粮食安全考核。</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（五）</w:t>
      </w:r>
      <w:r>
        <w:rPr>
          <w:rFonts w:hint="default" w:ascii="Times New Roman" w:hAnsi="Times New Roman" w:eastAsia="方正楷体_GBK" w:cs="Times New Roman"/>
          <w:sz w:val="32"/>
          <w:szCs w:val="32"/>
        </w:rPr>
        <w:t>加强政策保障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各</w:t>
      </w:r>
      <w:r>
        <w:rPr>
          <w:rFonts w:hint="default" w:ascii="Times New Roman" w:hAnsi="Times New Roman" w:eastAsia="方正仿宋_GBK" w:cs="Times New Roman"/>
          <w:bCs/>
          <w:sz w:val="32"/>
          <w:szCs w:val="32"/>
          <w:lang w:eastAsia="zh-CN"/>
        </w:rPr>
        <w:t>村居</w:t>
      </w:r>
      <w:r>
        <w:rPr>
          <w:rFonts w:hint="default" w:ascii="Times New Roman" w:hAnsi="Times New Roman" w:eastAsia="方正仿宋_GBK" w:cs="Times New Roman"/>
          <w:bCs/>
          <w:kern w:val="0"/>
          <w:sz w:val="32"/>
          <w:szCs w:val="32"/>
        </w:rPr>
        <w:t>将化肥农药减量增效技术使用作为规模种植户申报实施种植业相关项目的必要条件。可对按照推荐配方生产、销售配方肥的企业申报有机肥采购等财政项目给予倾斜。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（六）</w:t>
      </w:r>
      <w:r>
        <w:rPr>
          <w:rFonts w:hint="default" w:ascii="Times New Roman" w:hAnsi="Times New Roman" w:eastAsia="方正楷体_GBK" w:cs="Times New Roman"/>
          <w:sz w:val="32"/>
          <w:szCs w:val="32"/>
        </w:rPr>
        <w:t>加强人力保障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要充分认识化肥农药减量增效工作的重要性和必要性，逐级建立化肥农药减量增效专人专班，配备懂技术的专业人员加强技术指导，保障减量增效工作有效推进。</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pStyle w:val="4"/>
        <w:ind w:left="0" w:leftChars="0" w:firstLine="0" w:firstLineChars="0"/>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textAlignment w:val="auto"/>
        <w:rPr>
          <w:rFonts w:hint="default" w:ascii="Times New Roman" w:hAnsi="Times New Roman" w:cs="Times New Roman"/>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358775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5pt;margin-top:28.25pt;height:0pt;width:442.2pt;z-index:251659264;mso-width-relative:page;mso-height-relative:page;" filled="f" stroked="t" coordsize="21600,21600" o:gfxdata="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46afvVAAAABgEAAA8AAAAAAAAAAQAgAAAAOAAAAGRycy9kb3ducmV2LnhtbFBLAQIUABQA&#10;AAAIAIdO4kDyyG0T3QEAAJoDAAAOAAAAAAAAAAEAIAAAADoBAABkcnMvZTJvRG9jLnhtbFBLBQYA&#10;AAAABgAGAFkBAACJ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98425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7.75pt;height:0pt;width:442.2pt;z-index:251660288;mso-width-relative:page;mso-height-relative:page;" filled="f" stroked="t" coordsize="21600,21600" o:gfxdata="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DOLwjVAAAABgEAAA8AAAAAAAAAAQAgAAAAOAAAAGRycy9kb3ducmV2LnhtbFBLAQIUABQA&#10;AAAIAIdO4kCPb9iN3QEAAJoDAAAOAAAAAAAAAAEAIAAAADoBAABkcnMvZTJvRG9jLnhtbFBLBQYA&#10;AAAABgAGAFkBAACJ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sz w:val="32"/>
          <w:szCs w:val="32"/>
        </w:rPr>
        <w:t>黔江区</w:t>
      </w:r>
      <w:r>
        <w:rPr>
          <w:rFonts w:hint="default" w:ascii="Times New Roman" w:hAnsi="Times New Roman" w:eastAsia="方正仿宋_GBK" w:cs="Times New Roman"/>
          <w:color w:val="000000"/>
          <w:sz w:val="32"/>
          <w:szCs w:val="32"/>
          <w:lang w:val="en-US" w:eastAsia="zh-CN"/>
        </w:rPr>
        <w:t>舟白街道</w:t>
      </w:r>
      <w:r>
        <w:rPr>
          <w:rFonts w:hint="default" w:ascii="Times New Roman" w:hAnsi="Times New Roman" w:eastAsia="方正仿宋_GBK" w:cs="Times New Roman"/>
          <w:color w:val="000000"/>
          <w:sz w:val="32"/>
          <w:szCs w:val="32"/>
        </w:rPr>
        <w:t xml:space="preserve">党政办公室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18</w:t>
      </w:r>
      <w:r>
        <w:rPr>
          <w:rFonts w:hint="default" w:ascii="Times New Roman" w:hAnsi="Times New Roman" w:eastAsia="方正仿宋_GBK" w:cs="Times New Roman"/>
          <w:color w:val="000000"/>
          <w:sz w:val="32"/>
          <w:szCs w:val="32"/>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宋?">
    <w:altName w:val="方正书宋_GBK"/>
    <w:panose1 w:val="00000000000000000000"/>
    <w:charset w:val="82"/>
    <w:family w:val="auto"/>
    <w:pitch w:val="default"/>
    <w:sig w:usb0="00000000" w:usb1="00000000" w:usb2="00000010" w:usb3="00000000" w:csb0="0020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61B79"/>
    <w:multiLevelType w:val="singleLevel"/>
    <w:tmpl w:val="EED61B7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YTg1Yjc0NjIzZjIwOGE1ZjdlMTk4ZWI5NGY5NGYifQ=="/>
  </w:docVars>
  <w:rsids>
    <w:rsidRoot w:val="104358D8"/>
    <w:rsid w:val="0CF70A27"/>
    <w:rsid w:val="104358D8"/>
    <w:rsid w:val="16B608B0"/>
    <w:rsid w:val="211B29BD"/>
    <w:rsid w:val="289E73E3"/>
    <w:rsid w:val="2DBE4083"/>
    <w:rsid w:val="37146A23"/>
    <w:rsid w:val="50BF6F32"/>
    <w:rsid w:val="50E872EF"/>
    <w:rsid w:val="69F32D31"/>
    <w:rsid w:val="CBF7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 w:cs="Calibr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kern w:val="0"/>
      <w:sz w:val="24"/>
      <w:szCs w:val="24"/>
    </w:rPr>
  </w:style>
  <w:style w:type="paragraph" w:styleId="3">
    <w:name w:val="Body Text"/>
    <w:basedOn w:val="1"/>
    <w:next w:val="4"/>
    <w:qFormat/>
    <w:uiPriority w:val="0"/>
    <w:pPr>
      <w:spacing w:line="600" w:lineRule="exact"/>
    </w:pPr>
    <w:rPr>
      <w:rFonts w:eastAsia="方正小标宋_GBK"/>
      <w:sz w:val="44"/>
    </w:rPr>
  </w:style>
  <w:style w:type="paragraph" w:customStyle="1" w:styleId="4">
    <w:name w:val="索引 61"/>
    <w:basedOn w:val="1"/>
    <w:next w:val="1"/>
    <w:qFormat/>
    <w:uiPriority w:val="0"/>
    <w:pPr>
      <w:ind w:left="2100"/>
    </w:pPr>
  </w:style>
  <w:style w:type="paragraph" w:styleId="5">
    <w:name w:val="footer"/>
    <w:basedOn w:val="1"/>
    <w:next w:val="6"/>
    <w:qFormat/>
    <w:uiPriority w:val="99"/>
    <w:pPr>
      <w:tabs>
        <w:tab w:val="center" w:pos="4153"/>
        <w:tab w:val="right" w:pos="8306"/>
      </w:tabs>
      <w:snapToGrid w:val="0"/>
      <w:jc w:val="left"/>
    </w:pPr>
    <w:rPr>
      <w:sz w:val="18"/>
      <w:szCs w:val="18"/>
    </w:rPr>
  </w:style>
  <w:style w:type="paragraph" w:customStyle="1" w:styleId="6">
    <w:name w:val="索引 51"/>
    <w:next w:val="1"/>
    <w:qFormat/>
    <w:uiPriority w:val="99"/>
    <w:pPr>
      <w:widowControl w:val="0"/>
      <w:ind w:left="1680"/>
      <w:jc w:val="both"/>
    </w:pPr>
    <w:rPr>
      <w:rFonts w:ascii="Calibri" w:hAnsi="Calibri" w:eastAsia="宋?" w:cs="Times New Roman"/>
      <w:kern w:val="2"/>
      <w:sz w:val="21"/>
      <w:szCs w:val="22"/>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Default"/>
    <w:next w:val="1"/>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3406</Words>
  <Characters>3480</Characters>
  <Lines>0</Lines>
  <Paragraphs>0</Paragraphs>
  <TotalTime>14</TotalTime>
  <ScaleCrop>false</ScaleCrop>
  <LinksUpToDate>false</LinksUpToDate>
  <CharactersWithSpaces>3490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2023-08-28T22:23:00Z</dcterms:created>
  <dc:creator>KEN</dc:creator>
  <cp:lastModifiedBy>kylin</cp:lastModifiedBy>
  <cp:lastPrinted>2023-09-06T18:34:00Z</cp:lastPrinted>
  <dcterms:modified xsi:type="dcterms:W3CDTF">2023-10-10T14:15:08Z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778674FDCB49410E918B6BA5BF58970D_13</vt:lpwstr>
  </property>
</Properties>
</file>