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469E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</w:rPr>
      </w:pPr>
    </w:p>
    <w:p w14:paraId="0C31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</w:rPr>
      </w:pPr>
    </w:p>
    <w:p w14:paraId="62BC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</w:rPr>
      </w:pPr>
    </w:p>
    <w:p w14:paraId="7307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</w:rPr>
      </w:pPr>
    </w:p>
    <w:p w14:paraId="5C5D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</w:p>
    <w:p w14:paraId="5FCD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</w:rPr>
      </w:pPr>
    </w:p>
    <w:p w14:paraId="45B5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</w:rPr>
      </w:pPr>
    </w:p>
    <w:p w14:paraId="310C6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中塘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 w14:paraId="5858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09DD1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4BE46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黔江区中塘镇人民政府</w:t>
      </w:r>
    </w:p>
    <w:p w14:paraId="63EF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关于成立食品药品安全应急救援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领导小组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</w:p>
    <w:p w14:paraId="07341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bookmarkEnd w:id="0"/>
    <w:p w14:paraId="62B07E5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right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59750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（居）委、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级各部门：</w:t>
      </w:r>
    </w:p>
    <w:p w14:paraId="104DF9C4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为了建立完善我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突发食品药品安全事故的应急救援制度与运行机制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完善指导重大食品安全突发事件应急处置工作，全程预防、全程控制，最大限度地减少重大食品安全事故的危害，保障人民群众的身体健康和生命安全，维护正常的社会秩序，经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政府研究，决定成立食品药品安全应急救援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领导小组。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食品药品安全应急救援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成员领导小组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及职责如下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4B7A3ABD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食品药品安全应急救援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成员领导小组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成员</w:t>
      </w:r>
    </w:p>
    <w:p w14:paraId="7C96D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邢祖军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党委副书记、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6FA07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周国庆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党委成员、政法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委员、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长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3C1CBD36"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王先奎   (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党委成员、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宣统委员  )</w:t>
      </w:r>
    </w:p>
    <w:p w14:paraId="6EE1EE36"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  员：温晓波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基层治理综合指挥室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3B3EE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肖献忠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经济发展办公室工作人员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24B2BBDD">
      <w:pPr>
        <w:pStyle w:val="2"/>
        <w:ind w:left="1915" w:leftChars="912" w:firstLine="0" w:firstLineChars="0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平安法治办公室负责人、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综合行政执法大队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队长）</w:t>
      </w:r>
    </w:p>
    <w:p w14:paraId="050AA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钟志祥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产业发展服务中心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43B16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荣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（中塘镇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卫生院院长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5E57F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敖登富  （中塘镇中心小学校校长）</w:t>
      </w:r>
    </w:p>
    <w:p w14:paraId="04B18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文绍禄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中塘镇派出所指导员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 w14:paraId="22B60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黄智勇  （中塘社区书记）</w:t>
      </w:r>
    </w:p>
    <w:p w14:paraId="61388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李建峰  （兴泉社区书记）</w:t>
      </w:r>
    </w:p>
    <w:p w14:paraId="57F35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刘  盛  （迎新村书记）</w:t>
      </w:r>
    </w:p>
    <w:p w14:paraId="14FB9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向国永  （双石村书记）</w:t>
      </w:r>
    </w:p>
    <w:p w14:paraId="77413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1920" w:firstLineChars="6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刘太洪  （胜利村书记）</w:t>
      </w:r>
    </w:p>
    <w:p w14:paraId="634B0AAE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食品药品安全应急救援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成员领导小组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下设办公室在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法治办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分管食品药品安全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负责人周国庆书记兼任办公室主任，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法治办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主要负责人冉伟兼任办公室副主任，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负责日常工作。</w:t>
      </w:r>
    </w:p>
    <w:p w14:paraId="4401EBE1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二、主要职责</w:t>
      </w:r>
    </w:p>
    <w:p w14:paraId="41455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食品药品安全应急救援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成员领导小组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党委、政府领导下，负责处置食品药品安全事故工作的统一领导和指挥决策；协调调动应急处置力量和资源；决定采取处置食品药品安全事故的重大措施；确定对外报道口径，适时对外发布新闻。</w:t>
      </w:r>
    </w:p>
    <w:p w14:paraId="0658E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特此通知</w:t>
      </w:r>
    </w:p>
    <w:p w14:paraId="6EB0D8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/>
        </w:rPr>
      </w:pPr>
    </w:p>
    <w:p w14:paraId="75723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B2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黔江区中塘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</w:p>
    <w:p w14:paraId="2150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41F68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eastAsia="方正仿宋_GBK"/>
          <w:sz w:val="32"/>
          <w:szCs w:val="32"/>
        </w:rPr>
      </w:pPr>
    </w:p>
    <w:p w14:paraId="0BB990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eastAsia="方正仿宋_GBK"/>
          <w:sz w:val="32"/>
          <w:szCs w:val="32"/>
        </w:rPr>
      </w:pPr>
    </w:p>
    <w:p w14:paraId="7C6CED3C">
      <w:pPr>
        <w:pStyle w:val="6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E01D76F"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B7FC5CB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4E00D3A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D1B0C40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1706E56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7FE7F1E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6E9E1357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2338692B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A2A018C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19B1E08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6B47B61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DF0CAA4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02301305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E45E040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76AC4409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DCB41F4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9B6090A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815AF3A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F1290B1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FAD08B8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A19395B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2DF46349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23D7D040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130897BB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0DA6534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0791D1C3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FDCD856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2539EE28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010808D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0552F9C6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7DB8E729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074C9ED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17E7B19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5E921D11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5CC1AB0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5B7146F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8D498CF"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23F47EFB">
      <w:pPr>
        <w:rPr>
          <w:rFonts w:hint="default"/>
          <w:lang w:val="en-US" w:eastAsia="zh-CN"/>
        </w:rPr>
      </w:pPr>
    </w:p>
    <w:p w14:paraId="50675AD6"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pacing w:val="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63500</wp:posOffset>
                </wp:positionV>
                <wp:extent cx="5615940" cy="127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8pt;margin-top:5pt;height:0.1pt;width:442.2pt;z-index:251659264;mso-width-relative:page;mso-height-relative:page;" filled="f" stroked="t" coordsize="21600,21600" o:gfxdata="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xCT5vWAAAACAEAAA8AAAAAAAAAAQAgAAAAIgAAAGRycy9kb3du&#10;cmV2LnhtbFBLAQIUABQAAAAIAIdO4kCDfRuLAQIAAO8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17"/>
          <w:sz w:val="28"/>
          <w:szCs w:val="28"/>
        </w:rPr>
        <w:t>黔江区中塘镇</w:t>
      </w:r>
      <w:r>
        <w:rPr>
          <w:rFonts w:hint="default" w:ascii="Times New Roman" w:hAnsi="Times New Roman" w:eastAsia="方正仿宋_GBK" w:cs="Times New Roman"/>
          <w:spacing w:val="17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DFD0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E3D66"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FE3D66"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610" w:firstLine="0"/>
      </w:pPr>
      <w:rPr>
        <w:rFonts w:hint="eastAsia"/>
        <w:lang w:val="en-US"/>
      </w:rPr>
    </w:lvl>
    <w:lvl w:ilvl="2" w:tentative="0">
      <w:start w:val="1"/>
      <w:numFmt w:val="chineseCountingThousand"/>
      <w:suff w:val="nothing"/>
      <w:lvlText w:val="（%3）"/>
      <w:lvlJc w:val="left"/>
      <w:pPr>
        <w:ind w:left="1560" w:firstLine="0"/>
      </w:pPr>
      <w:rPr>
        <w:rFonts w:hint="eastAsia"/>
        <w:lang w:val="en-US"/>
      </w:rPr>
    </w:lvl>
    <w:lvl w:ilvl="3" w:tentative="0">
      <w:start w:val="1"/>
      <w:numFmt w:val="decimal"/>
      <w:pStyle w:val="5"/>
      <w:suff w:val="nothing"/>
      <w:lvlText w:val="%4."/>
      <w:lvlJc w:val="left"/>
      <w:pPr>
        <w:ind w:left="980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62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WMwYjY4ZjhiNzM3YjIzNjJiMWMyNTg5Y2UwNGIifQ=="/>
  </w:docVars>
  <w:rsids>
    <w:rsidRoot w:val="57137155"/>
    <w:rsid w:val="003E2EA7"/>
    <w:rsid w:val="004646B0"/>
    <w:rsid w:val="00A34F6F"/>
    <w:rsid w:val="00AA47A6"/>
    <w:rsid w:val="00E832D6"/>
    <w:rsid w:val="028B570F"/>
    <w:rsid w:val="038D75F5"/>
    <w:rsid w:val="052D5C93"/>
    <w:rsid w:val="08010615"/>
    <w:rsid w:val="0ACC26F6"/>
    <w:rsid w:val="0E6B0F81"/>
    <w:rsid w:val="0E7C5968"/>
    <w:rsid w:val="0F072BC2"/>
    <w:rsid w:val="17311C9A"/>
    <w:rsid w:val="192274B4"/>
    <w:rsid w:val="1DF67388"/>
    <w:rsid w:val="1E5D33D5"/>
    <w:rsid w:val="26915284"/>
    <w:rsid w:val="28E35C78"/>
    <w:rsid w:val="372A3432"/>
    <w:rsid w:val="384D322B"/>
    <w:rsid w:val="3C7B21AD"/>
    <w:rsid w:val="403F72A5"/>
    <w:rsid w:val="495D1973"/>
    <w:rsid w:val="4BF2013C"/>
    <w:rsid w:val="57137155"/>
    <w:rsid w:val="645665E5"/>
    <w:rsid w:val="69E31E28"/>
    <w:rsid w:val="6CB15365"/>
    <w:rsid w:val="731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94" w:lineRule="exact"/>
      <w:jc w:val="center"/>
      <w:outlineLvl w:val="0"/>
    </w:pPr>
    <w:rPr>
      <w:rFonts w:eastAsia="方正小标宋_GBK" w:cs="Times New Roman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ind w:left="0" w:firstLine="200" w:firstLineChars="200"/>
      <w:outlineLvl w:val="1"/>
    </w:pPr>
    <w:rPr>
      <w:rFonts w:hAnsi="Arial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ind w:left="0" w:firstLine="200" w:firstLineChars="200"/>
      <w:outlineLvl w:val="3"/>
    </w:pPr>
    <w:rPr>
      <w:rFonts w:ascii="Arial" w:hAnsi="Arial" w:eastAsia="宋体" w:cs="Times New Roman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eastAsia="宋体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5">
    <w:name w:val="标题 11"/>
    <w:basedOn w:val="1"/>
    <w:qFormat/>
    <w:uiPriority w:val="0"/>
    <w:pPr>
      <w:autoSpaceDE w:val="0"/>
      <w:autoSpaceDN w:val="0"/>
      <w:ind w:left="262"/>
      <w:jc w:val="left"/>
      <w:outlineLvl w:val="1"/>
    </w:pPr>
    <w:rPr>
      <w:rFonts w:ascii="微软雅黑" w:hAnsi="微软雅黑" w:eastAsia="微软雅黑" w:cs="微软雅黑"/>
      <w:b/>
      <w:bCs/>
      <w:kern w:val="0"/>
      <w:sz w:val="44"/>
      <w:szCs w:val="44"/>
      <w:lang w:val="zh-CN" w:bidi="zh-CN"/>
    </w:rPr>
  </w:style>
  <w:style w:type="character" w:customStyle="1" w:styleId="16">
    <w:name w:val="UserStyle_0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7">
    <w:name w:val="NormalCharacter"/>
    <w:qFormat/>
    <w:uiPriority w:val="0"/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589</Characters>
  <Lines>7</Lines>
  <Paragraphs>1</Paragraphs>
  <TotalTime>3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2018-12-18T07:30:00Z</dcterms:created>
  <dc:creator>Administrator</dc:creator>
  <cp:lastModifiedBy>黄玉凤</cp:lastModifiedBy>
  <cp:lastPrinted>2025-05-07T03:12:35Z</cp:lastPrinted>
  <dcterms:modified xsi:type="dcterms:W3CDTF">2025-05-07T03:14:00Z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B15A30748DE4471DAEBFE5C83CD763AF_13</vt:lpwstr>
  </property>
  <property fmtid="{D5CDD505-2E9C-101B-9397-08002B2CF9AE}" pid="4" name="KSOTemplateDocerSaveRecord">
    <vt:lpwstr>eyJoZGlkIjoiMjhjYWMwYjY4ZjhiNzM3YjIzNjJiMWMyNTg5Y2UwNGIifQ==</vt:lpwstr>
  </property>
</Properties>
</file>