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方正小标宋_GBK"/>
          <w:w w:val="90"/>
          <w:sz w:val="54"/>
          <w:szCs w:val="52"/>
        </w:rPr>
      </w:pPr>
      <w:bookmarkStart w:id="5" w:name="_GoBack"/>
      <w:r>
        <w:rPr>
          <w:rFonts w:ascii="Times New Roman" w:hAnsi="Times New Roman" w:eastAsia="方正小标宋_GBK"/>
          <w:w w:val="90"/>
          <w:sz w:val="54"/>
          <w:szCs w:val="52"/>
        </w:rPr>
        <w:t>重庆市黔江区</w:t>
      </w:r>
      <w:r>
        <w:rPr>
          <w:rFonts w:hint="eastAsia" w:ascii="Times New Roman" w:hAnsi="Times New Roman" w:eastAsia="方正小标宋_GBK"/>
          <w:w w:val="90"/>
          <w:sz w:val="54"/>
          <w:szCs w:val="52"/>
        </w:rPr>
        <w:t>2019</w:t>
      </w:r>
      <w:r>
        <w:rPr>
          <w:rFonts w:ascii="Times New Roman" w:hAnsi="Times New Roman" w:eastAsia="方正小标宋_GBK"/>
          <w:w w:val="90"/>
          <w:sz w:val="54"/>
          <w:szCs w:val="52"/>
        </w:rPr>
        <w:t>年预算执行情况</w:t>
      </w:r>
    </w:p>
    <w:p>
      <w:pPr>
        <w:jc w:val="center"/>
        <w:rPr>
          <w:rFonts w:ascii="Times New Roman" w:hAnsi="Times New Roman" w:eastAsia="方正小标宋_GBK"/>
          <w:w w:val="90"/>
          <w:sz w:val="54"/>
          <w:szCs w:val="52"/>
        </w:rPr>
      </w:pPr>
      <w:r>
        <w:rPr>
          <w:rFonts w:ascii="Times New Roman" w:hAnsi="Times New Roman" w:eastAsia="方正小标宋_GBK"/>
          <w:w w:val="90"/>
          <w:sz w:val="54"/>
          <w:szCs w:val="52"/>
        </w:rPr>
        <w:t>和</w:t>
      </w:r>
      <w:r>
        <w:rPr>
          <w:rFonts w:hint="eastAsia" w:ascii="Times New Roman" w:hAnsi="Times New Roman" w:eastAsia="方正小标宋_GBK"/>
          <w:w w:val="90"/>
          <w:sz w:val="54"/>
          <w:szCs w:val="52"/>
        </w:rPr>
        <w:t>2020</w:t>
      </w:r>
      <w:r>
        <w:rPr>
          <w:rFonts w:ascii="Times New Roman" w:hAnsi="Times New Roman" w:eastAsia="方正小标宋_GBK"/>
          <w:w w:val="90"/>
          <w:sz w:val="54"/>
          <w:szCs w:val="52"/>
        </w:rPr>
        <w:t>年预算草案</w:t>
      </w:r>
    </w:p>
    <w:bookmarkEnd w:id="5"/>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hint="eastAsia" w:ascii="Times New Roman" w:hAnsi="Times New Roman" w:eastAsia="方正黑体_GBK"/>
          <w:sz w:val="36"/>
          <w:szCs w:val="36"/>
        </w:rPr>
      </w:pPr>
      <w:r>
        <w:rPr>
          <w:rFonts w:hint="eastAsia" w:ascii="Times New Roman" w:hAnsi="Times New Roman" w:eastAsia="方正黑体_GBK"/>
          <w:sz w:val="36"/>
          <w:szCs w:val="36"/>
        </w:rPr>
        <w:t>2020年5月</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center"/>
        <w:rPr>
          <w:rFonts w:ascii="Times New Roman" w:hAnsi="Times New Roman" w:eastAsia="方正小标宋_GBK"/>
          <w:kern w:val="0"/>
          <w:sz w:val="44"/>
          <w:szCs w:val="44"/>
        </w:rPr>
      </w:pPr>
      <w:bookmarkStart w:id="0" w:name="RANGE!A1:A26"/>
      <w:r>
        <w:rPr>
          <w:rFonts w:ascii="Times New Roman" w:hAnsi="Times New Roman" w:eastAsia="方正小标宋_GBK"/>
          <w:kern w:val="0"/>
          <w:sz w:val="44"/>
          <w:szCs w:val="44"/>
        </w:rPr>
        <w:t>目     录</w:t>
      </w:r>
    </w:p>
    <w:bookmarkEnd w:id="0"/>
    <w:p>
      <w:pPr>
        <w:widowControl/>
        <w:tabs>
          <w:tab w:val="center" w:leader="dot" w:pos="8610"/>
        </w:tabs>
        <w:jc w:val="left"/>
        <w:rPr>
          <w:rFonts w:hint="eastAsia" w:ascii="Times New Roman" w:hAnsi="Times New Roman" w:eastAsia="方正黑体_GBK"/>
          <w:bCs/>
          <w:kern w:val="0"/>
          <w:sz w:val="32"/>
          <w:szCs w:val="32"/>
        </w:rPr>
      </w:pPr>
    </w:p>
    <w:p>
      <w:pPr>
        <w:widowControl/>
        <w:tabs>
          <w:tab w:val="center" w:leader="dot" w:pos="8610"/>
        </w:tabs>
        <w:jc w:val="left"/>
        <w:rPr>
          <w:rFonts w:ascii="Times New Roman" w:hAnsi="Times New Roman" w:eastAsia="方正黑体_GBK"/>
          <w:bCs/>
          <w:kern w:val="0"/>
          <w:sz w:val="32"/>
          <w:szCs w:val="32"/>
        </w:rPr>
      </w:pPr>
      <w:r>
        <w:rPr>
          <w:rFonts w:ascii="Times New Roman" w:hAnsi="Times New Roman" w:eastAsia="方正黑体_GBK"/>
          <w:bCs/>
          <w:kern w:val="0"/>
          <w:sz w:val="32"/>
          <w:szCs w:val="32"/>
        </w:rPr>
        <w:t>第一部分  2019年预算执行情况</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1.2019年区级一般公共预算收支执行表</w:t>
      </w:r>
      <w:r>
        <w:rPr>
          <w:rFonts w:ascii="Times New Roman" w:hAnsi="Times New Roman" w:eastAsia="方正仿宋_GBK"/>
          <w:kern w:val="0"/>
          <w:sz w:val="30"/>
          <w:szCs w:val="30"/>
        </w:rPr>
        <w:tab/>
      </w:r>
      <w:r>
        <w:rPr>
          <w:rFonts w:ascii="Times New Roman" w:hAnsi="Times New Roman" w:eastAsia="方正仿宋_GBK"/>
          <w:kern w:val="0"/>
          <w:sz w:val="30"/>
          <w:szCs w:val="30"/>
        </w:rPr>
        <w:t>1</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2.2019年区级一般公共预算支出执行表</w:t>
      </w:r>
      <w:r>
        <w:rPr>
          <w:rFonts w:ascii="Times New Roman" w:hAnsi="Times New Roman" w:eastAsia="方正仿宋_GBK"/>
          <w:kern w:val="0"/>
          <w:sz w:val="30"/>
          <w:szCs w:val="30"/>
        </w:rPr>
        <w:tab/>
      </w:r>
      <w:r>
        <w:rPr>
          <w:rFonts w:ascii="Times New Roman" w:hAnsi="Times New Roman" w:eastAsia="方正仿宋_GBK"/>
          <w:kern w:val="0"/>
          <w:sz w:val="30"/>
          <w:szCs w:val="30"/>
        </w:rPr>
        <w:t>2</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3.2019年区级一般公共预算转移性收支执行表</w:t>
      </w:r>
      <w:r>
        <w:rPr>
          <w:rFonts w:ascii="Times New Roman" w:hAnsi="Times New Roman" w:eastAsia="方正仿宋_GBK"/>
          <w:kern w:val="0"/>
          <w:sz w:val="30"/>
          <w:szCs w:val="30"/>
        </w:rPr>
        <w:tab/>
      </w:r>
      <w:r>
        <w:rPr>
          <w:rFonts w:ascii="Times New Roman" w:hAnsi="Times New Roman" w:eastAsia="方正仿宋_GBK"/>
          <w:kern w:val="0"/>
          <w:sz w:val="30"/>
          <w:szCs w:val="30"/>
        </w:rPr>
        <w:t>17</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4.2019年区级一般公共预算转移支出执行表（分乡镇）</w:t>
      </w:r>
      <w:r>
        <w:rPr>
          <w:rFonts w:ascii="Times New Roman" w:hAnsi="Times New Roman" w:eastAsia="方正仿宋_GBK"/>
          <w:kern w:val="0"/>
          <w:sz w:val="30"/>
          <w:szCs w:val="30"/>
        </w:rPr>
        <w:tab/>
      </w:r>
      <w:r>
        <w:rPr>
          <w:rFonts w:ascii="Times New Roman" w:hAnsi="Times New Roman" w:eastAsia="方正仿宋_GBK"/>
          <w:kern w:val="0"/>
          <w:sz w:val="30"/>
          <w:szCs w:val="30"/>
        </w:rPr>
        <w:t>19</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5.2019年区级一般公共预算转移支出执行表（分项目）</w:t>
      </w:r>
      <w:r>
        <w:rPr>
          <w:rFonts w:ascii="Times New Roman" w:hAnsi="Times New Roman" w:eastAsia="方正仿宋_GBK"/>
          <w:kern w:val="0"/>
          <w:sz w:val="30"/>
          <w:szCs w:val="30"/>
        </w:rPr>
        <w:tab/>
      </w:r>
      <w:r>
        <w:rPr>
          <w:rFonts w:ascii="Times New Roman" w:hAnsi="Times New Roman" w:eastAsia="方正仿宋_GBK"/>
          <w:kern w:val="0"/>
          <w:sz w:val="30"/>
          <w:szCs w:val="30"/>
        </w:rPr>
        <w:t>20</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6.2019年区级政府性基金预算收支执行表</w:t>
      </w:r>
      <w:r>
        <w:rPr>
          <w:rFonts w:ascii="Times New Roman" w:hAnsi="Times New Roman" w:eastAsia="方正仿宋_GBK"/>
          <w:kern w:val="0"/>
          <w:sz w:val="30"/>
          <w:szCs w:val="30"/>
        </w:rPr>
        <w:tab/>
      </w:r>
      <w:r>
        <w:rPr>
          <w:rFonts w:ascii="Times New Roman" w:hAnsi="Times New Roman" w:eastAsia="方正仿宋_GBK"/>
          <w:kern w:val="0"/>
          <w:sz w:val="30"/>
          <w:szCs w:val="30"/>
        </w:rPr>
        <w:t>22</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7.2019年区级政府性基金预算支出执行表</w:t>
      </w:r>
      <w:r>
        <w:rPr>
          <w:rFonts w:ascii="Times New Roman" w:hAnsi="Times New Roman" w:eastAsia="方正仿宋_GBK"/>
          <w:kern w:val="0"/>
          <w:sz w:val="30"/>
          <w:szCs w:val="30"/>
        </w:rPr>
        <w:tab/>
      </w:r>
      <w:r>
        <w:rPr>
          <w:rFonts w:ascii="Times New Roman" w:hAnsi="Times New Roman" w:eastAsia="方正仿宋_GBK"/>
          <w:kern w:val="0"/>
          <w:sz w:val="30"/>
          <w:szCs w:val="30"/>
        </w:rPr>
        <w:t>23</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8.2019年区级国有资本经营预算收支执行表</w:t>
      </w:r>
      <w:r>
        <w:rPr>
          <w:rFonts w:ascii="Times New Roman" w:hAnsi="Times New Roman" w:eastAsia="方正仿宋_GBK"/>
          <w:kern w:val="0"/>
          <w:sz w:val="30"/>
          <w:szCs w:val="30"/>
        </w:rPr>
        <w:tab/>
      </w:r>
      <w:r>
        <w:rPr>
          <w:rFonts w:ascii="Times New Roman" w:hAnsi="Times New Roman" w:eastAsia="方正仿宋_GBK"/>
          <w:kern w:val="0"/>
          <w:sz w:val="30"/>
          <w:szCs w:val="30"/>
        </w:rPr>
        <w:t>25</w:t>
      </w:r>
    </w:p>
    <w:p>
      <w:pPr>
        <w:widowControl/>
        <w:tabs>
          <w:tab w:val="center" w:leader="dot" w:pos="8610"/>
        </w:tabs>
        <w:jc w:val="left"/>
        <w:rPr>
          <w:rFonts w:hint="eastAsia" w:ascii="Times New Roman" w:hAnsi="Times New Roman" w:eastAsia="方正黑体_GBK"/>
          <w:bCs/>
          <w:kern w:val="0"/>
          <w:sz w:val="32"/>
          <w:szCs w:val="32"/>
        </w:rPr>
      </w:pPr>
    </w:p>
    <w:p>
      <w:pPr>
        <w:widowControl/>
        <w:tabs>
          <w:tab w:val="center" w:leader="dot" w:pos="8610"/>
        </w:tabs>
        <w:jc w:val="left"/>
        <w:rPr>
          <w:rFonts w:ascii="Times New Roman" w:hAnsi="Times New Roman" w:eastAsia="方正黑体_GBK"/>
          <w:bCs/>
          <w:kern w:val="0"/>
          <w:sz w:val="32"/>
          <w:szCs w:val="32"/>
        </w:rPr>
      </w:pPr>
      <w:r>
        <w:rPr>
          <w:rFonts w:ascii="Times New Roman" w:hAnsi="Times New Roman" w:eastAsia="方正黑体_GBK"/>
          <w:bCs/>
          <w:kern w:val="0"/>
          <w:sz w:val="32"/>
          <w:szCs w:val="32"/>
        </w:rPr>
        <w:t>第二部分  2020年预算草案</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9.2020年区级一般公共预算收支预算表（草案）</w:t>
      </w:r>
      <w:r>
        <w:rPr>
          <w:rFonts w:ascii="Times New Roman" w:hAnsi="Times New Roman" w:eastAsia="方正仿宋_GBK"/>
          <w:kern w:val="0"/>
          <w:sz w:val="30"/>
          <w:szCs w:val="30"/>
        </w:rPr>
        <w:tab/>
      </w:r>
      <w:r>
        <w:rPr>
          <w:rFonts w:ascii="Times New Roman" w:hAnsi="Times New Roman" w:eastAsia="方正仿宋_GBK"/>
          <w:kern w:val="0"/>
          <w:sz w:val="30"/>
          <w:szCs w:val="30"/>
        </w:rPr>
        <w:t>26</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10.2020年区级一般公共预算支出预算表（草案）</w:t>
      </w:r>
      <w:r>
        <w:rPr>
          <w:rFonts w:ascii="Times New Roman" w:hAnsi="Times New Roman" w:eastAsia="方正仿宋_GBK"/>
          <w:kern w:val="0"/>
          <w:sz w:val="30"/>
          <w:szCs w:val="30"/>
        </w:rPr>
        <w:tab/>
      </w:r>
      <w:r>
        <w:rPr>
          <w:rFonts w:ascii="Times New Roman" w:hAnsi="Times New Roman" w:eastAsia="方正仿宋_GBK"/>
          <w:kern w:val="0"/>
          <w:sz w:val="30"/>
          <w:szCs w:val="30"/>
        </w:rPr>
        <w:t>27</w:t>
      </w:r>
    </w:p>
    <w:p>
      <w:pPr>
        <w:widowControl/>
        <w:tabs>
          <w:tab w:val="center" w:leader="dot" w:pos="8820"/>
        </w:tabs>
        <w:ind w:firstLine="300" w:firstLineChars="100"/>
        <w:jc w:val="left"/>
        <w:rPr>
          <w:rFonts w:ascii="Times New Roman" w:hAnsi="Times New Roman" w:eastAsia="方正仿宋_GBK"/>
          <w:kern w:val="0"/>
          <w:sz w:val="30"/>
          <w:szCs w:val="30"/>
        </w:rPr>
      </w:pPr>
      <w:r>
        <w:rPr>
          <w:rFonts w:ascii="Times New Roman" w:hAnsi="Times New Roman" w:eastAsia="方正仿宋_GBK"/>
          <w:kern w:val="0"/>
          <w:sz w:val="30"/>
          <w:szCs w:val="30"/>
        </w:rPr>
        <w:t>11.2020年区级一般公共预算支出预算表（草案）</w:t>
      </w:r>
    </w:p>
    <w:p>
      <w:pPr>
        <w:widowControl/>
        <w:tabs>
          <w:tab w:val="center" w:leader="dot" w:pos="8820"/>
        </w:tabs>
        <w:ind w:firstLine="1350" w:firstLineChars="450"/>
        <w:jc w:val="left"/>
        <w:rPr>
          <w:rFonts w:ascii="Times New Roman" w:hAnsi="Times New Roman" w:eastAsia="方正仿宋_GBK"/>
          <w:kern w:val="0"/>
          <w:sz w:val="30"/>
          <w:szCs w:val="30"/>
        </w:rPr>
      </w:pPr>
      <w:r>
        <w:rPr>
          <w:rFonts w:ascii="Times New Roman" w:hAnsi="Times New Roman" w:eastAsia="方正仿宋_GBK"/>
          <w:kern w:val="0"/>
          <w:sz w:val="30"/>
          <w:szCs w:val="30"/>
        </w:rPr>
        <w:t>——按基本支出和项目支出</w:t>
      </w:r>
      <w:r>
        <w:rPr>
          <w:rFonts w:ascii="Times New Roman" w:hAnsi="Times New Roman" w:eastAsia="方正仿宋_GBK"/>
          <w:kern w:val="0"/>
          <w:sz w:val="30"/>
          <w:szCs w:val="30"/>
        </w:rPr>
        <w:tab/>
      </w:r>
      <w:r>
        <w:rPr>
          <w:rFonts w:ascii="Times New Roman" w:hAnsi="Times New Roman" w:eastAsia="方正仿宋_GBK"/>
          <w:kern w:val="0"/>
          <w:sz w:val="30"/>
          <w:szCs w:val="30"/>
        </w:rPr>
        <w:t>43</w:t>
      </w:r>
    </w:p>
    <w:p>
      <w:pPr>
        <w:widowControl/>
        <w:tabs>
          <w:tab w:val="center" w:leader="dot" w:pos="8820"/>
        </w:tabs>
        <w:ind w:firstLine="300" w:firstLineChars="100"/>
        <w:jc w:val="left"/>
        <w:rPr>
          <w:rFonts w:ascii="Times New Roman" w:hAnsi="Times New Roman" w:eastAsia="方正仿宋_GBK"/>
          <w:kern w:val="0"/>
          <w:sz w:val="30"/>
          <w:szCs w:val="30"/>
        </w:rPr>
      </w:pPr>
      <w:r>
        <w:rPr>
          <w:rFonts w:ascii="Times New Roman" w:hAnsi="Times New Roman" w:eastAsia="方正仿宋_GBK"/>
          <w:kern w:val="0"/>
          <w:sz w:val="30"/>
          <w:szCs w:val="30"/>
        </w:rPr>
        <w:t>12.2020年区级一般公共预算基本支出预算表（草案）</w:t>
      </w:r>
    </w:p>
    <w:p>
      <w:pPr>
        <w:widowControl/>
        <w:tabs>
          <w:tab w:val="center" w:leader="dot" w:pos="8820"/>
        </w:tabs>
        <w:ind w:firstLine="1350" w:firstLineChars="450"/>
        <w:jc w:val="left"/>
        <w:rPr>
          <w:rFonts w:ascii="Times New Roman" w:hAnsi="Times New Roman" w:eastAsia="方正仿宋_GBK"/>
          <w:kern w:val="0"/>
          <w:sz w:val="30"/>
          <w:szCs w:val="30"/>
        </w:rPr>
      </w:pPr>
      <w:r>
        <w:rPr>
          <w:rFonts w:ascii="Times New Roman" w:hAnsi="Times New Roman" w:eastAsia="方正仿宋_GBK"/>
          <w:kern w:val="0"/>
          <w:sz w:val="30"/>
          <w:szCs w:val="30"/>
        </w:rPr>
        <w:t>——按经济分类科目</w:t>
      </w:r>
      <w:r>
        <w:rPr>
          <w:rFonts w:ascii="Times New Roman" w:hAnsi="Times New Roman" w:eastAsia="方正仿宋_GBK"/>
          <w:kern w:val="0"/>
          <w:sz w:val="30"/>
          <w:szCs w:val="30"/>
        </w:rPr>
        <w:tab/>
      </w:r>
      <w:r>
        <w:rPr>
          <w:rFonts w:ascii="Times New Roman" w:hAnsi="Times New Roman" w:eastAsia="方正仿宋_GBK"/>
          <w:kern w:val="0"/>
          <w:sz w:val="30"/>
          <w:szCs w:val="30"/>
        </w:rPr>
        <w:t>44</w:t>
      </w:r>
    </w:p>
    <w:p>
      <w:pPr>
        <w:widowControl/>
        <w:tabs>
          <w:tab w:val="center" w:leader="dot" w:pos="8820"/>
        </w:tabs>
        <w:ind w:firstLine="300" w:firstLineChars="100"/>
        <w:rPr>
          <w:rFonts w:hint="eastAsia" w:ascii="Times New Roman" w:hAnsi="Times New Roman" w:eastAsia="方正仿宋_GBK"/>
          <w:kern w:val="0"/>
          <w:sz w:val="30"/>
          <w:szCs w:val="30"/>
        </w:rPr>
      </w:pPr>
      <w:r>
        <w:rPr>
          <w:rFonts w:ascii="Times New Roman" w:hAnsi="Times New Roman" w:eastAsia="方正仿宋_GBK"/>
          <w:kern w:val="0"/>
          <w:sz w:val="30"/>
          <w:szCs w:val="30"/>
        </w:rPr>
        <w:t>13.2020年区级一般公共预算转移性收支预算表（草案）</w:t>
      </w:r>
      <w:r>
        <w:rPr>
          <w:rFonts w:ascii="Times New Roman" w:hAnsi="Times New Roman" w:eastAsia="方正仿宋_GBK"/>
          <w:kern w:val="0"/>
          <w:sz w:val="30"/>
          <w:szCs w:val="30"/>
        </w:rPr>
        <w:tab/>
      </w:r>
      <w:r>
        <w:rPr>
          <w:rFonts w:ascii="Times New Roman" w:hAnsi="Times New Roman" w:eastAsia="方正仿宋_GBK"/>
          <w:kern w:val="0"/>
          <w:sz w:val="30"/>
          <w:szCs w:val="30"/>
        </w:rPr>
        <w:t>46</w:t>
      </w:r>
    </w:p>
    <w:p>
      <w:pPr>
        <w:widowControl/>
        <w:tabs>
          <w:tab w:val="center" w:leader="dot" w:pos="8820"/>
        </w:tabs>
        <w:ind w:firstLine="300" w:firstLineChars="100"/>
        <w:rPr>
          <w:rFonts w:hint="eastAsia" w:ascii="Times New Roman" w:hAnsi="Times New Roman" w:eastAsia="方正仿宋_GBK"/>
          <w:kern w:val="0"/>
          <w:sz w:val="30"/>
          <w:szCs w:val="30"/>
        </w:rPr>
      </w:pPr>
      <w:r>
        <w:rPr>
          <w:rFonts w:hint="eastAsia" w:ascii="Times New Roman" w:hAnsi="Times New Roman" w:eastAsia="方正仿宋_GBK"/>
          <w:kern w:val="0"/>
          <w:sz w:val="30"/>
          <w:szCs w:val="30"/>
        </w:rPr>
        <w:t>14.2020年区级一般公共预算转移支付支出</w:t>
      </w:r>
      <w:r>
        <w:rPr>
          <w:rFonts w:ascii="Times New Roman" w:hAnsi="Times New Roman" w:eastAsia="方正仿宋_GBK"/>
          <w:kern w:val="0"/>
          <w:sz w:val="30"/>
          <w:szCs w:val="30"/>
        </w:rPr>
        <w:t>预算表（草案）</w:t>
      </w:r>
    </w:p>
    <w:p>
      <w:pPr>
        <w:widowControl/>
        <w:tabs>
          <w:tab w:val="center" w:leader="dot" w:pos="8820"/>
        </w:tabs>
        <w:ind w:firstLine="1350" w:firstLineChars="450"/>
        <w:rPr>
          <w:rFonts w:hint="eastAsia" w:ascii="Times New Roman" w:hAnsi="Times New Roman" w:eastAsia="方正仿宋_GBK"/>
          <w:kern w:val="0"/>
          <w:sz w:val="30"/>
          <w:szCs w:val="30"/>
        </w:rPr>
      </w:pPr>
      <w:r>
        <w:rPr>
          <w:rFonts w:hint="eastAsia" w:ascii="Times New Roman" w:hAnsi="Times New Roman" w:eastAsia="方正仿宋_GBK"/>
          <w:kern w:val="0"/>
          <w:sz w:val="30"/>
          <w:szCs w:val="30"/>
        </w:rPr>
        <w:t>——</w:t>
      </w:r>
      <w:r>
        <w:rPr>
          <w:rFonts w:ascii="Times New Roman" w:hAnsi="Times New Roman" w:eastAsia="方正仿宋_GBK"/>
          <w:kern w:val="0"/>
          <w:sz w:val="30"/>
          <w:szCs w:val="30"/>
        </w:rPr>
        <w:t>分</w:t>
      </w:r>
      <w:r>
        <w:rPr>
          <w:rFonts w:hint="eastAsia" w:ascii="Times New Roman" w:hAnsi="Times New Roman" w:eastAsia="方正仿宋_GBK"/>
          <w:kern w:val="0"/>
          <w:sz w:val="30"/>
          <w:szCs w:val="30"/>
        </w:rPr>
        <w:t>乡镇</w:t>
      </w:r>
      <w:r>
        <w:rPr>
          <w:rFonts w:hint="eastAsia" w:ascii="Times New Roman" w:hAnsi="Times New Roman" w:eastAsia="方正仿宋_GBK"/>
          <w:kern w:val="0"/>
          <w:sz w:val="30"/>
          <w:szCs w:val="30"/>
        </w:rPr>
        <w:tab/>
      </w:r>
      <w:r>
        <w:rPr>
          <w:rFonts w:hint="eastAsia" w:ascii="Times New Roman" w:hAnsi="Times New Roman" w:eastAsia="方正仿宋_GBK"/>
          <w:kern w:val="0"/>
          <w:sz w:val="30"/>
          <w:szCs w:val="30"/>
        </w:rPr>
        <w:t>48</w:t>
      </w:r>
    </w:p>
    <w:p>
      <w:pPr>
        <w:widowControl/>
        <w:tabs>
          <w:tab w:val="center" w:leader="dot" w:pos="8820"/>
        </w:tabs>
        <w:ind w:firstLine="300" w:firstLineChars="100"/>
        <w:rPr>
          <w:rFonts w:hint="eastAsia" w:ascii="Times New Roman" w:hAnsi="Times New Roman" w:eastAsia="方正仿宋_GBK"/>
          <w:kern w:val="0"/>
          <w:sz w:val="30"/>
          <w:szCs w:val="30"/>
        </w:rPr>
      </w:pPr>
      <w:r>
        <w:rPr>
          <w:rFonts w:hint="eastAsia" w:ascii="Times New Roman" w:hAnsi="Times New Roman" w:eastAsia="方正仿宋_GBK"/>
          <w:kern w:val="0"/>
          <w:sz w:val="30"/>
          <w:szCs w:val="30"/>
        </w:rPr>
        <w:t>15.2020年区级一般公共预算转移支付支出</w:t>
      </w:r>
      <w:r>
        <w:rPr>
          <w:rFonts w:ascii="Times New Roman" w:hAnsi="Times New Roman" w:eastAsia="方正仿宋_GBK"/>
          <w:kern w:val="0"/>
          <w:sz w:val="30"/>
          <w:szCs w:val="30"/>
        </w:rPr>
        <w:t>预算表（草案）</w:t>
      </w:r>
    </w:p>
    <w:p>
      <w:pPr>
        <w:widowControl/>
        <w:tabs>
          <w:tab w:val="center" w:leader="dot" w:pos="8820"/>
        </w:tabs>
        <w:ind w:firstLine="1350" w:firstLineChars="450"/>
        <w:rPr>
          <w:rFonts w:hint="eastAsia" w:ascii="Times New Roman" w:hAnsi="Times New Roman" w:eastAsia="方正仿宋_GBK"/>
          <w:kern w:val="0"/>
          <w:sz w:val="30"/>
          <w:szCs w:val="30"/>
        </w:rPr>
      </w:pPr>
      <w:r>
        <w:rPr>
          <w:rFonts w:hint="eastAsia" w:ascii="Times New Roman" w:hAnsi="Times New Roman" w:eastAsia="方正仿宋_GBK"/>
          <w:kern w:val="0"/>
          <w:sz w:val="30"/>
          <w:szCs w:val="30"/>
        </w:rPr>
        <w:t>——</w:t>
      </w:r>
      <w:r>
        <w:rPr>
          <w:rFonts w:ascii="Times New Roman" w:hAnsi="Times New Roman" w:eastAsia="方正仿宋_GBK"/>
          <w:kern w:val="0"/>
          <w:sz w:val="30"/>
          <w:szCs w:val="30"/>
        </w:rPr>
        <w:t>分项目</w:t>
      </w:r>
      <w:r>
        <w:rPr>
          <w:rFonts w:hint="eastAsia" w:ascii="Times New Roman" w:hAnsi="Times New Roman" w:eastAsia="方正仿宋_GBK"/>
          <w:kern w:val="0"/>
          <w:sz w:val="30"/>
          <w:szCs w:val="30"/>
        </w:rPr>
        <w:tab/>
      </w:r>
      <w:r>
        <w:rPr>
          <w:rFonts w:hint="eastAsia" w:ascii="Times New Roman" w:hAnsi="Times New Roman" w:eastAsia="方正仿宋_GBK"/>
          <w:kern w:val="0"/>
          <w:sz w:val="30"/>
          <w:szCs w:val="30"/>
        </w:rPr>
        <w:t>49</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w:t>
      </w:r>
      <w:r>
        <w:rPr>
          <w:rFonts w:hint="eastAsia" w:ascii="Times New Roman" w:hAnsi="Times New Roman" w:eastAsia="方正仿宋_GBK"/>
          <w:kern w:val="0"/>
          <w:sz w:val="30"/>
          <w:szCs w:val="30"/>
        </w:rPr>
        <w:t>6</w:t>
      </w:r>
      <w:r>
        <w:rPr>
          <w:rFonts w:ascii="Times New Roman" w:hAnsi="Times New Roman" w:eastAsia="方正仿宋_GBK"/>
          <w:kern w:val="0"/>
          <w:sz w:val="30"/>
          <w:szCs w:val="30"/>
        </w:rPr>
        <w:t>.2020年区级政府性基金预算收支预算表（草案）</w:t>
      </w:r>
      <w:r>
        <w:rPr>
          <w:rFonts w:ascii="Times New Roman" w:hAnsi="Times New Roman" w:eastAsia="方正仿宋_GBK"/>
          <w:kern w:val="0"/>
          <w:sz w:val="30"/>
          <w:szCs w:val="30"/>
        </w:rPr>
        <w:tab/>
      </w:r>
      <w:r>
        <w:rPr>
          <w:rFonts w:hint="eastAsia" w:ascii="Times New Roman" w:hAnsi="Times New Roman" w:eastAsia="方正仿宋_GBK"/>
          <w:kern w:val="0"/>
          <w:sz w:val="30"/>
          <w:szCs w:val="30"/>
        </w:rPr>
        <w:t>50</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w:t>
      </w:r>
      <w:r>
        <w:rPr>
          <w:rFonts w:hint="eastAsia" w:ascii="Times New Roman" w:hAnsi="Times New Roman" w:eastAsia="方正仿宋_GBK"/>
          <w:kern w:val="0"/>
          <w:sz w:val="30"/>
          <w:szCs w:val="30"/>
        </w:rPr>
        <w:t>7</w:t>
      </w:r>
      <w:r>
        <w:rPr>
          <w:rFonts w:ascii="Times New Roman" w:hAnsi="Times New Roman" w:eastAsia="方正仿宋_GBK"/>
          <w:kern w:val="0"/>
          <w:sz w:val="30"/>
          <w:szCs w:val="30"/>
        </w:rPr>
        <w:t>.2020年区级政府性基金预算支出预算表（草案）</w:t>
      </w:r>
      <w:r>
        <w:rPr>
          <w:rFonts w:ascii="Times New Roman" w:hAnsi="Times New Roman" w:eastAsia="方正仿宋_GBK"/>
          <w:kern w:val="0"/>
          <w:sz w:val="30"/>
          <w:szCs w:val="30"/>
        </w:rPr>
        <w:tab/>
      </w:r>
      <w:r>
        <w:rPr>
          <w:rFonts w:hint="eastAsia" w:ascii="Times New Roman" w:hAnsi="Times New Roman" w:eastAsia="方正仿宋_GBK"/>
          <w:kern w:val="0"/>
          <w:sz w:val="30"/>
          <w:szCs w:val="30"/>
        </w:rPr>
        <w:t>51</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w:t>
      </w:r>
      <w:r>
        <w:rPr>
          <w:rFonts w:hint="eastAsia" w:ascii="Times New Roman" w:hAnsi="Times New Roman" w:eastAsia="方正仿宋_GBK"/>
          <w:kern w:val="0"/>
          <w:sz w:val="30"/>
          <w:szCs w:val="30"/>
        </w:rPr>
        <w:t>8</w:t>
      </w:r>
      <w:r>
        <w:rPr>
          <w:rFonts w:ascii="Times New Roman" w:hAnsi="Times New Roman" w:eastAsia="方正仿宋_GBK"/>
          <w:kern w:val="0"/>
          <w:sz w:val="30"/>
          <w:szCs w:val="30"/>
        </w:rPr>
        <w:t>.2020年区级国有资本经营预算收支预算表（草案）</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3</w:t>
      </w:r>
    </w:p>
    <w:p>
      <w:pPr>
        <w:widowControl/>
        <w:tabs>
          <w:tab w:val="center" w:leader="dot" w:pos="8610"/>
        </w:tabs>
        <w:jc w:val="left"/>
        <w:rPr>
          <w:rFonts w:hint="eastAsia" w:ascii="Times New Roman" w:hAnsi="Times New Roman" w:eastAsia="方正黑体_GBK"/>
          <w:bCs/>
          <w:kern w:val="0"/>
          <w:sz w:val="32"/>
          <w:szCs w:val="32"/>
        </w:rPr>
      </w:pPr>
    </w:p>
    <w:p>
      <w:pPr>
        <w:widowControl/>
        <w:tabs>
          <w:tab w:val="center" w:leader="dot" w:pos="8610"/>
        </w:tabs>
        <w:jc w:val="left"/>
        <w:rPr>
          <w:rFonts w:ascii="Times New Roman" w:hAnsi="Times New Roman" w:eastAsia="方正黑体_GBK"/>
          <w:bCs/>
          <w:kern w:val="0"/>
          <w:sz w:val="32"/>
          <w:szCs w:val="32"/>
        </w:rPr>
      </w:pPr>
      <w:r>
        <w:rPr>
          <w:rFonts w:ascii="Times New Roman" w:hAnsi="Times New Roman" w:eastAsia="方正黑体_GBK"/>
          <w:bCs/>
          <w:kern w:val="0"/>
          <w:sz w:val="32"/>
          <w:szCs w:val="32"/>
        </w:rPr>
        <w:t>第三部分  债务管控情况</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1</w:t>
      </w:r>
      <w:r>
        <w:rPr>
          <w:rFonts w:hint="eastAsia" w:ascii="Times New Roman" w:hAnsi="Times New Roman" w:eastAsia="方正仿宋_GBK"/>
          <w:kern w:val="0"/>
          <w:sz w:val="30"/>
          <w:szCs w:val="30"/>
        </w:rPr>
        <w:t>9</w:t>
      </w:r>
      <w:r>
        <w:rPr>
          <w:rFonts w:ascii="Times New Roman" w:hAnsi="Times New Roman" w:eastAsia="方正仿宋_GBK"/>
          <w:kern w:val="0"/>
          <w:sz w:val="30"/>
          <w:szCs w:val="30"/>
        </w:rPr>
        <w:t>.黔江区2019年地方政府债务限额及余额情况表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4</w:t>
      </w:r>
    </w:p>
    <w:p>
      <w:pPr>
        <w:widowControl/>
        <w:tabs>
          <w:tab w:val="center" w:leader="dot" w:pos="8820"/>
        </w:tabs>
        <w:ind w:firstLine="300" w:firstLineChars="100"/>
        <w:rPr>
          <w:rFonts w:hint="eastAsia" w:ascii="Times New Roman" w:hAnsi="Times New Roman" w:eastAsia="方正仿宋_GBK"/>
          <w:kern w:val="0"/>
          <w:sz w:val="30"/>
          <w:szCs w:val="30"/>
        </w:rPr>
      </w:pPr>
      <w:r>
        <w:rPr>
          <w:rFonts w:hint="eastAsia" w:ascii="Times New Roman" w:hAnsi="Times New Roman" w:eastAsia="方正仿宋_GBK"/>
          <w:kern w:val="0"/>
          <w:sz w:val="30"/>
          <w:szCs w:val="30"/>
        </w:rPr>
        <w:t>20</w:t>
      </w:r>
      <w:r>
        <w:rPr>
          <w:rFonts w:ascii="Times New Roman" w:hAnsi="Times New Roman" w:eastAsia="方正仿宋_GBK"/>
          <w:kern w:val="0"/>
          <w:sz w:val="30"/>
          <w:szCs w:val="30"/>
        </w:rPr>
        <w:t>.黔江区2019年和2020年地方政府一般债务余额情况表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5</w:t>
      </w:r>
    </w:p>
    <w:p>
      <w:pPr>
        <w:widowControl/>
        <w:tabs>
          <w:tab w:val="center" w:leader="dot" w:pos="8820"/>
        </w:tabs>
        <w:ind w:firstLine="300" w:firstLineChars="100"/>
        <w:rPr>
          <w:rFonts w:ascii="Times New Roman" w:hAnsi="Times New Roman" w:eastAsia="方正仿宋_GBK"/>
          <w:kern w:val="0"/>
          <w:sz w:val="30"/>
          <w:szCs w:val="30"/>
        </w:rPr>
      </w:pPr>
      <w:r>
        <w:rPr>
          <w:rFonts w:hint="eastAsia" w:ascii="Times New Roman" w:hAnsi="Times New Roman" w:eastAsia="方正仿宋_GBK"/>
          <w:kern w:val="0"/>
          <w:sz w:val="30"/>
          <w:szCs w:val="30"/>
        </w:rPr>
        <w:t>2</w:t>
      </w:r>
      <w:r>
        <w:rPr>
          <w:rFonts w:ascii="Times New Roman" w:hAnsi="Times New Roman" w:eastAsia="方正仿宋_GBK"/>
          <w:kern w:val="0"/>
          <w:sz w:val="30"/>
          <w:szCs w:val="30"/>
        </w:rPr>
        <w:t>1.黔江区2019年和2020年地方政府专项债务余额情况表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6</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2</w:t>
      </w:r>
      <w:r>
        <w:rPr>
          <w:rFonts w:hint="eastAsia" w:ascii="Times New Roman" w:hAnsi="Times New Roman" w:eastAsia="方正仿宋_GBK"/>
          <w:kern w:val="0"/>
          <w:sz w:val="30"/>
          <w:szCs w:val="30"/>
        </w:rPr>
        <w:t>2</w:t>
      </w:r>
      <w:r>
        <w:rPr>
          <w:rFonts w:ascii="Times New Roman" w:hAnsi="Times New Roman" w:eastAsia="方正仿宋_GBK"/>
          <w:kern w:val="0"/>
          <w:sz w:val="30"/>
          <w:szCs w:val="30"/>
        </w:rPr>
        <w:t>.黔江区地方政府债券发行及还本付息情况表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7</w:t>
      </w:r>
    </w:p>
    <w:p>
      <w:pPr>
        <w:widowControl/>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2</w:t>
      </w:r>
      <w:r>
        <w:rPr>
          <w:rFonts w:hint="eastAsia" w:ascii="Times New Roman" w:hAnsi="Times New Roman" w:eastAsia="方正仿宋_GBK"/>
          <w:kern w:val="0"/>
          <w:sz w:val="30"/>
          <w:szCs w:val="30"/>
        </w:rPr>
        <w:t>3</w:t>
      </w:r>
      <w:r>
        <w:rPr>
          <w:rFonts w:ascii="Times New Roman" w:hAnsi="Times New Roman" w:eastAsia="方正仿宋_GBK"/>
          <w:kern w:val="0"/>
          <w:sz w:val="30"/>
          <w:szCs w:val="30"/>
        </w:rPr>
        <w:t>.黔江区2020年地方政府债务限额提前下达情况表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8</w:t>
      </w:r>
    </w:p>
    <w:p>
      <w:pPr>
        <w:tabs>
          <w:tab w:val="center" w:leader="dot" w:pos="8820"/>
        </w:tabs>
        <w:ind w:firstLine="300" w:firstLineChars="100"/>
        <w:rPr>
          <w:rFonts w:ascii="Times New Roman" w:hAnsi="Times New Roman" w:eastAsia="方正仿宋_GBK"/>
          <w:kern w:val="0"/>
          <w:sz w:val="30"/>
          <w:szCs w:val="30"/>
        </w:rPr>
      </w:pPr>
      <w:r>
        <w:rPr>
          <w:rFonts w:ascii="Times New Roman" w:hAnsi="Times New Roman" w:eastAsia="方正仿宋_GBK"/>
          <w:kern w:val="0"/>
          <w:sz w:val="30"/>
          <w:szCs w:val="30"/>
        </w:rPr>
        <w:t>2</w:t>
      </w:r>
      <w:r>
        <w:rPr>
          <w:rFonts w:hint="eastAsia" w:ascii="Times New Roman" w:hAnsi="Times New Roman" w:eastAsia="方正仿宋_GBK"/>
          <w:kern w:val="0"/>
          <w:sz w:val="30"/>
          <w:szCs w:val="30"/>
        </w:rPr>
        <w:t>4</w:t>
      </w:r>
      <w:r>
        <w:rPr>
          <w:rFonts w:ascii="Times New Roman" w:hAnsi="Times New Roman" w:eastAsia="方正仿宋_GBK"/>
          <w:kern w:val="0"/>
          <w:sz w:val="30"/>
          <w:szCs w:val="30"/>
        </w:rPr>
        <w:t>.黔江区2020年年初新增地方政府债券资金安排表</w:t>
      </w:r>
      <w:r>
        <w:rPr>
          <w:rFonts w:ascii="Times New Roman" w:hAnsi="Times New Roman" w:eastAsia="方正仿宋_GBK"/>
          <w:kern w:val="0"/>
          <w:sz w:val="30"/>
          <w:szCs w:val="30"/>
        </w:rPr>
        <w:tab/>
      </w:r>
      <w:r>
        <w:rPr>
          <w:rFonts w:ascii="Times New Roman" w:hAnsi="Times New Roman" w:eastAsia="方正仿宋_GBK"/>
          <w:kern w:val="0"/>
          <w:sz w:val="30"/>
          <w:szCs w:val="30"/>
        </w:rPr>
        <w:t>5</w:t>
      </w:r>
      <w:r>
        <w:rPr>
          <w:rFonts w:hint="eastAsia" w:ascii="Times New Roman" w:hAnsi="Times New Roman" w:eastAsia="方正仿宋_GBK"/>
          <w:kern w:val="0"/>
          <w:sz w:val="30"/>
          <w:szCs w:val="30"/>
        </w:rPr>
        <w:t>9</w:t>
      </w: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rPr>
          <w:rFonts w:ascii="Times New Roman" w:hAnsi="Times New Roman" w:eastAsia="方正仿宋_GBK"/>
          <w:kern w:val="0"/>
          <w:sz w:val="32"/>
          <w:szCs w:val="32"/>
        </w:rPr>
      </w:pPr>
    </w:p>
    <w:p>
      <w:pPr>
        <w:spacing w:line="300" w:lineRule="exact"/>
        <w:rPr>
          <w:rFonts w:ascii="Times New Roman" w:hAnsi="Times New Roman" w:eastAsia="方正仿宋_GBK"/>
          <w:kern w:val="0"/>
          <w:sz w:val="24"/>
        </w:rPr>
        <w:sectPr>
          <w:footerReference r:id="rId3" w:type="default"/>
          <w:footerReference r:id="rId4" w:type="even"/>
          <w:pgSz w:w="11906" w:h="16838"/>
          <w:pgMar w:top="1361" w:right="1418" w:bottom="1134" w:left="1418" w:header="851" w:footer="851" w:gutter="0"/>
          <w:cols w:space="720" w:num="1"/>
          <w:docGrid w:type="lines" w:linePitch="312" w:charSpace="0"/>
        </w:sect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p>
    <w:p>
      <w:pPr>
        <w:spacing w:line="5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2019年区级一般公共预算收支执行表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907"/>
        <w:gridCol w:w="794"/>
        <w:gridCol w:w="794"/>
        <w:gridCol w:w="3203"/>
        <w:gridCol w:w="90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jc w:val="center"/>
        </w:trPr>
        <w:tc>
          <w:tcPr>
            <w:tcW w:w="2508"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收      入</w:t>
            </w:r>
          </w:p>
        </w:tc>
        <w:tc>
          <w:tcPr>
            <w:tcW w:w="907"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2019年</w:t>
            </w:r>
          </w:p>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执行数</w:t>
            </w:r>
          </w:p>
        </w:tc>
        <w:tc>
          <w:tcPr>
            <w:tcW w:w="794"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同口径</w:t>
            </w:r>
          </w:p>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增长%</w:t>
            </w:r>
          </w:p>
        </w:tc>
        <w:tc>
          <w:tcPr>
            <w:tcW w:w="794"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自然比</w:t>
            </w:r>
          </w:p>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增长%</w:t>
            </w:r>
          </w:p>
        </w:tc>
        <w:tc>
          <w:tcPr>
            <w:tcW w:w="3203"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支      出</w:t>
            </w:r>
          </w:p>
        </w:tc>
        <w:tc>
          <w:tcPr>
            <w:tcW w:w="907"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2019年</w:t>
            </w:r>
          </w:p>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执行数</w:t>
            </w:r>
          </w:p>
        </w:tc>
        <w:tc>
          <w:tcPr>
            <w:tcW w:w="794"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自然比增长%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总  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728,955</w:t>
            </w:r>
          </w:p>
        </w:tc>
        <w:tc>
          <w:tcPr>
            <w:tcW w:w="794" w:type="dxa"/>
            <w:noWrap w:val="0"/>
            <w:tcMar>
              <w:left w:w="28" w:type="dxa"/>
              <w:right w:w="28" w:type="dxa"/>
            </w:tcMar>
            <w:vAlign w:val="center"/>
          </w:tcPr>
          <w:p>
            <w:pPr>
              <w:widowControl/>
              <w:spacing w:line="240" w:lineRule="exact"/>
              <w:jc w:val="right"/>
              <w:rPr>
                <w:rFonts w:ascii="Times New Roman" w:hAnsi="Times New Roman" w:eastAsia="方正黑体_GBK"/>
                <w:bCs/>
                <w:kern w:val="0"/>
                <w:sz w:val="20"/>
                <w:szCs w:val="20"/>
              </w:rPr>
            </w:pPr>
            <w:r>
              <w:rPr>
                <w:rFonts w:ascii="Times New Roman" w:hAnsi="Times New Roman" w:eastAsia="方正黑体_GBK"/>
                <w:bCs/>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eastAsia="方正黑体_GBK"/>
                <w:bCs/>
                <w:kern w:val="0"/>
                <w:sz w:val="20"/>
                <w:szCs w:val="20"/>
              </w:rPr>
            </w:pPr>
            <w:r>
              <w:rPr>
                <w:rFonts w:ascii="Times New Roman" w:hAnsi="Times New Roman" w:eastAsia="方正黑体_GBK"/>
                <w:bCs/>
                <w:kern w:val="0"/>
                <w:sz w:val="20"/>
                <w:szCs w:val="20"/>
              </w:rPr>
              <w:t>　</w:t>
            </w:r>
          </w:p>
        </w:tc>
        <w:tc>
          <w:tcPr>
            <w:tcW w:w="3203"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0"/>
                <w:szCs w:val="20"/>
              </w:rPr>
            </w:pPr>
            <w:r>
              <w:rPr>
                <w:rFonts w:ascii="Times New Roman" w:hAnsi="Times New Roman" w:eastAsia="方正黑体_GBK"/>
                <w:bCs/>
                <w:kern w:val="0"/>
                <w:sz w:val="20"/>
                <w:szCs w:val="20"/>
              </w:rPr>
              <w:t>总  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728,955</w:t>
            </w:r>
          </w:p>
        </w:tc>
        <w:tc>
          <w:tcPr>
            <w:tcW w:w="794" w:type="dxa"/>
            <w:noWrap w:val="0"/>
            <w:tcMar>
              <w:left w:w="28" w:type="dxa"/>
              <w:right w:w="28" w:type="dxa"/>
            </w:tcMar>
            <w:vAlign w:val="center"/>
          </w:tcPr>
          <w:p>
            <w:pPr>
              <w:widowControl/>
              <w:spacing w:line="240" w:lineRule="exact"/>
              <w:jc w:val="right"/>
              <w:rPr>
                <w:rFonts w:ascii="Times New Roman" w:hAnsi="Times New Roman" w:eastAsia="方正黑体_GBK"/>
                <w:bCs/>
                <w:kern w:val="0"/>
                <w:sz w:val="20"/>
                <w:szCs w:val="20"/>
              </w:rPr>
            </w:pPr>
            <w:r>
              <w:rPr>
                <w:rFonts w:ascii="Times New Roman" w:hAnsi="Times New Roman" w:eastAsia="方正黑体_GBK"/>
                <w:bCs/>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黑体_GBK"/>
                <w:bCs/>
                <w:kern w:val="0"/>
                <w:sz w:val="20"/>
                <w:szCs w:val="20"/>
              </w:rPr>
            </w:pPr>
            <w:r>
              <w:rPr>
                <w:rFonts w:ascii="Times New Roman" w:hAnsi="Times New Roman" w:eastAsia="方正黑体_GBK"/>
                <w:bCs/>
                <w:kern w:val="0"/>
                <w:sz w:val="20"/>
                <w:szCs w:val="20"/>
              </w:rPr>
              <w:t>一、本级收入合计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225,876</w:t>
            </w:r>
          </w:p>
        </w:tc>
        <w:tc>
          <w:tcPr>
            <w:tcW w:w="794"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-8.4</w:t>
            </w:r>
          </w:p>
        </w:tc>
        <w:tc>
          <w:tcPr>
            <w:tcW w:w="794"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 xml:space="preserve">-10.4 </w:t>
            </w:r>
          </w:p>
        </w:tc>
        <w:tc>
          <w:tcPr>
            <w:tcW w:w="3203" w:type="dxa"/>
            <w:noWrap w:val="0"/>
            <w:tcMar>
              <w:left w:w="28" w:type="dxa"/>
              <w:right w:w="28" w:type="dxa"/>
            </w:tcMar>
            <w:vAlign w:val="center"/>
          </w:tcPr>
          <w:p>
            <w:pPr>
              <w:widowControl/>
              <w:spacing w:line="240" w:lineRule="exact"/>
              <w:jc w:val="left"/>
              <w:rPr>
                <w:rFonts w:ascii="Times New Roman" w:hAnsi="Times New Roman" w:eastAsia="方正黑体_GBK"/>
                <w:bCs/>
                <w:kern w:val="0"/>
                <w:sz w:val="20"/>
                <w:szCs w:val="20"/>
              </w:rPr>
            </w:pPr>
            <w:r>
              <w:rPr>
                <w:rFonts w:ascii="Times New Roman" w:hAnsi="Times New Roman" w:eastAsia="方正黑体_GBK"/>
                <w:bCs/>
                <w:kern w:val="0"/>
                <w:sz w:val="20"/>
                <w:szCs w:val="20"/>
              </w:rPr>
              <w:t>一、本级支出合计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573,760</w:t>
            </w:r>
          </w:p>
        </w:tc>
        <w:tc>
          <w:tcPr>
            <w:tcW w:w="794"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 xml:space="preserve">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（一）税收收入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175,478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-7.9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-7.9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（一）一般公共服务支出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24,231</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增值税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82,687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-2.5</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-2.5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（二）国防支出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-98.6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企业所得税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16,233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-3.5</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-3.5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（三）公共安全支出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22,328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个人所得税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17,88</w:t>
            </w:r>
            <w:r>
              <w:rPr>
                <w:rFonts w:hint="eastAsia" w:ascii="Times New Roman" w:hAnsi="Times New Roman"/>
                <w:kern w:val="0"/>
                <w:sz w:val="20"/>
                <w:szCs w:val="20"/>
              </w:rPr>
              <w:t>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-37.9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-37.9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（四）教育支出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124,227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资源税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876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-15.7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-15.7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（五）科学技术支出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5,754</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城市维护建设税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29,217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6.5</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6.5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w:t>
            </w:r>
            <w:r>
              <w:rPr>
                <w:rFonts w:ascii="Times New Roman" w:hAnsi="Times New Roman" w:eastAsia="方正仿宋_GBK"/>
                <w:spacing w:val="-6"/>
                <w:kern w:val="0"/>
                <w:sz w:val="20"/>
                <w:szCs w:val="20"/>
              </w:rPr>
              <w:t>六）文化旅游体育与传媒支出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6,090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房产税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3,546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16.3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16.3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（七）社会保障和就业支出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59,942</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印花税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1,386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5.8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5.8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（八）卫生健康支出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62,888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城镇土地使用税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6,933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-19.2</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-19.2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（九）节能环保支出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26,131</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土地增值税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4,086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-3.3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（十）城乡社区支出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19,835</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-46.4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耕地占用税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1,747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-60.6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-60.6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（十一）农林水支出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101,788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契税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8,489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12.1</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12.1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（十二）交通运输支出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37,809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烟叶税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2,067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-7.6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-7.6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（十三）资源勘探信息等支出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37,932</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环保税</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28</w:t>
            </w:r>
            <w:r>
              <w:rPr>
                <w:rFonts w:hint="eastAsia" w:ascii="Times New Roman" w:hAnsi="Times New Roman"/>
                <w:kern w:val="0"/>
                <w:sz w:val="20"/>
                <w:szCs w:val="20"/>
              </w:rPr>
              <w:t>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43.</w:t>
            </w:r>
            <w:r>
              <w:rPr>
                <w:rFonts w:hint="eastAsia" w:ascii="Times New Roman" w:hAnsi="Times New Roman"/>
                <w:kern w:val="0"/>
                <w:sz w:val="20"/>
                <w:szCs w:val="20"/>
              </w:rPr>
              <w:t>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43.</w:t>
            </w:r>
            <w:r>
              <w:rPr>
                <w:rFonts w:hint="eastAsia" w:ascii="Times New Roman" w:hAnsi="Times New Roman"/>
                <w:kern w:val="0"/>
                <w:sz w:val="20"/>
                <w:szCs w:val="20"/>
              </w:rPr>
              <w:t>0</w:t>
            </w:r>
            <w:r>
              <w:rPr>
                <w:rFonts w:ascii="Times New Roman" w:hAnsi="Times New Roman"/>
                <w:kern w:val="0"/>
                <w:sz w:val="20"/>
                <w:szCs w:val="20"/>
              </w:rPr>
              <w:t xml:space="preserve">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（十四）商业服务业等支出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2,616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-53.2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其他税收</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-35.0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-35.0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（十五）金融支出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41</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（二）非税收入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50,398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-9.9</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-18.1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（十六）自然资源海洋气象等支出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2,600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专项收入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19,600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19.1</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19.1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（十七）住房保障支出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21,022</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行政事业性收费收入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6,664</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-41.3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-60.6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（十八）粮油物资储备支出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343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罚没收入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4,106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-45.8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-45.8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（十九）灾害防治及应急管理支出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2,787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spacing w:val="-8"/>
                <w:kern w:val="0"/>
                <w:sz w:val="20"/>
                <w:szCs w:val="20"/>
              </w:rPr>
            </w:pPr>
            <w:r>
              <w:rPr>
                <w:rFonts w:ascii="Times New Roman" w:hAnsi="Times New Roman" w:eastAsia="方正仿宋_GBK"/>
                <w:spacing w:val="-8"/>
                <w:kern w:val="0"/>
                <w:sz w:val="20"/>
                <w:szCs w:val="20"/>
              </w:rPr>
              <w:t>国有资源</w:t>
            </w:r>
            <w:r>
              <w:rPr>
                <w:rFonts w:hint="eastAsia" w:ascii="Times New Roman" w:hAnsi="Times New Roman" w:eastAsia="方正仿宋_GBK"/>
                <w:spacing w:val="-8"/>
                <w:kern w:val="0"/>
                <w:sz w:val="20"/>
                <w:szCs w:val="20"/>
              </w:rPr>
              <w:t>(</w:t>
            </w:r>
            <w:r>
              <w:rPr>
                <w:rFonts w:ascii="Times New Roman" w:hAnsi="Times New Roman" w:eastAsia="方正仿宋_GBK"/>
                <w:spacing w:val="-8"/>
                <w:kern w:val="0"/>
                <w:sz w:val="20"/>
                <w:szCs w:val="20"/>
              </w:rPr>
              <w:t>资产</w:t>
            </w:r>
            <w:r>
              <w:rPr>
                <w:rFonts w:hint="eastAsia" w:ascii="Times New Roman" w:hAnsi="Times New Roman" w:eastAsia="方正仿宋_GBK"/>
                <w:spacing w:val="-8"/>
                <w:kern w:val="0"/>
                <w:sz w:val="20"/>
                <w:szCs w:val="20"/>
              </w:rPr>
              <w:t>)</w:t>
            </w:r>
            <w:r>
              <w:rPr>
                <w:rFonts w:ascii="Times New Roman" w:hAnsi="Times New Roman" w:eastAsia="方正仿宋_GBK"/>
                <w:spacing w:val="-8"/>
                <w:kern w:val="0"/>
                <w:sz w:val="20"/>
                <w:szCs w:val="20"/>
              </w:rPr>
              <w:t>有偿使用收入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13,068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53.6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53.6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（二十）其他支出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40</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-99.5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政府住房基金收入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86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-69.7</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-69.7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（二十一）债务付息支出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15,328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捐赠收入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4,008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-65.3</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-65.3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（二十二）债券发行费支出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其他收入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2,866</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1,173.8</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1173.8 </w:t>
            </w:r>
          </w:p>
        </w:tc>
        <w:tc>
          <w:tcPr>
            <w:tcW w:w="3203" w:type="dxa"/>
            <w:noWrap w:val="0"/>
            <w:tcMar>
              <w:left w:w="28" w:type="dxa"/>
              <w:right w:w="28" w:type="dxa"/>
            </w:tcMar>
            <w:vAlign w:val="center"/>
          </w:tcPr>
          <w:p>
            <w:pPr>
              <w:widowControl/>
              <w:spacing w:line="240" w:lineRule="exact"/>
              <w:jc w:val="left"/>
              <w:rPr>
                <w:rFonts w:ascii="Times New Roman" w:hAnsi="Times New Roman" w:eastAsia="方正黑体_GBK"/>
                <w:bCs/>
                <w:kern w:val="0"/>
                <w:sz w:val="20"/>
                <w:szCs w:val="20"/>
              </w:rPr>
            </w:pPr>
            <w:r>
              <w:rPr>
                <w:rFonts w:ascii="Times New Roman" w:hAnsi="Times New Roman" w:eastAsia="方正黑体_GBK"/>
                <w:bCs/>
                <w:kern w:val="0"/>
                <w:sz w:val="20"/>
                <w:szCs w:val="20"/>
              </w:rPr>
              <w:t>二、转移性支出合计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 xml:space="preserve">155,195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黑体_GBK"/>
                <w:bCs/>
                <w:kern w:val="0"/>
                <w:sz w:val="20"/>
                <w:szCs w:val="20"/>
              </w:rPr>
            </w:pPr>
            <w:r>
              <w:rPr>
                <w:rFonts w:ascii="Times New Roman" w:hAnsi="Times New Roman" w:eastAsia="方正黑体_GBK"/>
                <w:bCs/>
                <w:kern w:val="0"/>
                <w:sz w:val="20"/>
                <w:szCs w:val="20"/>
              </w:rPr>
              <w:t>二、转移性收入合计</w:t>
            </w:r>
          </w:p>
        </w:tc>
        <w:tc>
          <w:tcPr>
            <w:tcW w:w="907"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503,079</w:t>
            </w:r>
          </w:p>
        </w:tc>
        <w:tc>
          <w:tcPr>
            <w:tcW w:w="794" w:type="dxa"/>
            <w:noWrap w:val="0"/>
            <w:tcMar>
              <w:left w:w="28" w:type="dxa"/>
              <w:right w:w="28" w:type="dxa"/>
            </w:tcMar>
            <w:vAlign w:val="center"/>
          </w:tcPr>
          <w:p>
            <w:pPr>
              <w:widowControl/>
              <w:spacing w:line="240" w:lineRule="exact"/>
              <w:jc w:val="right"/>
              <w:rPr>
                <w:rFonts w:ascii="Times New Roman" w:hAnsi="Times New Roman"/>
                <w:b/>
                <w:kern w:val="0"/>
                <w:sz w:val="20"/>
                <w:szCs w:val="20"/>
              </w:rPr>
            </w:pPr>
            <w:r>
              <w:rPr>
                <w:rFonts w:ascii="Times New Roman" w:hAnsi="Times New Roman"/>
                <w:b/>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eastAsia="方正黑体_GBK"/>
                <w:bCs/>
                <w:kern w:val="0"/>
                <w:sz w:val="20"/>
                <w:szCs w:val="20"/>
              </w:rPr>
            </w:pPr>
            <w:r>
              <w:rPr>
                <w:rFonts w:ascii="Times New Roman" w:hAnsi="Times New Roman" w:eastAsia="方正黑体_GBK"/>
                <w:bCs/>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（一）上解支出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20,096 </w:t>
            </w:r>
          </w:p>
        </w:tc>
        <w:tc>
          <w:tcPr>
            <w:tcW w:w="794" w:type="dxa"/>
            <w:noWrap w:val="0"/>
            <w:tcMar>
              <w:left w:w="28" w:type="dxa"/>
              <w:right w:w="28" w:type="dxa"/>
            </w:tcMar>
            <w:vAlign w:val="center"/>
          </w:tcPr>
          <w:p>
            <w:pPr>
              <w:widowControl/>
              <w:spacing w:line="240" w:lineRule="exact"/>
              <w:jc w:val="right"/>
              <w:rPr>
                <w:rFonts w:ascii="Times New Roman" w:hAnsi="Times New Roman" w:eastAsia="方正黑体_GBK"/>
                <w:bCs/>
                <w:kern w:val="0"/>
                <w:sz w:val="20"/>
                <w:szCs w:val="20"/>
              </w:rPr>
            </w:pPr>
            <w:r>
              <w:rPr>
                <w:rFonts w:ascii="Times New Roman" w:hAnsi="Times New Roman" w:eastAsia="方正黑体_GBK"/>
                <w:bCs/>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一</w:t>
            </w: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上级补助收入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371,002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（二）补助乡镇支出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67,680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二</w:t>
            </w: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动用预算稳定调节基金</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10,000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（三）地方政府一般债务还本支出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29,909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三</w:t>
            </w: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调入资金</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32,107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地方政府一般债券还本支出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29,800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四</w:t>
            </w:r>
            <w:r>
              <w:rPr>
                <w:rFonts w:hint="eastAsia" w:ascii="Times New Roman" w:hAnsi="Times New Roman" w:eastAsia="方正仿宋_GBK"/>
                <w:kern w:val="0"/>
                <w:sz w:val="20"/>
                <w:szCs w:val="20"/>
              </w:rPr>
              <w:t>)</w:t>
            </w:r>
            <w:r>
              <w:rPr>
                <w:rFonts w:ascii="Times New Roman" w:hAnsi="Times New Roman" w:eastAsia="方正仿宋_GBK"/>
                <w:kern w:val="0"/>
                <w:sz w:val="20"/>
                <w:szCs w:val="20"/>
              </w:rPr>
              <w:t>债务转贷收入</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60,800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spacing w:val="-8"/>
                <w:kern w:val="0"/>
                <w:sz w:val="20"/>
                <w:szCs w:val="20"/>
              </w:rPr>
            </w:pPr>
            <w:r>
              <w:rPr>
                <w:rFonts w:ascii="Times New Roman" w:hAnsi="Times New Roman" w:eastAsia="方正仿宋_GBK"/>
                <w:spacing w:val="-8"/>
                <w:kern w:val="0"/>
                <w:sz w:val="20"/>
                <w:szCs w:val="20"/>
              </w:rPr>
              <w:t>地方政府向国际组织借款还本支出</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109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地方政府一般债券转贷收入（新增）</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31,000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（四）安排预算稳定调节基金</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10,000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地方政府一般债券转贷收入（再融资）</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29,800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（五）结转下年</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27,510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2508"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r>
              <w:rPr>
                <w:rFonts w:ascii="Times New Roman" w:hAnsi="Times New Roman" w:eastAsia="方正仿宋_GBK"/>
                <w:kern w:val="0"/>
                <w:sz w:val="20"/>
                <w:szCs w:val="20"/>
              </w:rPr>
              <w:t>（五）上年结转</w:t>
            </w: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xml:space="preserve">29,170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c>
          <w:tcPr>
            <w:tcW w:w="3203" w:type="dxa"/>
            <w:noWrap w:val="0"/>
            <w:tcMar>
              <w:left w:w="28" w:type="dxa"/>
              <w:right w:w="28" w:type="dxa"/>
            </w:tcMar>
            <w:vAlign w:val="center"/>
          </w:tcPr>
          <w:p>
            <w:pPr>
              <w:widowControl/>
              <w:spacing w:line="240" w:lineRule="exact"/>
              <w:jc w:val="left"/>
              <w:rPr>
                <w:rFonts w:ascii="Times New Roman" w:hAnsi="Times New Roman" w:eastAsia="方正仿宋_GBK"/>
                <w:kern w:val="0"/>
                <w:sz w:val="20"/>
                <w:szCs w:val="20"/>
              </w:rPr>
            </w:pPr>
          </w:p>
        </w:tc>
        <w:tc>
          <w:tcPr>
            <w:tcW w:w="907" w:type="dxa"/>
            <w:noWrap w:val="0"/>
            <w:tcMar>
              <w:left w:w="28" w:type="dxa"/>
              <w:right w:w="28" w:type="dxa"/>
            </w:tcMar>
            <w:vAlign w:val="center"/>
          </w:tcPr>
          <w:p>
            <w:pPr>
              <w:widowControl/>
              <w:spacing w:line="240" w:lineRule="exact"/>
              <w:jc w:val="right"/>
              <w:rPr>
                <w:rFonts w:ascii="Times New Roman" w:hAnsi="Times New Roman"/>
                <w:kern w:val="0"/>
                <w:sz w:val="20"/>
                <w:szCs w:val="20"/>
              </w:rPr>
            </w:pPr>
          </w:p>
        </w:tc>
        <w:tc>
          <w:tcPr>
            <w:tcW w:w="794" w:type="dxa"/>
            <w:noWrap w:val="0"/>
            <w:tcMar>
              <w:left w:w="28" w:type="dxa"/>
              <w:right w:w="28" w:type="dxa"/>
            </w:tcMar>
            <w:vAlign w:val="center"/>
          </w:tcPr>
          <w:p>
            <w:pPr>
              <w:widowControl/>
              <w:spacing w:line="240" w:lineRule="exact"/>
              <w:jc w:val="right"/>
              <w:rPr>
                <w:rFonts w:ascii="Times New Roman" w:hAnsi="Times New Roman"/>
                <w:kern w:val="0"/>
                <w:sz w:val="20"/>
                <w:szCs w:val="20"/>
              </w:rPr>
            </w:pPr>
            <w:r>
              <w:rPr>
                <w:rFonts w:ascii="Times New Roman" w:hAnsi="Times New Roman"/>
                <w:kern w:val="0"/>
                <w:sz w:val="20"/>
                <w:szCs w:val="20"/>
              </w:rPr>
              <w:t>　</w:t>
            </w:r>
          </w:p>
        </w:tc>
      </w:tr>
    </w:tbl>
    <w:p>
      <w:pPr>
        <w:spacing w:line="300" w:lineRule="exact"/>
        <w:ind w:left="-210" w:leftChars="-100" w:right="-210" w:rightChars="-100"/>
        <w:rPr>
          <w:rFonts w:ascii="Times New Roman" w:hAnsi="Times New Roman" w:eastAsia="方正仿宋_GBK"/>
          <w:kern w:val="0"/>
          <w:sz w:val="32"/>
          <w:szCs w:val="32"/>
        </w:rPr>
      </w:pPr>
      <w:r>
        <w:rPr>
          <w:rFonts w:ascii="Times New Roman" w:hAnsi="Times New Roman" w:eastAsia="方正仿宋_GBK"/>
          <w:kern w:val="0"/>
          <w:sz w:val="22"/>
          <w:szCs w:val="22"/>
        </w:rPr>
        <w:t>注：本表直观反映2019年一般公共预算收入与支出的平衡关系：收入总计（本级收入合计+转移性收入合计）=支出总计（本级支出合计+转移性支出合计）。</w:t>
      </w: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wordWrap w:val="0"/>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 xml:space="preserve">  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9"/>
        <w:gridCol w:w="4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31"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tcBorders>
              <w:bottom w:val="single" w:color="auto" w:sz="4"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本级支出合计</w:t>
            </w:r>
          </w:p>
        </w:tc>
        <w:tc>
          <w:tcPr>
            <w:tcW w:w="4631" w:type="dxa"/>
            <w:tcBorders>
              <w:bottom w:val="single" w:color="auto" w:sz="4"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                              573,760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一、一般公共服务支出</w:t>
            </w:r>
          </w:p>
        </w:tc>
        <w:tc>
          <w:tcPr>
            <w:tcW w:w="4631" w:type="dxa"/>
            <w:tcBorders>
              <w:top w:val="single" w:color="auto" w:sz="4" w:space="0"/>
              <w:bottom w:val="single" w:color="auto" w:sz="4"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                              24,231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人大事务</w:t>
            </w:r>
          </w:p>
        </w:tc>
        <w:tc>
          <w:tcPr>
            <w:tcW w:w="4631" w:type="dxa"/>
            <w:tcBorders>
              <w:top w:val="single" w:color="auto" w:sz="4" w:space="0"/>
              <w:bottom w:val="single" w:color="auto" w:sz="4"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                                1,290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tcBorders>
              <w:top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tcBorders>
              <w:top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人大会议</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其他人大事务支出</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政协事务</w:t>
            </w:r>
          </w:p>
        </w:tc>
        <w:tc>
          <w:tcPr>
            <w:tcW w:w="4631"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                                1,483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1,369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政协会议</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政府办公厅（室）及相关机构事务</w:t>
            </w:r>
          </w:p>
        </w:tc>
        <w:tc>
          <w:tcPr>
            <w:tcW w:w="4631"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5,288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1,204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政务公开审批</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130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信访事务</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其他政府办公厅（室）及相关机构事务支出</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发展与改革事务</w:t>
            </w:r>
          </w:p>
        </w:tc>
        <w:tc>
          <w:tcPr>
            <w:tcW w:w="4631"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战略规划与实施</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其他发展与改革事务支出</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统计信息事务</w:t>
            </w:r>
          </w:p>
        </w:tc>
        <w:tc>
          <w:tcPr>
            <w:tcW w:w="4631"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577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专项普查活动</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统计抽样调查</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财政事务</w:t>
            </w:r>
          </w:p>
        </w:tc>
        <w:tc>
          <w:tcPr>
            <w:tcW w:w="4631"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2,122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9"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31"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295 </w:t>
            </w:r>
          </w:p>
        </w:tc>
      </w:tr>
    </w:tbl>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tcBorders>
              <w:top w:val="single" w:color="auto" w:sz="12" w:space="0"/>
              <w:left w:val="single" w:color="auto" w:sz="12" w:space="0"/>
              <w:bottom w:val="single" w:color="auto" w:sz="4" w:space="0"/>
              <w:right w:val="single" w:color="auto" w:sz="4" w:space="0"/>
            </w:tcBorders>
            <w:noWrap w:val="0"/>
            <w:vAlign w:val="center"/>
          </w:tcPr>
          <w:p>
            <w:pPr>
              <w:widowControl/>
              <w:spacing w:line="240" w:lineRule="exact"/>
              <w:ind w:firstLine="220" w:firstLineChars="100"/>
              <w:jc w:val="center"/>
              <w:rPr>
                <w:rFonts w:ascii="Times New Roman" w:hAnsi="Times New Roman" w:eastAsia="方正黑体_GBK"/>
                <w:kern w:val="0"/>
                <w:sz w:val="22"/>
                <w:szCs w:val="22"/>
              </w:rPr>
            </w:pPr>
            <w:r>
              <w:rPr>
                <w:rFonts w:ascii="Times New Roman" w:hAnsi="Times New Roman" w:eastAsia="方正黑体_GBK"/>
                <w:kern w:val="0"/>
                <w:sz w:val="22"/>
                <w:szCs w:val="22"/>
              </w:rPr>
              <w:t>科目名称</w:t>
            </w:r>
          </w:p>
        </w:tc>
        <w:tc>
          <w:tcPr>
            <w:tcW w:w="4648" w:type="dxa"/>
            <w:tcBorders>
              <w:top w:val="single" w:color="auto" w:sz="12" w:space="0"/>
              <w:left w:val="single" w:color="auto" w:sz="4" w:space="0"/>
              <w:bottom w:val="single" w:color="auto" w:sz="4" w:space="0"/>
              <w:right w:val="single" w:color="auto" w:sz="12" w:space="0"/>
            </w:tcBorders>
            <w:noWrap w:val="0"/>
            <w:vAlign w:val="center"/>
          </w:tcPr>
          <w:p>
            <w:pPr>
              <w:widowControl/>
              <w:spacing w:line="240" w:lineRule="exact"/>
              <w:jc w:val="center"/>
              <w:rPr>
                <w:rFonts w:ascii="Times New Roman" w:hAnsi="Times New Roman" w:eastAsia="方正黑体_GBK"/>
                <w:kern w:val="0"/>
                <w:sz w:val="22"/>
                <w:szCs w:val="22"/>
              </w:rPr>
            </w:pPr>
            <w:r>
              <w:rPr>
                <w:rFonts w:ascii="Times New Roman" w:hAnsi="Times New Roman" w:eastAsia="方正黑体_GBK"/>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财政国库业务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财政委托业务支出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457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税收事务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880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其他税收事务支出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人力资源事务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引进人才费用</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其他人力资源事务支出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纪检监察事务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2,201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1,903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商贸事务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976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招商引资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民族事务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档案事务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档案馆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民主党派及工商联事务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其他民主党派及工商联事务支出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群众团体事务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672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其他群众团体事务支出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40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4"/>
        <w:gridCol w:w="4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27"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党委办公厅（室）及相关机构事务</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1,445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1,273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其他党委办公厅（室）及相关机构事务支出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组织事务</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宣传事务</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1,309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其他宣传事务支出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统战事务</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宗教事务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其他共产党事务支出</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650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其他共产党事务支出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rPr>
                <w:rFonts w:ascii="Times New Roman" w:hAnsi="Times New Roman" w:eastAsia="方正仿宋_GBK"/>
                <w:bCs/>
                <w:kern w:val="0"/>
                <w:sz w:val="22"/>
                <w:szCs w:val="22"/>
              </w:rPr>
            </w:pPr>
            <w:r>
              <w:rPr>
                <w:rFonts w:ascii="Times New Roman" w:hAnsi="Times New Roman" w:eastAsia="方正黑体_GBK"/>
                <w:bCs/>
                <w:kern w:val="0"/>
                <w:sz w:val="22"/>
                <w:szCs w:val="22"/>
              </w:rPr>
              <w:t>其他一般公共服务支出</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其他一般公共服务支出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二、国防支出</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国防动员</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人民防空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三、公共安全支出</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22,328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74"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武装警察部队</w:t>
            </w:r>
          </w:p>
        </w:tc>
        <w:tc>
          <w:tcPr>
            <w:tcW w:w="4627"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jc w:val="center"/>
        </w:trPr>
        <w:tc>
          <w:tcPr>
            <w:tcW w:w="4874"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其他武装警察部队支出</w:t>
            </w:r>
          </w:p>
        </w:tc>
        <w:tc>
          <w:tcPr>
            <w:tcW w:w="4627"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314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公安</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19,604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11,461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信息化建设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执法办案</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4,271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特别业务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其他公安支出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司法</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2,220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基层司法业务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普法宣传</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律师公证管理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法律援助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社区矫正</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其他公共安全支出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其他公共安全支出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四、教育支出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                              124,227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教育管理事务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369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其他教育管理事务支出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普通教育</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98,830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学前教育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小学教育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41,861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初中教育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35,238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高中教育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15,346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其他普通教育支出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职业教育</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9,413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中专教育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9,178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职业高中教育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高等职业教育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00"/>
        <w:gridCol w:w="4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52"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其他职业教育支出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成人教育</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成人高等教育</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特殊教育</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特殊学校教育</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其他特殊教育支出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进修及培训</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教师进修</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干部教育</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教育费附加安排的支出</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12,837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其他教育费附加安排的支出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12,837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五、科学技术支出</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5,754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科学技术管理事务</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1,056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其他科学技术管理事务支出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技术研究与开发</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机构运行</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应用技术研究与开发</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科技条件与服务</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机构运行</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科学技术普及</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其他科学技术普及支出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其他科学技术支出</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3,040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其他科学技术支出</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六、文化旅游体育与传媒支出</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6,090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文化和旅游</w:t>
            </w:r>
          </w:p>
        </w:tc>
        <w:tc>
          <w:tcPr>
            <w:tcW w:w="4652"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2,593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图书馆</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群众文化</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jc w:val="center"/>
        </w:trPr>
        <w:tc>
          <w:tcPr>
            <w:tcW w:w="4900" w:type="dxa"/>
            <w:noWrap w:val="0"/>
            <w:vAlign w:val="center"/>
          </w:tcPr>
          <w:p>
            <w:pPr>
              <w:widowControl/>
              <w:spacing w:line="240" w:lineRule="exact"/>
              <w:ind w:firstLine="220" w:firstLineChars="100"/>
              <w:rPr>
                <w:rFonts w:ascii="Times New Roman" w:hAnsi="Times New Roman" w:eastAsia="方正仿宋_GBK"/>
                <w:kern w:val="0"/>
                <w:sz w:val="22"/>
                <w:szCs w:val="22"/>
              </w:rPr>
            </w:pPr>
            <w:r>
              <w:rPr>
                <w:rFonts w:ascii="Times New Roman" w:hAnsi="Times New Roman" w:eastAsia="方正仿宋_GBK"/>
                <w:kern w:val="0"/>
                <w:sz w:val="22"/>
                <w:szCs w:val="22"/>
              </w:rPr>
              <w:t>文化创作与保护</w:t>
            </w:r>
          </w:p>
        </w:tc>
        <w:tc>
          <w:tcPr>
            <w:tcW w:w="4652"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旅游宣传</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旅游行业业务管理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其他文化和旅游支出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文物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体育</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运动项目管理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体育场馆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群众体育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其他体育支出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新闻出版电影</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出版发行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电影</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广播电视</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1,586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广播</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电视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其他广播电视支出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其他文化体育与传媒支出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其他文化体育与传媒支出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七、社会保障和就业支出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59,942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人力资源和社会保障管理事务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6,892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社会保险经办机构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公共就业服务和职业技能鉴定机构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4,800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其他人力资源和社会保障管理事务支出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民政管理事务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1,083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461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基层政权和社区建设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其他民政管理事务支出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行政事业单位离退休</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27,220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归口管理的行政单位离退休</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机关事业单位基本养老保险缴费支出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14,164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机关事业单位职业年金缴费支出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其他行政事业单位离退休支出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6,480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就业补助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公益性岗位补贴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抚恤</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3,615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死亡抚恤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伤残抚恤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在乡复员、退伍军人生活补助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优抚事业单位支出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义务兵优待</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农村籍退役士兵老年生活补助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退役安置</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1,169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退役士兵安置</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军队移交政府的离退休人员安置</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军队移交政府离退休干部管理机构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退役士兵管理教育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军队转业干部安置</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其他退役安置支出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社会福利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儿童福利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老年福利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殡葬</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社会福利事业单位</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其他社会福利支出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残疾人事业</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残疾人康复</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残疾人就业和扶贫</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残疾人体育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残疾人生活和护理补贴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其他残疾人事业支出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红十字事业</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最低生活保障</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11,799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城市最低生活保障金支出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农村最低生活保障金支出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7,699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临时救助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临时救助支出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流浪乞讨人员救助支出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特困人员救助供养</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城市特困人员救助供养支出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1,113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农村特困人员救助供养支出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其他生活救助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其他城市生活救助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其他农村生活救助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退役军人管理事务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拥军优属</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其他退役军人事务管理支出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其他社会保障和就业支出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其他社会保障和就业支出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八、卫生健康支出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62,888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卫生健康管理事务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其他卫生健康管理事务支出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公立医院</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6,546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综合医院</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基层医疗卫生机构</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5,479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乡镇卫生院</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4,564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其他基层医疗卫生机构支出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公共卫生</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7,222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疾病预防控制机构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1,046 </w:t>
            </w:r>
          </w:p>
        </w:tc>
      </w:tr>
    </w:tbl>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卫生监督机构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妇幼保健机构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应急救治机构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采供血机构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其他专业公共卫生机构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基本公共卫生服务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重大公共卫生专项</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其他公共卫生支出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中医药</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中医（民族医）药专项</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计划生育事务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1,033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计划生育服务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902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其他计划生育事务支出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行政事业单位医疗</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12,477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行政单位医疗</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2,209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事业单位医疗</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6,013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公务员医疗补助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其他行政事业单位医疗支出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财政对基本医疗保险基金的补助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23,956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财政对城乡居民基本医疗保险基金的补助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23,956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医疗救助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4,296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城乡医疗救助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其他医疗救助支出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优抚对象医疗</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优抚对象医疗补助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其他优抚对象医疗支出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医疗保障管理事务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b/>
                <w:bCs/>
                <w:kern w:val="0"/>
                <w:sz w:val="24"/>
              </w:rPr>
              <w:t xml:space="preserve">492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信息化建设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医疗保障政策管理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医疗保障经办事务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51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其他医疗保障管理事务支出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老龄卫生健康事务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老龄卫生健康事务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其他卫生健康支出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其他卫生健康支出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九、节能环保支出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26,131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环境保护管理事务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其他环境保护管理事务支出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环境监测与监察</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其他环境监测与监察支出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b/>
                <w:bCs/>
                <w:kern w:val="0"/>
                <w:sz w:val="22"/>
                <w:szCs w:val="22"/>
              </w:rPr>
            </w:pPr>
            <w:r>
              <w:rPr>
                <w:rFonts w:ascii="Times New Roman" w:hAnsi="Times New Roman" w:eastAsia="方正黑体_GBK"/>
                <w:bCs/>
                <w:kern w:val="0"/>
                <w:sz w:val="22"/>
                <w:szCs w:val="22"/>
              </w:rPr>
              <w:t>污染防治</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11,615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大气</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水体</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固体废弃物与化学品</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其他污染防治支出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8,290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b/>
                <w:bCs/>
                <w:kern w:val="0"/>
                <w:sz w:val="22"/>
                <w:szCs w:val="22"/>
              </w:rPr>
            </w:pPr>
            <w:r>
              <w:rPr>
                <w:rFonts w:ascii="Times New Roman" w:hAnsi="Times New Roman" w:eastAsia="方正黑体_GBK"/>
                <w:bCs/>
                <w:kern w:val="0"/>
                <w:sz w:val="22"/>
                <w:szCs w:val="22"/>
              </w:rPr>
              <w:t>自然生态保护</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农村环境保护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b/>
                <w:bCs/>
                <w:kern w:val="0"/>
                <w:sz w:val="22"/>
                <w:szCs w:val="22"/>
              </w:rPr>
            </w:pPr>
            <w:r>
              <w:rPr>
                <w:rFonts w:ascii="Times New Roman" w:hAnsi="Times New Roman" w:eastAsia="方正黑体_GBK"/>
                <w:bCs/>
                <w:kern w:val="0"/>
                <w:sz w:val="22"/>
                <w:szCs w:val="22"/>
              </w:rPr>
              <w:t>天然林保护</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社会保险补助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政策性社会性支出补助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退耕还林</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6,226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退耕现金</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退耕还林粮食折现补贴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退耕还林工程建设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其他退耕还林支出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可再生能源</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可再生能源</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其他节能环保支出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6,194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其他节能环保支出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6,194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十、城乡社区支出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19,835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城乡社区管理事务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4,954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857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机关服务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城管执法</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工程建设标准规范编制与监管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工程建设管理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其他城乡社区管理事务支出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城乡社区规划与管理</w:t>
            </w:r>
          </w:p>
        </w:tc>
        <w:tc>
          <w:tcPr>
            <w:tcW w:w="4648" w:type="dxa"/>
            <w:noWrap w:val="0"/>
            <w:vAlign w:val="center"/>
          </w:tcPr>
          <w:p>
            <w:pPr>
              <w:widowControl/>
              <w:spacing w:line="240" w:lineRule="exact"/>
              <w:jc w:val="right"/>
              <w:rPr>
                <w:rFonts w:ascii="Times New Roman" w:hAnsi="Times New Roman"/>
                <w:bCs/>
                <w:kern w:val="0"/>
                <w:sz w:val="24"/>
              </w:rPr>
            </w:pPr>
            <w:r>
              <w:rPr>
                <w:rFonts w:ascii="Times New Roman" w:hAnsi="Times New Roman"/>
                <w:b/>
                <w:kern w:val="0"/>
                <w:sz w:val="24"/>
              </w:rPr>
              <w:t>183</w:t>
            </w:r>
            <w:r>
              <w:rPr>
                <w:rFonts w:ascii="Times New Roman" w:hAnsi="Times New Roman"/>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城乡社区规划与管理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城乡社区公共设施</w:t>
            </w:r>
          </w:p>
        </w:tc>
        <w:tc>
          <w:tcPr>
            <w:tcW w:w="4648" w:type="dxa"/>
            <w:noWrap w:val="0"/>
            <w:vAlign w:val="center"/>
          </w:tcPr>
          <w:p>
            <w:pPr>
              <w:widowControl/>
              <w:spacing w:line="240" w:lineRule="exact"/>
              <w:jc w:val="right"/>
              <w:rPr>
                <w:rFonts w:ascii="Times New Roman" w:hAnsi="Times New Roman"/>
                <w:bCs/>
                <w:kern w:val="0"/>
                <w:sz w:val="24"/>
              </w:rPr>
            </w:pPr>
            <w:r>
              <w:rPr>
                <w:rFonts w:ascii="Times New Roman" w:hAnsi="Times New Roman"/>
                <w:b/>
                <w:kern w:val="0"/>
                <w:sz w:val="24"/>
              </w:rPr>
              <w:t>10,972</w:t>
            </w:r>
            <w:r>
              <w:rPr>
                <w:rFonts w:ascii="Times New Roman" w:hAnsi="Times New Roman"/>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其他城乡社区公共设施支出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10,972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城乡社区环境卫生</w:t>
            </w:r>
          </w:p>
        </w:tc>
        <w:tc>
          <w:tcPr>
            <w:tcW w:w="4648" w:type="dxa"/>
            <w:noWrap w:val="0"/>
            <w:vAlign w:val="center"/>
          </w:tcPr>
          <w:p>
            <w:pPr>
              <w:widowControl/>
              <w:spacing w:line="240" w:lineRule="exact"/>
              <w:jc w:val="right"/>
              <w:rPr>
                <w:rFonts w:ascii="Times New Roman" w:hAnsi="Times New Roman"/>
                <w:bCs/>
                <w:kern w:val="0"/>
                <w:sz w:val="24"/>
              </w:rPr>
            </w:pPr>
            <w:r>
              <w:rPr>
                <w:rFonts w:ascii="Times New Roman" w:hAnsi="Times New Roman"/>
                <w:b/>
                <w:kern w:val="0"/>
                <w:sz w:val="24"/>
              </w:rPr>
              <w:t>3,382</w:t>
            </w:r>
            <w:r>
              <w:rPr>
                <w:rFonts w:ascii="Times New Roman" w:hAnsi="Times New Roman"/>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城乡社区环境卫生</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其他城乡社区支出</w:t>
            </w:r>
          </w:p>
        </w:tc>
        <w:tc>
          <w:tcPr>
            <w:tcW w:w="4648" w:type="dxa"/>
            <w:noWrap w:val="0"/>
            <w:vAlign w:val="center"/>
          </w:tcPr>
          <w:p>
            <w:pPr>
              <w:widowControl/>
              <w:spacing w:line="240" w:lineRule="exact"/>
              <w:jc w:val="right"/>
              <w:rPr>
                <w:rFonts w:ascii="Times New Roman" w:hAnsi="Times New Roman"/>
                <w:bCs/>
                <w:kern w:val="0"/>
                <w:sz w:val="24"/>
              </w:rPr>
            </w:pPr>
            <w:r>
              <w:rPr>
                <w:rFonts w:ascii="Times New Roman" w:hAnsi="Times New Roman"/>
                <w:b/>
                <w:kern w:val="0"/>
                <w:sz w:val="24"/>
              </w:rPr>
              <w:t>344</w:t>
            </w:r>
            <w:r>
              <w:rPr>
                <w:rFonts w:ascii="Times New Roman" w:hAnsi="Times New Roman"/>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其他城乡社区支出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十一、农林水支出</w:t>
            </w:r>
          </w:p>
        </w:tc>
        <w:tc>
          <w:tcPr>
            <w:tcW w:w="4648" w:type="dxa"/>
            <w:noWrap w:val="0"/>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                              101,788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农业</w:t>
            </w:r>
          </w:p>
        </w:tc>
        <w:tc>
          <w:tcPr>
            <w:tcW w:w="4648" w:type="dxa"/>
            <w:noWrap w:val="0"/>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18,497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病虫害控制</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农产品质量安全</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防灾救灾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农业生产支持补贴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5,130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农业组织化与产业化经营</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农业资源保护修复与利用</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农村道路建设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成品油价格改革对渔业的补贴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对高校毕业生到基层任职补助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其他农业支出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6,311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林业和草原</w:t>
            </w:r>
          </w:p>
        </w:tc>
        <w:tc>
          <w:tcPr>
            <w:tcW w:w="4648" w:type="dxa"/>
            <w:noWrap w:val="0"/>
            <w:vAlign w:val="center"/>
          </w:tcPr>
          <w:p>
            <w:pPr>
              <w:widowControl/>
              <w:spacing w:line="240" w:lineRule="exact"/>
              <w:jc w:val="right"/>
              <w:rPr>
                <w:rFonts w:ascii="Times New Roman" w:hAnsi="Times New Roman"/>
                <w:bCs/>
                <w:kern w:val="0"/>
                <w:sz w:val="24"/>
              </w:rPr>
            </w:pPr>
            <w:r>
              <w:rPr>
                <w:rFonts w:ascii="Times New Roman" w:hAnsi="Times New Roman"/>
                <w:b/>
                <w:kern w:val="0"/>
                <w:sz w:val="24"/>
              </w:rPr>
              <w:t>8,066</w:t>
            </w:r>
            <w:r>
              <w:rPr>
                <w:rFonts w:ascii="Times New Roman" w:hAnsi="Times New Roman"/>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969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827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森林培育</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1,076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森林资源管理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森林生态效益补偿</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自然保护区等管理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动植物保护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执法与监督</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防灾减灾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其他林业和草原支出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水利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16,817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水利工程建设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8,751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水利工程运行与维护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防汛</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抗旱</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农田水利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大中型水库移民后期扶持专项支出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农村人畜饮水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其他水利支出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扶贫</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47,464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农村基础设施建设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30,792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生产发展</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9,118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社会发展</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扶贫事业机构</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其他扶贫支出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6,558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农业综合开发</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4,880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土地治理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4,880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农村综合改革</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3,590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对村级一事一议的补助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3,590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普惠金融发展支出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2,453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农业保险保费补贴</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创业担保贷款贴息</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其他普惠金融发展支出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其他农林水支出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其他农林水支出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十二、交通运输支出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37,809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公路水路运输</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25,448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公路建设</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18,628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公路养护</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公路运输管理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海事管理</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其他公路水路运输支出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1,248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民用航空运输</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2,494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其他民用航空运输支出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成品油价格改革对交通运输的补贴</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781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成品油价格改革补贴其他支出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781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车辆购置税支出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9,065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车辆购置税用于公路等基础设施建设支出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8,954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车辆购置税用于农村公路建设支出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其他交通运输支出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其他交通运输支出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十三、资源勘探信息等支出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37,932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制造业</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其他制造业支出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工业和信息产业监管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专用通信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工业和信息产业支持</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国有资产监管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其他国有资产监管支出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206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支持中小企业发展和管理支出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37,044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中小企业发展专项</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10,362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其他支持中小企业发展和管理支出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26,078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其他资源勘探信息等支出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其他资源勘探信息等支出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十四、商业服务业等支出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商业流通事务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民贸民品贷款贴息</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其他商业流通事务支出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涉外发展服务支出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其他涉外发展服务支出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其他商业服务业等支出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其他商业服务业等支出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十五、金融支出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金融发展支出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利息费用补贴支出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十六、自然资源海洋气象等支出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2,600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自然资源事务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2,305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其他自然资源事务支出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气象事务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其他气象事务支出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十七、住房保障支出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21,022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保障性安居工程支出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10,895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廉租住房</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3,550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棚户区改造</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其他保障性安居工程支出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6,330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住房改革支出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10,127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住房公积金</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10,127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896"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科目名称</w:t>
            </w:r>
          </w:p>
        </w:tc>
        <w:tc>
          <w:tcPr>
            <w:tcW w:w="4648" w:type="dxa"/>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十八、粮油物资储备支出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粮油事务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329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粮食专项业务活动</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粮油储备</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其他粮油储备支出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十九、灾害防治及应急管理支出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2,787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应急管理事务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1,210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安全监管</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其他应急管理支出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消防事务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1,240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其他消防事务支出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地震事务</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 xml:space="preserve">地震事业机构 </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自然灾害救灾及恢复重建支出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中央自然灾害生活补助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地方自然灾害生活补助</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其他灾害防治及应急管理支出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二十、其他支出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二十一、债务付息支出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15,328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地方政府一般债务付息支出</w:t>
            </w:r>
          </w:p>
        </w:tc>
        <w:tc>
          <w:tcPr>
            <w:tcW w:w="4648" w:type="dxa"/>
            <w:noWrap w:val="0"/>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15,328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地方政府一般债券付息支出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15,328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4" w:space="0"/>
            </w:tcBorders>
            <w:noWrap w:val="0"/>
            <w:vAlign w:val="center"/>
          </w:tcPr>
          <w:p>
            <w:pPr>
              <w:widowControl/>
              <w:spacing w:line="24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二十二、债务发行费用支出</w:t>
            </w:r>
          </w:p>
        </w:tc>
        <w:tc>
          <w:tcPr>
            <w:tcW w:w="4648" w:type="dxa"/>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4896" w:type="dxa"/>
            <w:tcBorders>
              <w:top w:val="single" w:color="auto" w:sz="4" w:space="0"/>
              <w:bottom w:val="single" w:color="auto" w:sz="12" w:space="0"/>
            </w:tcBorders>
            <w:noWrap w:val="0"/>
            <w:vAlign w:val="center"/>
          </w:tcPr>
          <w:p>
            <w:pPr>
              <w:widowControl/>
              <w:spacing w:line="24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地方政府一般债务发行费用支出</w:t>
            </w:r>
          </w:p>
        </w:tc>
        <w:tc>
          <w:tcPr>
            <w:tcW w:w="4648" w:type="dxa"/>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 </w:t>
            </w:r>
          </w:p>
        </w:tc>
      </w:tr>
    </w:tbl>
    <w:p>
      <w:pPr>
        <w:rPr>
          <w:rFonts w:hint="eastAsia" w:ascii="Times New Roman" w:hAnsi="Times New Roman" w:eastAsia="方正仿宋_GBK" w:cs="方正仿宋_GBK"/>
          <w:sz w:val="22"/>
          <w:szCs w:val="22"/>
        </w:rPr>
      </w:pPr>
      <w:r>
        <w:rPr>
          <w:rFonts w:hint="eastAsia" w:ascii="Times New Roman" w:hAnsi="Times New Roman" w:eastAsia="方正仿宋_GBK" w:cs="方正仿宋_GBK"/>
          <w:sz w:val="22"/>
          <w:szCs w:val="22"/>
          <w:shd w:val="clear" w:color="auto" w:fill="FFFFFF"/>
        </w:rPr>
        <w:t>注：由于四舍五入因素，部分分项加和与总数可能略有差异，下同。</w:t>
      </w: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表3</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2019年区级一般公共预算转移性收支执行表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90"/>
        <w:gridCol w:w="1058"/>
        <w:gridCol w:w="3588"/>
        <w:gridCol w:w="1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3890"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1058"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w:t>
            </w:r>
          </w:p>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c>
          <w:tcPr>
            <w:tcW w:w="3588"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103"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w:t>
            </w:r>
          </w:p>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转移性收入合计</w:t>
            </w:r>
          </w:p>
        </w:tc>
        <w:tc>
          <w:tcPr>
            <w:tcW w:w="1058" w:type="dxa"/>
            <w:noWrap w:val="0"/>
            <w:tcMar>
              <w:left w:w="28" w:type="dxa"/>
              <w:right w:w="57" w:type="dxa"/>
            </w:tcMar>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503,079 </w:t>
            </w:r>
          </w:p>
        </w:tc>
        <w:tc>
          <w:tcPr>
            <w:tcW w:w="3588"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转移性支出合计</w:t>
            </w:r>
          </w:p>
        </w:tc>
        <w:tc>
          <w:tcPr>
            <w:tcW w:w="1103" w:type="dxa"/>
            <w:noWrap w:val="0"/>
            <w:tcMar>
              <w:left w:w="28" w:type="dxa"/>
              <w:right w:w="57" w:type="dxa"/>
            </w:tcMar>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155,195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一、上级补助收入</w:t>
            </w:r>
          </w:p>
        </w:tc>
        <w:tc>
          <w:tcPr>
            <w:tcW w:w="1058"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371,002 </w:t>
            </w:r>
          </w:p>
        </w:tc>
        <w:tc>
          <w:tcPr>
            <w:tcW w:w="3588"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一、上解支出</w:t>
            </w:r>
          </w:p>
        </w:tc>
        <w:tc>
          <w:tcPr>
            <w:tcW w:w="1103"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20,096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（一）返还性收入</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50,273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（一）体制上解</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消费税返还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33,230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（二）专项上解</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19,882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增值税返还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15,025 </w:t>
            </w:r>
          </w:p>
        </w:tc>
        <w:tc>
          <w:tcPr>
            <w:tcW w:w="3588"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二、补助乡镇支出</w:t>
            </w:r>
          </w:p>
        </w:tc>
        <w:tc>
          <w:tcPr>
            <w:tcW w:w="1103"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67,680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所得税基数返还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2,018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（一）一般性转移支付支出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47,929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（二）一般性转移支付收入</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195,375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体制补助</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38,771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均衡性转移支付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26,634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结算补助</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5,650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县级基本财力奖补</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10,476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其他补助</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3,508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基层公检法司转移支付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3,635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（二）专项转移支付支出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19,751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革命老区转移支付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2,062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一般公共服务支出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民族地区转移支付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17,528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文化旅游体育与传媒支出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贫困地区转移支付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16,823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社会保障和就业支出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结算补助</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8,8</w:t>
            </w:r>
            <w:r>
              <w:rPr>
                <w:rFonts w:hint="eastAsia" w:ascii="Times New Roman" w:hAnsi="Times New Roman"/>
                <w:kern w:val="0"/>
                <w:sz w:val="24"/>
              </w:rPr>
              <w:t>27</w:t>
            </w:r>
            <w:r>
              <w:rPr>
                <w:rFonts w:ascii="Times New Roman" w:hAnsi="Times New Roman"/>
                <w:kern w:val="0"/>
                <w:sz w:val="24"/>
              </w:rPr>
              <w:t xml:space="preserve">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卫生健康支出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城乡义务教育转移支付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1,416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节能环保支出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1,242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城乡居民基本医疗保险转移支付</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23,311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城乡社区支出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农村综合改革转移支付</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1,600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农林水支出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7,197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产粮大县奖补资金</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1,854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交通运输支出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8,362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重点生态功能区转移支付</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3,952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商业服务业等支出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固定数额转移支付</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14,370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住房保障支出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教育共同财政事权转移支付</w:t>
            </w:r>
          </w:p>
        </w:tc>
        <w:tc>
          <w:tcPr>
            <w:tcW w:w="1058" w:type="dxa"/>
            <w:shd w:val="clear" w:color="auto" w:fill="auto"/>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21,546 </w:t>
            </w:r>
          </w:p>
        </w:tc>
        <w:tc>
          <w:tcPr>
            <w:tcW w:w="3588"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灾害防治及应急管理支出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住房保障共同财政事权转移支付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789 </w:t>
            </w:r>
          </w:p>
        </w:tc>
        <w:tc>
          <w:tcPr>
            <w:tcW w:w="3588"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三、地方政府一般债务还本支出</w:t>
            </w:r>
          </w:p>
        </w:tc>
        <w:tc>
          <w:tcPr>
            <w:tcW w:w="1103"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29,909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社会保障和就业共同财政事转移支付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9,843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地方政府一般债券还本支出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29,800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卫生健康共同财政事权转移支付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9,180 </w:t>
            </w:r>
          </w:p>
        </w:tc>
        <w:tc>
          <w:tcPr>
            <w:tcW w:w="3588"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地方政府向国际组织借款还本支出</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节能环保共同财政事权转移支付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2,750 </w:t>
            </w:r>
          </w:p>
        </w:tc>
        <w:tc>
          <w:tcPr>
            <w:tcW w:w="3588"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四、安排预算稳定调节基金</w:t>
            </w:r>
          </w:p>
        </w:tc>
        <w:tc>
          <w:tcPr>
            <w:tcW w:w="1103"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10,000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农林水共同财政事权转移支付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4,767 </w:t>
            </w:r>
          </w:p>
        </w:tc>
        <w:tc>
          <w:tcPr>
            <w:tcW w:w="3588"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五、结转下年</w:t>
            </w:r>
          </w:p>
        </w:tc>
        <w:tc>
          <w:tcPr>
            <w:tcW w:w="1103"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27,510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文化旅游体育与传媒共同财政事权转移支付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128 </w:t>
            </w:r>
          </w:p>
        </w:tc>
        <w:tc>
          <w:tcPr>
            <w:tcW w:w="3588"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其他共同财政事权转移支付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346 </w:t>
            </w:r>
          </w:p>
        </w:tc>
        <w:tc>
          <w:tcPr>
            <w:tcW w:w="3588"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90"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其他一般转移支付</w:t>
            </w:r>
          </w:p>
        </w:tc>
        <w:tc>
          <w:tcPr>
            <w:tcW w:w="1058"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13,5</w:t>
            </w:r>
            <w:r>
              <w:rPr>
                <w:rFonts w:hint="eastAsia" w:ascii="Times New Roman" w:hAnsi="Times New Roman"/>
                <w:kern w:val="0"/>
                <w:sz w:val="24"/>
              </w:rPr>
              <w:t>38</w:t>
            </w:r>
            <w:r>
              <w:rPr>
                <w:rFonts w:ascii="Times New Roman" w:hAnsi="Times New Roman"/>
                <w:kern w:val="0"/>
                <w:sz w:val="24"/>
              </w:rPr>
              <w:t xml:space="preserve"> </w:t>
            </w:r>
          </w:p>
        </w:tc>
        <w:tc>
          <w:tcPr>
            <w:tcW w:w="3588"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103"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bl>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表3</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2019年区级一般公共预算转移性收支执行表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1"/>
        <w:gridCol w:w="1039"/>
        <w:gridCol w:w="3525"/>
        <w:gridCol w:w="10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3821"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1039"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w:t>
            </w:r>
          </w:p>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c>
          <w:tcPr>
            <w:tcW w:w="3525"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084" w:type="dxa"/>
            <w:noWrap w:val="0"/>
            <w:tcMar>
              <w:left w:w="28" w:type="dxa"/>
              <w:right w:w="28" w:type="dxa"/>
            </w:tcMar>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w:t>
            </w:r>
          </w:p>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（三）专项转移支付收入</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125,354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一般公共服务</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国防</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公共安全</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2,888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教育</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7,597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文化旅游体育与传媒</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544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社会保障和就业</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5,344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卫生健康</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6,589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节能环保</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6,476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城乡社区</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农林水</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47,803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交通运输</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36,639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资源勘探信息等</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655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商业服务业等</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835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金融</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自然资源海洋气象等</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216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住房保障</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9,388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shd w:val="clear" w:color="auto" w:fill="FFFFFF"/>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其他支出</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271 </w:t>
            </w:r>
          </w:p>
        </w:tc>
        <w:tc>
          <w:tcPr>
            <w:tcW w:w="3525" w:type="dxa"/>
            <w:noWrap w:val="0"/>
            <w:tcMar>
              <w:left w:w="28" w:type="dxa"/>
              <w:right w:w="28" w:type="dxa"/>
            </w:tcMar>
            <w:vAlign w:val="center"/>
          </w:tcPr>
          <w:p>
            <w:pPr>
              <w:widowControl/>
              <w:spacing w:line="240" w:lineRule="exact"/>
              <w:jc w:val="left"/>
              <w:rPr>
                <w:rFonts w:ascii="Times New Roman" w:hAnsi="Times New Roman" w:eastAsia="仿宋_GB2312"/>
                <w:kern w:val="0"/>
                <w:sz w:val="24"/>
              </w:rPr>
            </w:pPr>
            <w:r>
              <w:rPr>
                <w:rFonts w:ascii="Times New Roman" w:hAnsi="Times New Roman" w:eastAsia="仿宋_GB2312"/>
                <w:kern w:val="0"/>
                <w:sz w:val="24"/>
              </w:rPr>
              <w:t>　</w:t>
            </w:r>
          </w:p>
        </w:tc>
        <w:tc>
          <w:tcPr>
            <w:tcW w:w="1084" w:type="dxa"/>
            <w:noWrap w:val="0"/>
            <w:tcMar>
              <w:left w:w="28" w:type="dxa"/>
              <w:right w:w="57" w:type="dxa"/>
            </w:tcMar>
            <w:vAlign w:val="center"/>
          </w:tcPr>
          <w:p>
            <w:pPr>
              <w:widowControl/>
              <w:spacing w:line="240" w:lineRule="exact"/>
              <w:jc w:val="righ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二、动用预算稳定调节基金</w:t>
            </w:r>
          </w:p>
        </w:tc>
        <w:tc>
          <w:tcPr>
            <w:tcW w:w="1039"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10,000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r>
              <w:rPr>
                <w:rFonts w:ascii="Times New Roman" w:hAnsi="Times New Roman"/>
                <w:kern w:val="0"/>
                <w:sz w:val="22"/>
                <w:szCs w:val="22"/>
              </w:rPr>
              <w:t>　</w:t>
            </w: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三、调入资金</w:t>
            </w:r>
          </w:p>
        </w:tc>
        <w:tc>
          <w:tcPr>
            <w:tcW w:w="1039"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32,107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四、债务转贷收入</w:t>
            </w:r>
          </w:p>
        </w:tc>
        <w:tc>
          <w:tcPr>
            <w:tcW w:w="1039"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60,800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地方政府一般债券转贷收入（新增）</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31,000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地方政府一般债券转贷收入（再融资）</w:t>
            </w:r>
          </w:p>
        </w:tc>
        <w:tc>
          <w:tcPr>
            <w:tcW w:w="1039" w:type="dxa"/>
            <w:noWrap w:val="0"/>
            <w:tcMar>
              <w:left w:w="28" w:type="dxa"/>
              <w:right w:w="57" w:type="dxa"/>
            </w:tcMar>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29,800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3821" w:type="dxa"/>
            <w:noWrap w:val="0"/>
            <w:tcMar>
              <w:left w:w="28" w:type="dxa"/>
              <w:right w:w="28" w:type="dxa"/>
            </w:tcMar>
            <w:vAlign w:val="center"/>
          </w:tcPr>
          <w:p>
            <w:pPr>
              <w:widowControl/>
              <w:spacing w:line="24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五、上年结转</w:t>
            </w:r>
          </w:p>
        </w:tc>
        <w:tc>
          <w:tcPr>
            <w:tcW w:w="1039" w:type="dxa"/>
            <w:noWrap w:val="0"/>
            <w:tcMar>
              <w:left w:w="28" w:type="dxa"/>
              <w:right w:w="57" w:type="dxa"/>
            </w:tcMar>
            <w:vAlign w:val="center"/>
          </w:tcPr>
          <w:p>
            <w:pPr>
              <w:widowControl/>
              <w:spacing w:line="240" w:lineRule="exact"/>
              <w:jc w:val="right"/>
              <w:rPr>
                <w:rFonts w:ascii="Times New Roman" w:hAnsi="Times New Roman"/>
                <w:b/>
                <w:kern w:val="0"/>
                <w:sz w:val="24"/>
              </w:rPr>
            </w:pPr>
            <w:r>
              <w:rPr>
                <w:rFonts w:ascii="Times New Roman" w:hAnsi="Times New Roman"/>
                <w:b/>
                <w:kern w:val="0"/>
                <w:sz w:val="24"/>
              </w:rPr>
              <w:t xml:space="preserve">29,170 </w:t>
            </w:r>
          </w:p>
        </w:tc>
        <w:tc>
          <w:tcPr>
            <w:tcW w:w="3525" w:type="dxa"/>
            <w:noWrap w:val="0"/>
            <w:tcMar>
              <w:left w:w="28" w:type="dxa"/>
              <w:right w:w="28" w:type="dxa"/>
            </w:tcMar>
            <w:vAlign w:val="center"/>
          </w:tcPr>
          <w:p>
            <w:pPr>
              <w:widowControl/>
              <w:spacing w:line="240" w:lineRule="exact"/>
              <w:jc w:val="left"/>
              <w:rPr>
                <w:rFonts w:ascii="Times New Roman" w:hAnsi="Times New Roman"/>
                <w:kern w:val="0"/>
                <w:sz w:val="22"/>
                <w:szCs w:val="22"/>
              </w:rPr>
            </w:pPr>
          </w:p>
        </w:tc>
        <w:tc>
          <w:tcPr>
            <w:tcW w:w="1084" w:type="dxa"/>
            <w:noWrap w:val="0"/>
            <w:tcMar>
              <w:left w:w="28" w:type="dxa"/>
              <w:right w:w="57" w:type="dxa"/>
            </w:tcMar>
            <w:vAlign w:val="center"/>
          </w:tcPr>
          <w:p>
            <w:pPr>
              <w:widowControl/>
              <w:spacing w:line="240" w:lineRule="exact"/>
              <w:jc w:val="right"/>
              <w:rPr>
                <w:rFonts w:ascii="Times New Roman" w:hAnsi="Times New Roman"/>
                <w:kern w:val="0"/>
                <w:sz w:val="24"/>
              </w:rPr>
            </w:pP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注：本表详细反映2019年一般公共预算转移性收入和转移性支出情况。</w:t>
      </w:r>
    </w:p>
    <w:p>
      <w:pPr>
        <w:rPr>
          <w:rFonts w:ascii="Times New Roman" w:hAnsi="Times New Roman"/>
        </w:rPr>
      </w:pPr>
    </w:p>
    <w:p>
      <w:pPr>
        <w:rPr>
          <w:rFonts w:ascii="Times New Roman" w:hAnsi="Times New Roman"/>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表4</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2019年区级一般公共预算转移支付支出执行表</w:t>
      </w:r>
    </w:p>
    <w:p>
      <w:pPr>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（分乡镇）</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2879"/>
        <w:gridCol w:w="2196"/>
        <w:gridCol w:w="2197"/>
        <w:gridCol w:w="2197"/>
      </w:tblGrid>
      <w:tr>
        <w:tblPrEx>
          <w:tblCellMar>
            <w:top w:w="0" w:type="dxa"/>
            <w:left w:w="108" w:type="dxa"/>
            <w:bottom w:w="0" w:type="dxa"/>
            <w:right w:w="108" w:type="dxa"/>
          </w:tblCellMar>
        </w:tblPrEx>
        <w:trPr>
          <w:wBefore w:w="0" w:type="dxa"/>
          <w:wAfter w:w="0" w:type="dxa"/>
          <w:trHeight w:val="365" w:hRule="atLeast"/>
          <w:jc w:val="center"/>
        </w:trPr>
        <w:tc>
          <w:tcPr>
            <w:tcW w:w="2879"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6590" w:type="dxa"/>
            <w:gridSpan w:val="3"/>
            <w:tcBorders>
              <w:top w:val="single" w:color="auto" w:sz="12" w:space="0"/>
              <w:left w:val="nil"/>
              <w:bottom w:val="single" w:color="auto" w:sz="4" w:space="0"/>
              <w:right w:val="single" w:color="auto" w:sz="12"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CellMar>
            <w:top w:w="0" w:type="dxa"/>
            <w:left w:w="108" w:type="dxa"/>
            <w:bottom w:w="0" w:type="dxa"/>
            <w:right w:w="108" w:type="dxa"/>
          </w:tblCellMar>
        </w:tblPrEx>
        <w:trPr>
          <w:wBefore w:w="0" w:type="dxa"/>
          <w:wAfter w:w="0" w:type="dxa"/>
          <w:trHeight w:val="365" w:hRule="atLeast"/>
          <w:jc w:val="center"/>
        </w:trPr>
        <w:tc>
          <w:tcPr>
            <w:tcW w:w="2879"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left"/>
              <w:rPr>
                <w:rFonts w:ascii="Times New Roman" w:hAnsi="Times New Roman" w:eastAsia="方正黑体_GBK"/>
                <w:b/>
                <w:bCs/>
                <w:kern w:val="0"/>
                <w:sz w:val="22"/>
                <w:szCs w:val="22"/>
              </w:rPr>
            </w:pPr>
          </w:p>
        </w:tc>
        <w:tc>
          <w:tcPr>
            <w:tcW w:w="219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小  计</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一般性转移支付</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专项转移支付</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nil"/>
            </w:tcBorders>
            <w:noWrap w:val="0"/>
            <w:vAlign w:val="center"/>
          </w:tcPr>
          <w:p>
            <w:pPr>
              <w:widowControl/>
              <w:spacing w:line="24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补助乡镇合计</w:t>
            </w:r>
          </w:p>
        </w:tc>
        <w:tc>
          <w:tcPr>
            <w:tcW w:w="2196" w:type="dxa"/>
            <w:tcBorders>
              <w:top w:val="nil"/>
              <w:left w:val="single" w:color="auto" w:sz="4" w:space="0"/>
              <w:bottom w:val="single" w:color="auto" w:sz="4" w:space="0"/>
              <w:right w:val="single" w:color="auto" w:sz="4"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67,680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47,929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b/>
                <w:bCs/>
                <w:kern w:val="0"/>
                <w:sz w:val="24"/>
              </w:rPr>
            </w:pPr>
            <w:r>
              <w:rPr>
                <w:rFonts w:ascii="Times New Roman" w:hAnsi="Times New Roman"/>
                <w:b/>
                <w:bCs/>
                <w:kern w:val="0"/>
                <w:sz w:val="24"/>
              </w:rPr>
              <w:t xml:space="preserve">19,751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城东街道办事处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2,800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2,388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412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城南街道办事处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2,471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2,083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388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城西街道办事处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2,702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2,184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518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舟白街道办事处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2,494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 1,804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690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中塘镇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2,466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1,506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960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小南海镇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2,806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1,623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1,183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冯家街道办事处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4,750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2,587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2,163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正阳街道办事处</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2,080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1,764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316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蓬东乡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1,739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1,393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346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邻鄂镇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1,817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1,279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538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阿蓬江镇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3,206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2,183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1,023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石会镇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2,601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1,900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701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沙坝镇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2,457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1,519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938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黑溪镇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1,932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1,392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540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黄溪镇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2,050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1,574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476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白石镇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2,170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1,451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719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杉岭乡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1,467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1,099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368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黎水镇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1,862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1,223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639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金溪镇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2,391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1,588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803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太极乡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1,707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1,337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370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白土乡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1,436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1,159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277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水田乡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1,543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1,219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324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马喇镇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1,993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1,612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381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五里乡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2,325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1,273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1,052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金洞乡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2,440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1,237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1,203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濯水镇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2,608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2,137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471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水市乡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1,829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1,432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397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石家镇</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2,098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1,569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529 </w:t>
            </w:r>
          </w:p>
        </w:tc>
      </w:tr>
      <w:tr>
        <w:tblPrEx>
          <w:tblCellMar>
            <w:top w:w="0" w:type="dxa"/>
            <w:left w:w="108" w:type="dxa"/>
            <w:bottom w:w="0" w:type="dxa"/>
            <w:right w:w="108" w:type="dxa"/>
          </w:tblCellMar>
        </w:tblPrEx>
        <w:trPr>
          <w:wBefore w:w="0" w:type="dxa"/>
          <w:wAfter w:w="0" w:type="dxa"/>
          <w:trHeight w:val="365" w:hRule="atLeast"/>
          <w:jc w:val="center"/>
        </w:trPr>
        <w:tc>
          <w:tcPr>
            <w:tcW w:w="2879"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新华乡</w:t>
            </w:r>
          </w:p>
        </w:tc>
        <w:tc>
          <w:tcPr>
            <w:tcW w:w="2196"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1,588 </w:t>
            </w:r>
          </w:p>
        </w:tc>
        <w:tc>
          <w:tcPr>
            <w:tcW w:w="2197" w:type="dxa"/>
            <w:tcBorders>
              <w:top w:val="nil"/>
              <w:left w:val="nil"/>
              <w:bottom w:val="single" w:color="auto" w:sz="4"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1,152 </w:t>
            </w:r>
          </w:p>
        </w:tc>
        <w:tc>
          <w:tcPr>
            <w:tcW w:w="2197" w:type="dxa"/>
            <w:tcBorders>
              <w:top w:val="nil"/>
              <w:left w:val="nil"/>
              <w:bottom w:val="single" w:color="auto" w:sz="4"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436 </w:t>
            </w:r>
          </w:p>
        </w:tc>
      </w:tr>
      <w:tr>
        <w:tblPrEx>
          <w:tblCellMar>
            <w:top w:w="0" w:type="dxa"/>
            <w:left w:w="108" w:type="dxa"/>
            <w:bottom w:w="0" w:type="dxa"/>
            <w:right w:w="108" w:type="dxa"/>
          </w:tblCellMar>
        </w:tblPrEx>
        <w:trPr>
          <w:wBefore w:w="0" w:type="dxa"/>
          <w:wAfter w:w="0" w:type="dxa"/>
          <w:trHeight w:val="366" w:hRule="atLeast"/>
          <w:jc w:val="center"/>
        </w:trPr>
        <w:tc>
          <w:tcPr>
            <w:tcW w:w="2879" w:type="dxa"/>
            <w:tcBorders>
              <w:top w:val="nil"/>
              <w:left w:val="single" w:color="auto" w:sz="12" w:space="0"/>
              <w:bottom w:val="single" w:color="auto" w:sz="12" w:space="0"/>
              <w:right w:val="single" w:color="auto" w:sz="4" w:space="0"/>
            </w:tcBorders>
            <w:noWrap w:val="0"/>
            <w:vAlign w:val="center"/>
          </w:tcPr>
          <w:p>
            <w:pPr>
              <w:widowControl/>
              <w:spacing w:line="240" w:lineRule="exact"/>
              <w:rPr>
                <w:rFonts w:ascii="Times New Roman" w:hAnsi="Times New Roman" w:eastAsia="方正仿宋_GBK"/>
                <w:kern w:val="0"/>
                <w:sz w:val="22"/>
                <w:szCs w:val="22"/>
              </w:rPr>
            </w:pPr>
            <w:r>
              <w:rPr>
                <w:rFonts w:ascii="Times New Roman" w:hAnsi="Times New Roman" w:eastAsia="方正仿宋_GBK"/>
                <w:kern w:val="0"/>
                <w:sz w:val="22"/>
                <w:szCs w:val="22"/>
              </w:rPr>
              <w:t>鹅池镇</w:t>
            </w:r>
          </w:p>
        </w:tc>
        <w:tc>
          <w:tcPr>
            <w:tcW w:w="2196" w:type="dxa"/>
            <w:tcBorders>
              <w:top w:val="nil"/>
              <w:left w:val="nil"/>
              <w:bottom w:val="single" w:color="auto" w:sz="12"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1,852 </w:t>
            </w:r>
          </w:p>
        </w:tc>
        <w:tc>
          <w:tcPr>
            <w:tcW w:w="2197" w:type="dxa"/>
            <w:tcBorders>
              <w:top w:val="nil"/>
              <w:left w:val="nil"/>
              <w:bottom w:val="single" w:color="auto" w:sz="12" w:space="0"/>
              <w:right w:val="single" w:color="auto" w:sz="4"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1,262 </w:t>
            </w:r>
          </w:p>
        </w:tc>
        <w:tc>
          <w:tcPr>
            <w:tcW w:w="2197" w:type="dxa"/>
            <w:tcBorders>
              <w:top w:val="nil"/>
              <w:left w:val="nil"/>
              <w:bottom w:val="single" w:color="auto" w:sz="12" w:space="0"/>
              <w:right w:val="single" w:color="auto" w:sz="12" w:space="0"/>
            </w:tcBorders>
            <w:noWrap w:val="0"/>
            <w:vAlign w:val="center"/>
          </w:tcPr>
          <w:p>
            <w:pPr>
              <w:widowControl/>
              <w:spacing w:line="240" w:lineRule="exact"/>
              <w:jc w:val="right"/>
              <w:rPr>
                <w:rFonts w:ascii="Times New Roman" w:hAnsi="Times New Roman"/>
                <w:kern w:val="0"/>
                <w:sz w:val="24"/>
              </w:rPr>
            </w:pPr>
            <w:r>
              <w:rPr>
                <w:rFonts w:ascii="Times New Roman" w:hAnsi="Times New Roman"/>
                <w:kern w:val="0"/>
                <w:sz w:val="24"/>
              </w:rPr>
              <w:t xml:space="preserve">590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注：本表直观反映2019年区级对各乡镇的补助情况。</w:t>
      </w: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表5</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2019年区级一般公共预算转移支付支出执行表</w:t>
      </w:r>
    </w:p>
    <w:p>
      <w:pPr>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（分项目）</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3"/>
        <w:gridCol w:w="1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266"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补助乡镇合计</w:t>
            </w:r>
          </w:p>
        </w:tc>
        <w:tc>
          <w:tcPr>
            <w:tcW w:w="1266"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67680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一、一般性转移支付</w:t>
            </w:r>
          </w:p>
        </w:tc>
        <w:tc>
          <w:tcPr>
            <w:tcW w:w="1266"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47929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1.基本支出（工资福利支出、对个人</w:t>
            </w:r>
            <w:r>
              <w:rPr>
                <w:rFonts w:hint="eastAsia" w:ascii="Times New Roman" w:hAnsi="Times New Roman" w:eastAsia="方正仿宋_GBK"/>
                <w:kern w:val="0"/>
                <w:sz w:val="22"/>
                <w:szCs w:val="22"/>
              </w:rPr>
              <w:t>和</w:t>
            </w:r>
            <w:r>
              <w:rPr>
                <w:rFonts w:ascii="Times New Roman" w:hAnsi="Times New Roman" w:eastAsia="方正仿宋_GBK"/>
                <w:kern w:val="0"/>
                <w:sz w:val="22"/>
                <w:szCs w:val="22"/>
              </w:rPr>
              <w:t>家庭的补助</w:t>
            </w:r>
            <w:r>
              <w:rPr>
                <w:rFonts w:hint="eastAsia" w:ascii="Times New Roman" w:hAnsi="Times New Roman" w:eastAsia="方正仿宋_GBK"/>
                <w:kern w:val="0"/>
                <w:sz w:val="22"/>
                <w:szCs w:val="22"/>
              </w:rPr>
              <w:t>支出</w:t>
            </w:r>
            <w:r>
              <w:rPr>
                <w:rFonts w:ascii="Times New Roman" w:hAnsi="Times New Roman" w:eastAsia="方正仿宋_GBK"/>
                <w:kern w:val="0"/>
                <w:sz w:val="22"/>
                <w:szCs w:val="22"/>
              </w:rPr>
              <w:t>、商品服务支出）</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38771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2.经常性专项（城镇保洁、市政维护、综治安全等）</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shd w:val="clear" w:color="auto" w:fill="auto"/>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3.产业发展补助（烤烟、蚕桑、畜牧、特色产业）和其他激励补助</w:t>
            </w:r>
          </w:p>
        </w:tc>
        <w:tc>
          <w:tcPr>
            <w:tcW w:w="1266" w:type="dxa"/>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1170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4.非税收入结算补助</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5.本土人才挂职补贴</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6.基本支出清算（非统发）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7.遗属生活补助清算</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hint="eastAsia" w:ascii="Times New Roman" w:hAnsi="Times New Roman" w:eastAsia="方正仿宋_GBK"/>
                <w:kern w:val="0"/>
                <w:sz w:val="22"/>
                <w:szCs w:val="22"/>
              </w:rPr>
            </w:pPr>
            <w:r>
              <w:rPr>
                <w:rFonts w:ascii="Times New Roman" w:hAnsi="Times New Roman" w:eastAsia="方正仿宋_GBK"/>
                <w:kern w:val="0"/>
                <w:sz w:val="22"/>
                <w:szCs w:val="22"/>
              </w:rPr>
              <w:t>8.调整基本工资及离</w:t>
            </w:r>
            <w:r>
              <w:rPr>
                <w:rFonts w:hint="eastAsia" w:ascii="Times New Roman" w:hAnsi="Times New Roman" w:eastAsia="方正仿宋_GBK"/>
                <w:kern w:val="0"/>
                <w:sz w:val="22"/>
                <w:szCs w:val="22"/>
              </w:rPr>
              <w:t>退</w:t>
            </w:r>
            <w:r>
              <w:rPr>
                <w:rFonts w:ascii="Times New Roman" w:hAnsi="Times New Roman" w:eastAsia="方正仿宋_GBK"/>
                <w:kern w:val="0"/>
                <w:sz w:val="22"/>
                <w:szCs w:val="22"/>
              </w:rPr>
              <w:t>休人员</w:t>
            </w:r>
            <w:r>
              <w:rPr>
                <w:rFonts w:hint="eastAsia" w:ascii="Times New Roman" w:hAnsi="Times New Roman" w:eastAsia="方正仿宋_GBK"/>
                <w:kern w:val="0"/>
                <w:sz w:val="22"/>
                <w:szCs w:val="22"/>
              </w:rPr>
              <w:t>健康休养费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9.退休人员一次性补贴</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10.统发工资清算及其他支出</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2607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二、专项转移支付</w:t>
            </w:r>
          </w:p>
        </w:tc>
        <w:tc>
          <w:tcPr>
            <w:tcW w:w="1266"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19751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1.基层政权建设</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2.乡镇房屋维修</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3.革命老区资金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4.丧葬抚恤金及公务员福利费统筹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5.农村公路建设专项资金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6.乡村振兴示范点建设（整合资金第一批）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7.2019年岩溶地区石漠化综合治理工程中央基建投资和市级项目补助资金预算</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8.2019年新一轮退耕还林种苗造林费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9.2019年乡村公路养护补助资金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10.清偿民营企业中小企业账款</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11.“一江两岸”休闲农业与乡村旅游示范带农村房屋风貌改造</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12.农村环境连片整治专项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13.国土绿化提升工程-黔江区2019年农村“四旁”植树计划及投资</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14.2019年松材线虫病除治经费（补充分配资金）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15.2019年蚕桑蚕业发展项目（整合资金第一批）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16.2019年农业产业化扶持政策资金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17.森林资源管护项目</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表5</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2019年区级一般公共预算转移支付支出执行表</w:t>
      </w:r>
    </w:p>
    <w:p>
      <w:pPr>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（分项目）</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3"/>
        <w:gridCol w:w="1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266"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18.两违整治专项经费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19.环卫项目支出</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20.黔江区建卡贫困户农村卫生厕所改造项目（整合资金第二批）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21.社区网格化服务和铁路护路联防工作经费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22.扶贫小额信贷贴息（整合资金第一批）-2018年扶贫小额信贷贴息资金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23.长江防护林三期工程2019年中央基建投资预算-天然林资源保护工程（封山育林）</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24.非洲猪瘟防控专项经费（整合资金第一批）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25.2019年老党员生活补贴</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26.乡村振兴综合试验示范点2019年重点项目（补充分配第二批）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27.山坳村水产养殖扶贫项目（补充分配第五批）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28.生态护林员招聘-2019年建档立卡贫困人口生态护林员补助资金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29.2019年市级残疾人事业发展资金预算（第二次）</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30.邻鄂镇艾坪村1组电子槽至铁泥坝工程款</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31.沙坝中信助力路项目（硬化木良村产业路）</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32.2019年农村危房改造中央补助资金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33.2019年土地指标跨省域调剂收入安排的支出预算资金（厕所革命）</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34.2018-2019年自然灾害生活补助资金（冬春生活救助）</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35.产业路（整合资金第二批）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36.黔江区农村三变改革试点项目（整合资金第二批）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37.舟白街道箭坝七组煤场工程款和监理费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38.城周森林屏障及通道绿化土地租金（补充分配第二批）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39.公共文化中心2019年免费开放日常运行经费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40.特色农产品展示厅及电商供应链集配中心建设项目资金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41.沙坝中信互助养老中心试点项目</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42.2019年度商务发展专项资金预算（茧丝绸发展资金）</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43.2019年村社食品药品协管员经费市级补助</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44.2019年黔江区（入户道路）村社便道硬化项目（整合资金第二批）</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8203"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45.其他公路工程款及监理费等</w:t>
            </w:r>
          </w:p>
        </w:tc>
        <w:tc>
          <w:tcPr>
            <w:tcW w:w="1266"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4417 </w:t>
            </w:r>
          </w:p>
        </w:tc>
      </w:tr>
    </w:tbl>
    <w:p>
      <w:pPr>
        <w:rPr>
          <w:rFonts w:ascii="Times New Roman" w:hAnsi="Times New Roman"/>
          <w:kern w:val="0"/>
          <w:sz w:val="22"/>
          <w:szCs w:val="22"/>
        </w:rPr>
      </w:pPr>
    </w:p>
    <w:p>
      <w:pPr>
        <w:rPr>
          <w:rFonts w:ascii="Times New Roman" w:hAnsi="Times New Roman"/>
          <w:kern w:val="0"/>
          <w:sz w:val="22"/>
          <w:szCs w:val="22"/>
        </w:rPr>
      </w:pPr>
    </w:p>
    <w:p>
      <w:pPr>
        <w:rPr>
          <w:rFonts w:ascii="Times New Roman" w:hAnsi="Times New Roman"/>
          <w:kern w:val="0"/>
          <w:sz w:val="22"/>
          <w:szCs w:val="22"/>
        </w:rPr>
      </w:pPr>
    </w:p>
    <w:p>
      <w:pPr>
        <w:spacing w:line="300" w:lineRule="exact"/>
        <w:rPr>
          <w:rFonts w:ascii="Times New Roman" w:hAnsi="Times New Roman" w:eastAsia="方正仿宋_GBK"/>
          <w:kern w:val="0"/>
          <w:sz w:val="24"/>
        </w:rPr>
      </w:pPr>
      <w:bookmarkStart w:id="1" w:name="RANGE!A1:K19"/>
      <w:r>
        <w:rPr>
          <w:rFonts w:ascii="Times New Roman" w:hAnsi="Times New Roman" w:eastAsia="方正仿宋_GBK"/>
          <w:kern w:val="0"/>
          <w:sz w:val="24"/>
        </w:rPr>
        <w:t>表6</w:t>
      </w:r>
      <w:bookmarkEnd w:id="1"/>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2019年区级政府性基金预算收支执行表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948"/>
        <w:gridCol w:w="848"/>
        <w:gridCol w:w="835"/>
        <w:gridCol w:w="2658"/>
        <w:gridCol w:w="947"/>
        <w:gridCol w:w="7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948"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c>
          <w:tcPr>
            <w:tcW w:w="848"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同口径增长%</w:t>
            </w:r>
          </w:p>
        </w:tc>
        <w:tc>
          <w:tcPr>
            <w:tcW w:w="835"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自然比增长%</w:t>
            </w:r>
          </w:p>
        </w:tc>
        <w:tc>
          <w:tcPr>
            <w:tcW w:w="2658"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947"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c>
          <w:tcPr>
            <w:tcW w:w="761"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自然比增长%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48"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197,874 </w:t>
            </w:r>
          </w:p>
        </w:tc>
        <w:tc>
          <w:tcPr>
            <w:tcW w:w="848"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2658"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47"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197,874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一、本级收入合计</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b/>
                <w:bCs/>
                <w:kern w:val="0"/>
                <w:sz w:val="24"/>
              </w:rPr>
              <w:t>91,963</w:t>
            </w:r>
            <w:r>
              <w:rPr>
                <w:rFonts w:ascii="Times New Roman" w:hAnsi="Times New Roman"/>
                <w:kern w:val="0"/>
                <w:sz w:val="24"/>
              </w:rPr>
              <w:t xml:space="preserve"> </w:t>
            </w:r>
          </w:p>
        </w:tc>
        <w:tc>
          <w:tcPr>
            <w:tcW w:w="848" w:type="dxa"/>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50.7 </w:t>
            </w:r>
          </w:p>
        </w:tc>
        <w:tc>
          <w:tcPr>
            <w:tcW w:w="835" w:type="dxa"/>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65.7 </w:t>
            </w:r>
          </w:p>
        </w:tc>
        <w:tc>
          <w:tcPr>
            <w:tcW w:w="2658" w:type="dxa"/>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一、本级支出合计</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b/>
                <w:bCs/>
                <w:kern w:val="0"/>
                <w:sz w:val="24"/>
                <w:lang w:bidi="ar"/>
              </w:rPr>
              <w:t>145,805</w:t>
            </w:r>
            <w:r>
              <w:rPr>
                <w:rFonts w:ascii="Times New Roman" w:hAnsi="Times New Roman"/>
                <w:kern w:val="0"/>
                <w:sz w:val="24"/>
                <w:lang w:bidi="ar"/>
              </w:rPr>
              <w:t xml:space="preserve"> </w:t>
            </w:r>
          </w:p>
        </w:tc>
        <w:tc>
          <w:tcPr>
            <w:tcW w:w="761" w:type="dxa"/>
            <w:noWrap w:val="0"/>
            <w:tcMar>
              <w:left w:w="28" w:type="dxa"/>
              <w:right w:w="57" w:type="dxa"/>
            </w:tcMar>
            <w:vAlign w:val="center"/>
          </w:tcPr>
          <w:p>
            <w:pPr>
              <w:widowControl/>
              <w:jc w:val="right"/>
              <w:textAlignment w:val="center"/>
              <w:rPr>
                <w:rFonts w:ascii="Times New Roman" w:hAnsi="Times New Roman"/>
                <w:b/>
                <w:kern w:val="0"/>
                <w:sz w:val="24"/>
              </w:rPr>
            </w:pPr>
            <w:r>
              <w:rPr>
                <w:rFonts w:ascii="Times New Roman" w:hAnsi="Times New Roman"/>
                <w:b/>
                <w:kern w:val="0"/>
                <w:sz w:val="24"/>
                <w:lang w:bidi="ar"/>
              </w:rPr>
              <w:t xml:space="preserve">36.6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（一）国有土地收益基金收入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1,932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109.8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109.8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（一）文化体育与传媒支出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39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（二）农业土地开发资金收入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222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177.5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177.5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（二）社会保障和就业支出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933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-15.7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（三）国有土地使用权出让收入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69,787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35.0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35.0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（三）城乡社区支出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137,865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42.1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（四）城市基础设施配套费收入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20,022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139.5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614.3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（四）农林水支出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704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17.5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二、转移性收入合计</w:t>
            </w:r>
          </w:p>
        </w:tc>
        <w:tc>
          <w:tcPr>
            <w:tcW w:w="948" w:type="dxa"/>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105,911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（五）其他支出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3,232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-33.8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（一）上级补助收入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25,267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（六）债务付息支出</w:t>
            </w:r>
          </w:p>
        </w:tc>
        <w:tc>
          <w:tcPr>
            <w:tcW w:w="947"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3,032 </w:t>
            </w:r>
          </w:p>
        </w:tc>
        <w:tc>
          <w:tcPr>
            <w:tcW w:w="761" w:type="dxa"/>
            <w:noWrap w:val="0"/>
            <w:tcMar>
              <w:left w:w="28" w:type="dxa"/>
              <w:right w:w="57" w:type="dxa"/>
            </w:tcMar>
            <w:vAlign w:val="center"/>
          </w:tcPr>
          <w:p>
            <w:pPr>
              <w:widowControl/>
              <w:jc w:val="right"/>
              <w:textAlignment w:val="center"/>
              <w:rPr>
                <w:rFonts w:ascii="Times New Roman" w:hAnsi="Times New Roman"/>
                <w:kern w:val="0"/>
                <w:sz w:val="24"/>
              </w:rPr>
            </w:pPr>
            <w:r>
              <w:rPr>
                <w:rFonts w:ascii="Times New Roman" w:hAnsi="Times New Roman"/>
                <w:kern w:val="0"/>
                <w:sz w:val="24"/>
                <w:lang w:bidi="ar"/>
              </w:rPr>
              <w:t xml:space="preserve">10.2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（二）债务转贷收入</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68,000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二、转移性支出合计</w:t>
            </w:r>
          </w:p>
        </w:tc>
        <w:tc>
          <w:tcPr>
            <w:tcW w:w="947" w:type="dxa"/>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52,069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地方政府专项债券转贷收入（新增）</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68,000 </w:t>
            </w: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（一）上解支出</w:t>
            </w:r>
          </w:p>
        </w:tc>
        <w:tc>
          <w:tcPr>
            <w:tcW w:w="947"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1,551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（三）上年结转</w:t>
            </w: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12,644 </w:t>
            </w:r>
          </w:p>
        </w:tc>
        <w:tc>
          <w:tcPr>
            <w:tcW w:w="848"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（二）补助乡镇支出</w:t>
            </w:r>
          </w:p>
        </w:tc>
        <w:tc>
          <w:tcPr>
            <w:tcW w:w="947"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4,254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p>
        </w:tc>
        <w:tc>
          <w:tcPr>
            <w:tcW w:w="848"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（三）调出资金</w:t>
            </w:r>
          </w:p>
        </w:tc>
        <w:tc>
          <w:tcPr>
            <w:tcW w:w="947"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29,107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472" w:type="dxa"/>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948" w:type="dxa"/>
            <w:noWrap w:val="0"/>
            <w:tcMar>
              <w:left w:w="28" w:type="dxa"/>
              <w:right w:w="57" w:type="dxa"/>
            </w:tcMar>
            <w:vAlign w:val="center"/>
          </w:tcPr>
          <w:p>
            <w:pPr>
              <w:widowControl/>
              <w:spacing w:line="260" w:lineRule="exact"/>
              <w:jc w:val="right"/>
              <w:rPr>
                <w:rFonts w:ascii="Times New Roman" w:hAnsi="Times New Roman"/>
                <w:kern w:val="0"/>
                <w:sz w:val="24"/>
              </w:rPr>
            </w:pPr>
          </w:p>
        </w:tc>
        <w:tc>
          <w:tcPr>
            <w:tcW w:w="84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3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658"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（四）结转下年</w:t>
            </w:r>
          </w:p>
        </w:tc>
        <w:tc>
          <w:tcPr>
            <w:tcW w:w="947"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17,157 </w:t>
            </w:r>
          </w:p>
        </w:tc>
        <w:tc>
          <w:tcPr>
            <w:tcW w:w="761"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注：本表直观反映2019年政府性基金预算收入与支出的平衡关系：收入总计（本级收入合计+转移性收入合计）=支出总计（本级支出合计+转移性支出合计）。</w:t>
      </w: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ind w:left="-210" w:leftChars="-100" w:right="-210" w:rightChars="-100"/>
        <w:rPr>
          <w:rFonts w:ascii="Times New Roman" w:hAnsi="Times New Roman"/>
          <w:kern w:val="0"/>
          <w:sz w:val="22"/>
          <w:szCs w:val="22"/>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表7</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2019年区级政府性基金预算支出执行表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6883"/>
        <w:gridCol w:w="2586"/>
      </w:tblGrid>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12" w:space="0"/>
              <w:left w:val="single" w:color="auto" w:sz="12" w:space="0"/>
              <w:bottom w:val="single" w:color="auto" w:sz="4" w:space="0"/>
              <w:right w:val="nil"/>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2586" w:type="dxa"/>
            <w:tcBorders>
              <w:top w:val="single" w:color="auto" w:sz="12" w:space="0"/>
              <w:left w:val="single" w:color="auto" w:sz="4" w:space="0"/>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000000"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本级支出合计</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145,805</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一、文化</w:t>
            </w:r>
            <w:r>
              <w:rPr>
                <w:rFonts w:hint="eastAsia" w:ascii="Times New Roman" w:hAnsi="Times New Roman" w:eastAsia="方正黑体_GBK"/>
                <w:bCs/>
                <w:kern w:val="0"/>
                <w:sz w:val="22"/>
                <w:szCs w:val="22"/>
              </w:rPr>
              <w:t>旅游</w:t>
            </w:r>
            <w:r>
              <w:rPr>
                <w:rFonts w:ascii="Times New Roman" w:hAnsi="Times New Roman" w:eastAsia="方正黑体_GBK"/>
                <w:bCs/>
                <w:kern w:val="0"/>
                <w:sz w:val="22"/>
                <w:szCs w:val="22"/>
              </w:rPr>
              <w:t>体育与传媒支出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旅游发展基金支出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地方旅游开发项目补助</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 xml:space="preserve">其他旅游发展基金支出 </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二、社会保障和就业支出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933</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大中型水库移民后期扶持基金支出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923</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移民补助</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459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基础设施建设和经济发展</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464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小型水库移民扶助基金及对应专项债务收入安排的支出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基础设施建设和经济发展</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三、城乡社区支出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137,865</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国有土地使用权出让收入及对应专项债务收入安排的支出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68,823</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征地和拆迁补偿支出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27,814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土地开发支出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459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城市建设支出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21,043</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农村基础设施建设支出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739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其他国有土地使用权出让收入安排的支出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18,768</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国有土地收益基金安排的支出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98</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其他国有土地收益基金支出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98</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城市基础设施配套费及对应专项债务收入安排的支出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1,200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城市公共设施</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1,200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土地储备专项债券收入安排的支出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9,000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其他土地储备专项债券收入安排的支出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9,000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棚户区改造专项债券收入安排的支出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58,744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其他棚户区改造专项债券收入安排的支出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58,744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四、农林水支出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b/>
                <w:bCs/>
                <w:kern w:val="0"/>
                <w:sz w:val="24"/>
              </w:rPr>
              <w:t>704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大中型水库库区基金及对应专项债务收入安排的支出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664</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12"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基础设施建设和经济发展</w:t>
            </w:r>
          </w:p>
        </w:tc>
        <w:tc>
          <w:tcPr>
            <w:tcW w:w="2586" w:type="dxa"/>
            <w:tcBorders>
              <w:top w:val="single" w:color="auto" w:sz="4" w:space="0"/>
              <w:left w:val="nil"/>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664</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表7</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2019年区级政府性基金预算支出执行表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6883"/>
        <w:gridCol w:w="2586"/>
      </w:tblGrid>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12" w:space="0"/>
              <w:left w:val="single" w:color="auto" w:sz="12" w:space="0"/>
              <w:bottom w:val="single" w:color="auto" w:sz="4" w:space="0"/>
              <w:right w:val="nil"/>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2586" w:type="dxa"/>
            <w:tcBorders>
              <w:top w:val="single" w:color="auto" w:sz="12" w:space="0"/>
              <w:left w:val="single" w:color="auto" w:sz="4" w:space="0"/>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三峡水库库区基金支出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40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其他三峡水库库区基金支出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五、其他支出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3,232</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彩票发行销售机构业务费安排的支出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11</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彩票市场调控资金支出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b/>
                <w:bCs/>
                <w:kern w:val="0"/>
                <w:sz w:val="22"/>
                <w:szCs w:val="22"/>
              </w:rPr>
            </w:pPr>
            <w:r>
              <w:rPr>
                <w:rFonts w:ascii="Times New Roman" w:hAnsi="Times New Roman"/>
                <w:b/>
                <w:bCs/>
                <w:kern w:val="0"/>
                <w:sz w:val="22"/>
                <w:szCs w:val="22"/>
              </w:rPr>
              <w:t>彩票</w:t>
            </w:r>
            <w:r>
              <w:rPr>
                <w:rFonts w:ascii="Times New Roman" w:hAnsi="Times New Roman" w:eastAsia="方正黑体_GBK"/>
                <w:bCs/>
                <w:kern w:val="0"/>
                <w:sz w:val="22"/>
                <w:szCs w:val="22"/>
              </w:rPr>
              <w:t>发行销售机构业务费安排的支出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22</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其他彩票发行销售机构业务费安排的支出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22</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彩票公益金及对应专项债务收入安排的支出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3,199</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用于社会福利的彩票公益金支出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661</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用于体育事业的彩票公益金支出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1,735</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用于教育事业的彩票公益金支出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用于残疾人事业的彩票公益金支出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93</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用于其他社会公益事业的彩票公益金支出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600</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六、债务付息支出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3,032</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地方政府专项债务付息支出</w:t>
            </w:r>
          </w:p>
        </w:tc>
        <w:tc>
          <w:tcPr>
            <w:tcW w:w="2586"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3,032</w:t>
            </w:r>
          </w:p>
        </w:tc>
      </w:tr>
      <w:tr>
        <w:tblPrEx>
          <w:tblCellMar>
            <w:top w:w="0" w:type="dxa"/>
            <w:left w:w="108" w:type="dxa"/>
            <w:bottom w:w="0" w:type="dxa"/>
            <w:right w:w="108" w:type="dxa"/>
          </w:tblCellMar>
        </w:tblPrEx>
        <w:trPr>
          <w:wBefore w:w="0" w:type="dxa"/>
          <w:wAfter w:w="0" w:type="dxa"/>
          <w:trHeight w:val="425" w:hRule="atLeast"/>
          <w:jc w:val="center"/>
        </w:trPr>
        <w:tc>
          <w:tcPr>
            <w:tcW w:w="6883" w:type="dxa"/>
            <w:tcBorders>
              <w:top w:val="single" w:color="auto" w:sz="4" w:space="0"/>
              <w:left w:val="single" w:color="auto" w:sz="12" w:space="0"/>
              <w:bottom w:val="single" w:color="auto" w:sz="12"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国有土地使用权出让金债务付息支出</w:t>
            </w:r>
          </w:p>
        </w:tc>
        <w:tc>
          <w:tcPr>
            <w:tcW w:w="2586" w:type="dxa"/>
            <w:tcBorders>
              <w:top w:val="single" w:color="auto" w:sz="4" w:space="0"/>
              <w:left w:val="nil"/>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3,032</w:t>
            </w:r>
          </w:p>
        </w:tc>
      </w:tr>
    </w:tbl>
    <w:p>
      <w:pPr>
        <w:spacing w:line="300" w:lineRule="exact"/>
        <w:ind w:left="-210" w:leftChars="-100" w:right="-210" w:rightChars="-100"/>
        <w:rPr>
          <w:rFonts w:ascii="Times New Roman" w:hAnsi="Times New Roman" w:eastAsia="方正仿宋_GBK"/>
          <w:spacing w:val="-8"/>
          <w:kern w:val="0"/>
          <w:sz w:val="22"/>
          <w:szCs w:val="22"/>
        </w:rPr>
      </w:pPr>
      <w:r>
        <w:rPr>
          <w:rFonts w:ascii="Times New Roman" w:hAnsi="Times New Roman" w:eastAsia="方正仿宋_GBK"/>
          <w:spacing w:val="-8"/>
          <w:kern w:val="0"/>
          <w:sz w:val="22"/>
          <w:szCs w:val="22"/>
        </w:rPr>
        <w:t>注：本表详细反映2019年政府性基金预算本级支出情况，按《预算法》要求细化到功能分类项级科目。</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表8</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2019年区级国有资本经营预算收支执行表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3460"/>
        <w:gridCol w:w="962"/>
        <w:gridCol w:w="854"/>
        <w:gridCol w:w="2782"/>
        <w:gridCol w:w="936"/>
        <w:gridCol w:w="749"/>
      </w:tblGrid>
      <w:tr>
        <w:tblPrEx>
          <w:tblCellMar>
            <w:top w:w="0" w:type="dxa"/>
            <w:left w:w="108" w:type="dxa"/>
            <w:bottom w:w="0" w:type="dxa"/>
            <w:right w:w="108" w:type="dxa"/>
          </w:tblCellMar>
        </w:tblPrEx>
        <w:trPr>
          <w:wBefore w:w="0" w:type="dxa"/>
          <w:wAfter w:w="0" w:type="dxa"/>
          <w:trHeight w:val="660" w:hRule="atLeast"/>
          <w:jc w:val="center"/>
        </w:trPr>
        <w:tc>
          <w:tcPr>
            <w:tcW w:w="3460" w:type="dxa"/>
            <w:tcBorders>
              <w:top w:val="single" w:color="auto" w:sz="12" w:space="0"/>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962" w:type="dxa"/>
            <w:tcBorders>
              <w:top w:val="single" w:color="auto" w:sz="12" w:space="0"/>
              <w:left w:val="nil"/>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c>
          <w:tcPr>
            <w:tcW w:w="854" w:type="dxa"/>
            <w:tcBorders>
              <w:top w:val="single" w:color="auto" w:sz="12" w:space="0"/>
              <w:left w:val="nil"/>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增长%</w:t>
            </w:r>
          </w:p>
        </w:tc>
        <w:tc>
          <w:tcPr>
            <w:tcW w:w="2782" w:type="dxa"/>
            <w:tcBorders>
              <w:top w:val="single" w:color="auto" w:sz="12" w:space="0"/>
              <w:left w:val="nil"/>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936" w:type="dxa"/>
            <w:tcBorders>
              <w:top w:val="single" w:color="auto" w:sz="12" w:space="0"/>
              <w:left w:val="nil"/>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2019年执行数</w:t>
            </w:r>
          </w:p>
        </w:tc>
        <w:tc>
          <w:tcPr>
            <w:tcW w:w="749" w:type="dxa"/>
            <w:tcBorders>
              <w:top w:val="single" w:color="auto" w:sz="12" w:space="0"/>
              <w:left w:val="nil"/>
              <w:bottom w:val="single" w:color="auto" w:sz="4" w:space="0"/>
              <w:right w:val="single" w:color="auto" w:sz="12"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增长%</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16,578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36"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16,578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一、本级收入合计</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15,482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62.8 </w:t>
            </w: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一、本级支出合计</w:t>
            </w:r>
          </w:p>
        </w:tc>
        <w:tc>
          <w:tcPr>
            <w:tcW w:w="936"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9,985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9.4 </w:t>
            </w:r>
          </w:p>
        </w:tc>
      </w:tr>
      <w:tr>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hint="eastAsia" w:ascii="Times New Roman" w:hAnsi="Times New Roman" w:eastAsia="方正仿宋_GBK" w:cs="方正仿宋_GBK"/>
                <w:kern w:val="0"/>
                <w:sz w:val="22"/>
                <w:szCs w:val="22"/>
              </w:rPr>
            </w:pPr>
            <w:r>
              <w:rPr>
                <w:rFonts w:hint="eastAsia" w:ascii="Times New Roman" w:hAnsi="Times New Roman" w:eastAsia="方正仿宋_GBK" w:cs="方正仿宋_GBK"/>
                <w:kern w:val="0"/>
                <w:sz w:val="22"/>
                <w:szCs w:val="22"/>
              </w:rPr>
              <w:t>（一）利润收入</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8,997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hint="eastAsia" w:ascii="Times New Roman" w:hAnsi="Times New Roman"/>
                <w:kern w:val="0"/>
                <w:sz w:val="24"/>
              </w:rPr>
              <w:t>-2.2</w:t>
            </w:r>
            <w:r>
              <w:rPr>
                <w:rFonts w:ascii="Times New Roman" w:hAnsi="Times New Roman"/>
                <w:kern w:val="0"/>
                <w:sz w:val="24"/>
              </w:rPr>
              <w:t xml:space="preserve"> </w:t>
            </w:r>
          </w:p>
        </w:tc>
        <w:tc>
          <w:tcPr>
            <w:tcW w:w="4467" w:type="dxa"/>
            <w:gridSpan w:val="3"/>
            <w:tcBorders>
              <w:top w:val="single" w:color="auto" w:sz="4" w:space="0"/>
              <w:left w:val="nil"/>
              <w:bottom w:val="single" w:color="auto" w:sz="4" w:space="0"/>
              <w:right w:val="single" w:color="auto" w:sz="12" w:space="0"/>
            </w:tcBorders>
            <w:noWrap w:val="0"/>
            <w:tcMar>
              <w:left w:w="28" w:type="dxa"/>
              <w:right w:w="57" w:type="dxa"/>
            </w:tcMar>
            <w:vAlign w:val="center"/>
          </w:tcPr>
          <w:p>
            <w:pPr>
              <w:widowControl/>
              <w:spacing w:line="2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按支出功能科目分类</w:t>
            </w:r>
          </w:p>
        </w:tc>
      </w:tr>
      <w:tr>
        <w:tblPrEx>
          <w:tblCellMar>
            <w:top w:w="0" w:type="dxa"/>
            <w:left w:w="108" w:type="dxa"/>
            <w:bottom w:w="0" w:type="dxa"/>
            <w:right w:w="108" w:type="dxa"/>
          </w:tblCellMar>
        </w:tblPrEx>
        <w:trPr>
          <w:wBefore w:w="0" w:type="dxa"/>
          <w:wAfter w:w="0" w:type="dxa"/>
          <w:trHeight w:val="540"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hint="eastAsia" w:ascii="Times New Roman" w:hAnsi="Times New Roman" w:eastAsia="方正仿宋_GBK" w:cs="方正仿宋_GBK"/>
                <w:kern w:val="0"/>
                <w:sz w:val="22"/>
                <w:szCs w:val="22"/>
              </w:rPr>
            </w:pPr>
            <w:r>
              <w:rPr>
                <w:rFonts w:hint="eastAsia" w:ascii="Times New Roman" w:hAnsi="Times New Roman" w:eastAsia="方正仿宋_GBK" w:cs="方正仿宋_GBK"/>
                <w:kern w:val="0"/>
                <w:sz w:val="22"/>
                <w:szCs w:val="22"/>
              </w:rPr>
              <w:t>（二）股利、股息收入</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其他国有资本经营预算支出</w:t>
            </w:r>
          </w:p>
        </w:tc>
        <w:tc>
          <w:tcPr>
            <w:tcW w:w="936" w:type="dxa"/>
            <w:tcBorders>
              <w:top w:val="nil"/>
              <w:left w:val="nil"/>
              <w:bottom w:val="nil"/>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9,985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hint="eastAsia" w:ascii="Times New Roman" w:hAnsi="Times New Roman"/>
                <w:kern w:val="0"/>
                <w:sz w:val="24"/>
              </w:rPr>
              <w:t>9.4</w:t>
            </w:r>
            <w:r>
              <w:rPr>
                <w:rFonts w:ascii="Times New Roman" w:hAnsi="Times New Roman"/>
                <w:kern w:val="0"/>
                <w:sz w:val="24"/>
              </w:rPr>
              <w:t xml:space="preserve"> </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hint="eastAsia" w:ascii="Times New Roman" w:hAnsi="Times New Roman" w:eastAsia="方正仿宋_GBK" w:cs="方正仿宋_GBK"/>
                <w:kern w:val="0"/>
                <w:sz w:val="22"/>
                <w:szCs w:val="22"/>
              </w:rPr>
            </w:pPr>
            <w:r>
              <w:rPr>
                <w:rFonts w:hint="eastAsia" w:ascii="Times New Roman" w:hAnsi="Times New Roman" w:eastAsia="方正仿宋_GBK" w:cs="方正仿宋_GBK"/>
                <w:kern w:val="0"/>
                <w:sz w:val="22"/>
                <w:szCs w:val="22"/>
              </w:rPr>
              <w:t>（三）产权转让收入</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w:t>
            </w:r>
          </w:p>
        </w:tc>
        <w:tc>
          <w:tcPr>
            <w:tcW w:w="4467" w:type="dxa"/>
            <w:gridSpan w:val="3"/>
            <w:tcBorders>
              <w:top w:val="single" w:color="auto" w:sz="4" w:space="0"/>
              <w:left w:val="nil"/>
              <w:bottom w:val="single" w:color="auto" w:sz="4" w:space="0"/>
              <w:right w:val="single" w:color="auto" w:sz="12" w:space="0"/>
            </w:tcBorders>
            <w:noWrap w:val="0"/>
            <w:tcMar>
              <w:left w:w="28" w:type="dxa"/>
              <w:right w:w="57" w:type="dxa"/>
            </w:tcMar>
            <w:vAlign w:val="center"/>
          </w:tcPr>
          <w:p>
            <w:pPr>
              <w:widowControl/>
              <w:spacing w:line="2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按经济事项分类</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hint="eastAsia" w:ascii="Times New Roman" w:hAnsi="Times New Roman" w:eastAsia="方正仿宋_GBK" w:cs="方正仿宋_GBK"/>
                <w:kern w:val="0"/>
                <w:sz w:val="22"/>
                <w:szCs w:val="22"/>
              </w:rPr>
            </w:pPr>
            <w:r>
              <w:rPr>
                <w:rFonts w:hint="eastAsia" w:ascii="Times New Roman" w:hAnsi="Times New Roman" w:eastAsia="方正仿宋_GBK" w:cs="方正仿宋_GBK"/>
                <w:kern w:val="0"/>
                <w:sz w:val="22"/>
                <w:szCs w:val="22"/>
              </w:rPr>
              <w:t>（四）其他国有资本经营预算收入</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6,485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其他国有资本经营预算支出</w:t>
            </w:r>
          </w:p>
        </w:tc>
        <w:tc>
          <w:tcPr>
            <w:tcW w:w="936"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9,985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 </w:t>
            </w:r>
          </w:p>
        </w:tc>
      </w:tr>
      <w:tr>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黑体_GBK"/>
                <w:kern w:val="0"/>
                <w:sz w:val="22"/>
                <w:szCs w:val="22"/>
              </w:rPr>
              <w:t>二、转移性收入合计</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b/>
                <w:kern w:val="0"/>
                <w:sz w:val="24"/>
              </w:rPr>
              <w:t xml:space="preserve">1,096 </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b/>
                <w:kern w:val="0"/>
                <w:sz w:val="24"/>
              </w:rPr>
              <w:t>　</w:t>
            </w: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国有企业偿债及发展支出</w:t>
            </w:r>
          </w:p>
        </w:tc>
        <w:tc>
          <w:tcPr>
            <w:tcW w:w="936"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9,985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 </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kern w:val="0"/>
                <w:sz w:val="22"/>
                <w:szCs w:val="22"/>
              </w:rPr>
            </w:pPr>
            <w:r>
              <w:rPr>
                <w:rFonts w:hint="eastAsia" w:ascii="Times New Roman" w:hAnsi="Times New Roman" w:eastAsia="方正仿宋_GBK"/>
                <w:kern w:val="0"/>
                <w:sz w:val="22"/>
                <w:szCs w:val="22"/>
              </w:rPr>
              <w:t>（一</w:t>
            </w:r>
            <w:r>
              <w:rPr>
                <w:rFonts w:ascii="Times New Roman" w:hAnsi="Times New Roman" w:eastAsia="方正仿宋_GBK"/>
                <w:kern w:val="0"/>
                <w:sz w:val="22"/>
                <w:szCs w:val="22"/>
              </w:rPr>
              <w:t>）上年结转</w:t>
            </w:r>
          </w:p>
        </w:tc>
        <w:tc>
          <w:tcPr>
            <w:tcW w:w="96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1,096</w:t>
            </w:r>
          </w:p>
        </w:tc>
        <w:tc>
          <w:tcPr>
            <w:tcW w:w="854"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782"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二、转移性支出合计</w:t>
            </w:r>
          </w:p>
        </w:tc>
        <w:tc>
          <w:tcPr>
            <w:tcW w:w="936" w:type="dxa"/>
            <w:tcBorders>
              <w:top w:val="nil"/>
              <w:left w:val="nil"/>
              <w:bottom w:val="single" w:color="auto" w:sz="4"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6593 </w:t>
            </w:r>
          </w:p>
        </w:tc>
        <w:tc>
          <w:tcPr>
            <w:tcW w:w="749" w:type="dxa"/>
            <w:tcBorders>
              <w:top w:val="nil"/>
              <w:left w:val="nil"/>
              <w:bottom w:val="single" w:color="auto" w:sz="4" w:space="0"/>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nil"/>
              <w:left w:val="single" w:color="auto" w:sz="12" w:space="0"/>
              <w:bottom w:val="nil"/>
              <w:right w:val="single" w:color="auto" w:sz="4" w:space="0"/>
            </w:tcBorders>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962" w:type="dxa"/>
            <w:tcBorders>
              <w:top w:val="nil"/>
              <w:left w:val="nil"/>
              <w:bottom w:val="nil"/>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p>
        </w:tc>
        <w:tc>
          <w:tcPr>
            <w:tcW w:w="854" w:type="dxa"/>
            <w:tcBorders>
              <w:top w:val="nil"/>
              <w:left w:val="nil"/>
              <w:bottom w:val="nil"/>
              <w:right w:val="nil"/>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b/>
                <w:kern w:val="0"/>
                <w:sz w:val="24"/>
              </w:rPr>
              <w:t>　</w:t>
            </w:r>
          </w:p>
        </w:tc>
        <w:tc>
          <w:tcPr>
            <w:tcW w:w="2782" w:type="dxa"/>
            <w:tcBorders>
              <w:top w:val="nil"/>
              <w:left w:val="single" w:color="auto" w:sz="4" w:space="0"/>
              <w:bottom w:val="nil"/>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（一）调出资金</w:t>
            </w:r>
          </w:p>
        </w:tc>
        <w:tc>
          <w:tcPr>
            <w:tcW w:w="936" w:type="dxa"/>
            <w:tcBorders>
              <w:top w:val="nil"/>
              <w:left w:val="nil"/>
              <w:bottom w:val="nil"/>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3000 </w:t>
            </w:r>
          </w:p>
        </w:tc>
        <w:tc>
          <w:tcPr>
            <w:tcW w:w="749" w:type="dxa"/>
            <w:tcBorders>
              <w:top w:val="nil"/>
              <w:left w:val="nil"/>
              <w:bottom w:val="nil"/>
              <w:right w:val="single" w:color="auto" w:sz="12"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wBefore w:w="0" w:type="dxa"/>
          <w:wAfter w:w="0" w:type="dxa"/>
          <w:trHeight w:val="439" w:hRule="atLeast"/>
          <w:jc w:val="center"/>
        </w:trPr>
        <w:tc>
          <w:tcPr>
            <w:tcW w:w="3460" w:type="dxa"/>
            <w:tcBorders>
              <w:top w:val="single" w:color="auto" w:sz="4" w:space="0"/>
              <w:left w:val="single" w:color="auto" w:sz="12" w:space="0"/>
              <w:bottom w:val="single" w:color="auto" w:sz="12"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962" w:type="dxa"/>
            <w:tcBorders>
              <w:top w:val="single" w:color="auto" w:sz="4" w:space="0"/>
              <w:left w:val="nil"/>
              <w:bottom w:val="single" w:color="auto" w:sz="12"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p>
        </w:tc>
        <w:tc>
          <w:tcPr>
            <w:tcW w:w="854" w:type="dxa"/>
            <w:tcBorders>
              <w:top w:val="single" w:color="auto" w:sz="4" w:space="0"/>
              <w:left w:val="nil"/>
              <w:bottom w:val="single" w:color="auto" w:sz="12"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782" w:type="dxa"/>
            <w:tcBorders>
              <w:top w:val="single" w:color="auto" w:sz="4" w:space="0"/>
              <w:left w:val="nil"/>
              <w:bottom w:val="single" w:color="auto" w:sz="12" w:space="0"/>
              <w:right w:val="single" w:color="auto" w:sz="4" w:space="0"/>
            </w:tcBorders>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（二）结转下年</w:t>
            </w:r>
          </w:p>
        </w:tc>
        <w:tc>
          <w:tcPr>
            <w:tcW w:w="936" w:type="dxa"/>
            <w:tcBorders>
              <w:top w:val="single" w:color="auto" w:sz="4" w:space="0"/>
              <w:left w:val="nil"/>
              <w:bottom w:val="single" w:color="auto" w:sz="12" w:space="0"/>
              <w:right w:val="single" w:color="auto" w:sz="4" w:space="0"/>
            </w:tcBorders>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3593 </w:t>
            </w:r>
          </w:p>
        </w:tc>
        <w:tc>
          <w:tcPr>
            <w:tcW w:w="749" w:type="dxa"/>
            <w:tcBorders>
              <w:top w:val="single" w:color="auto" w:sz="4" w:space="0"/>
              <w:left w:val="nil"/>
              <w:bottom w:val="single" w:color="auto" w:sz="12" w:space="0"/>
              <w:right w:val="single" w:color="auto" w:sz="12" w:space="0"/>
            </w:tcBorders>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注：本表详细反映2019年国有资本经营预算收入与支出的平衡关系。为了便于理解，在功能分类科目的基础上，按经济事项进行了分类。</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bookmarkStart w:id="2" w:name="RANGE!A1:H39"/>
      <w:r>
        <w:rPr>
          <w:rFonts w:ascii="Times New Roman" w:hAnsi="Times New Roman" w:eastAsia="方正仿宋_GBK"/>
          <w:kern w:val="0"/>
          <w:sz w:val="24"/>
        </w:rPr>
        <w:t>表9</w:t>
      </w:r>
      <w:bookmarkEnd w:id="2"/>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2020年区级一般公共预算收支预算表（草案）</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6"/>
        <w:gridCol w:w="907"/>
        <w:gridCol w:w="794"/>
        <w:gridCol w:w="3402"/>
        <w:gridCol w:w="90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3026"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收    入</w:t>
            </w:r>
          </w:p>
        </w:tc>
        <w:tc>
          <w:tcPr>
            <w:tcW w:w="907"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预算数</w:t>
            </w:r>
          </w:p>
        </w:tc>
        <w:tc>
          <w:tcPr>
            <w:tcW w:w="794"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自然比</w:t>
            </w:r>
          </w:p>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增长%</w:t>
            </w:r>
          </w:p>
        </w:tc>
        <w:tc>
          <w:tcPr>
            <w:tcW w:w="3402"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支    出</w:t>
            </w:r>
          </w:p>
        </w:tc>
        <w:tc>
          <w:tcPr>
            <w:tcW w:w="907"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预算数</w:t>
            </w:r>
          </w:p>
        </w:tc>
        <w:tc>
          <w:tcPr>
            <w:tcW w:w="794"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自然比增长%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总   计</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hint="eastAsia" w:ascii="Times New Roman" w:hAnsi="Times New Roman"/>
                <w:b/>
                <w:bCs/>
                <w:color w:val="000000"/>
                <w:kern w:val="0"/>
                <w:sz w:val="22"/>
                <w:szCs w:val="22"/>
              </w:rPr>
              <w:t>577,858</w:t>
            </w:r>
            <w:r>
              <w:rPr>
                <w:rFonts w:ascii="Times New Roman" w:hAnsi="Times New Roman"/>
                <w:b/>
                <w:bCs/>
                <w:color w:val="000000"/>
                <w:kern w:val="0"/>
                <w:sz w:val="22"/>
                <w:szCs w:val="22"/>
              </w:rPr>
              <w:t xml:space="preserve">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w:t>
            </w:r>
          </w:p>
        </w:tc>
        <w:tc>
          <w:tcPr>
            <w:tcW w:w="3402" w:type="dxa"/>
            <w:noWrap w:val="0"/>
            <w:tcMar>
              <w:left w:w="28" w:type="dxa"/>
              <w:right w:w="85" w:type="dxa"/>
            </w:tcMar>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总   计</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hint="eastAsia" w:ascii="Times New Roman" w:hAnsi="Times New Roman"/>
                <w:b/>
                <w:bCs/>
                <w:color w:val="000000"/>
                <w:kern w:val="0"/>
                <w:sz w:val="22"/>
                <w:szCs w:val="22"/>
              </w:rPr>
              <w:t>577,858</w:t>
            </w:r>
            <w:r>
              <w:rPr>
                <w:rFonts w:ascii="Times New Roman" w:hAnsi="Times New Roman"/>
                <w:b/>
                <w:bCs/>
                <w:color w:val="000000"/>
                <w:kern w:val="0"/>
                <w:sz w:val="22"/>
                <w:szCs w:val="22"/>
              </w:rPr>
              <w:t xml:space="preserve">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一、本级收入合计</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2</w:t>
            </w:r>
            <w:r>
              <w:rPr>
                <w:rFonts w:hint="eastAsia" w:ascii="Times New Roman" w:hAnsi="Times New Roman"/>
                <w:b/>
                <w:bCs/>
                <w:color w:val="000000"/>
                <w:kern w:val="0"/>
                <w:sz w:val="22"/>
                <w:szCs w:val="22"/>
              </w:rPr>
              <w:t>2</w:t>
            </w:r>
            <w:r>
              <w:rPr>
                <w:rFonts w:ascii="Times New Roman" w:hAnsi="Times New Roman"/>
                <w:b/>
                <w:bCs/>
                <w:color w:val="000000"/>
                <w:kern w:val="0"/>
                <w:sz w:val="22"/>
                <w:szCs w:val="22"/>
              </w:rPr>
              <w:t xml:space="preserve">8,135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hint="eastAsia" w:ascii="Times New Roman" w:hAnsi="Times New Roman"/>
                <w:b/>
                <w:bCs/>
                <w:color w:val="000000"/>
                <w:kern w:val="0"/>
                <w:sz w:val="22"/>
                <w:szCs w:val="22"/>
              </w:rPr>
              <w:t>1</w:t>
            </w:r>
            <w:r>
              <w:rPr>
                <w:rFonts w:ascii="Times New Roman" w:hAnsi="Times New Roman"/>
                <w:b/>
                <w:bCs/>
                <w:color w:val="000000"/>
                <w:kern w:val="0"/>
                <w:sz w:val="22"/>
                <w:szCs w:val="22"/>
              </w:rPr>
              <w:t xml:space="preserve"> </w:t>
            </w:r>
          </w:p>
        </w:tc>
        <w:tc>
          <w:tcPr>
            <w:tcW w:w="3402" w:type="dxa"/>
            <w:noWrap w:val="0"/>
            <w:tcMar>
              <w:left w:w="28" w:type="dxa"/>
              <w:right w:w="85" w:type="dxa"/>
            </w:tcMar>
            <w:vAlign w:val="center"/>
          </w:tcPr>
          <w:p>
            <w:pPr>
              <w:widowControl/>
              <w:spacing w:line="260" w:lineRule="exact"/>
              <w:jc w:val="left"/>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一、本级支出合计</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hint="eastAsia" w:ascii="Times New Roman" w:hAnsi="Times New Roman"/>
                <w:b/>
                <w:bCs/>
                <w:color w:val="000000"/>
                <w:kern w:val="0"/>
                <w:sz w:val="22"/>
                <w:szCs w:val="22"/>
              </w:rPr>
              <w:t>48</w:t>
            </w:r>
            <w:r>
              <w:rPr>
                <w:rFonts w:ascii="Times New Roman" w:hAnsi="Times New Roman"/>
                <w:b/>
                <w:bCs/>
                <w:color w:val="000000"/>
                <w:kern w:val="0"/>
                <w:sz w:val="22"/>
                <w:szCs w:val="22"/>
              </w:rPr>
              <w:t xml:space="preserve">9,337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w:t>
            </w:r>
            <w:r>
              <w:rPr>
                <w:rFonts w:hint="eastAsia" w:ascii="Times New Roman" w:hAnsi="Times New Roman"/>
                <w:b/>
                <w:bCs/>
                <w:color w:val="000000"/>
                <w:kern w:val="0"/>
                <w:sz w:val="22"/>
                <w:szCs w:val="22"/>
              </w:rPr>
              <w:t>14</w:t>
            </w:r>
            <w:r>
              <w:rPr>
                <w:rFonts w:ascii="Times New Roman" w:hAnsi="Times New Roman"/>
                <w:b/>
                <w:bCs/>
                <w:color w:val="000000"/>
                <w:kern w:val="0"/>
                <w:sz w:val="22"/>
                <w:szCs w:val="22"/>
              </w:rPr>
              <w:t xml:space="preserve">.7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（一）税收收入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180,000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2.6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（一）一般公共服务支出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40,137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65.6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增值税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92,100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11.4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（二）国防支出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1</w:t>
            </w:r>
            <w:r>
              <w:rPr>
                <w:rFonts w:ascii="Times New Roman" w:hAnsi="Times New Roman"/>
                <w:color w:val="000000"/>
                <w:kern w:val="0"/>
                <w:sz w:val="22"/>
                <w:szCs w:val="22"/>
              </w:rPr>
              <w:t xml:space="preserve">4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ascii="Times New Roman" w:hAnsi="Times New Roman"/>
                <w:color w:val="000000"/>
                <w:kern w:val="0"/>
                <w:sz w:val="22"/>
                <w:szCs w:val="22"/>
              </w:rPr>
              <w:t>6</w:t>
            </w:r>
            <w:r>
              <w:rPr>
                <w:rFonts w:ascii="Times New Roman" w:hAnsi="Times New Roman"/>
                <w:color w:val="000000"/>
                <w:kern w:val="0"/>
                <w:sz w:val="22"/>
                <w:szCs w:val="22"/>
              </w:rPr>
              <w:t>.</w:t>
            </w:r>
            <w:r>
              <w:rPr>
                <w:rFonts w:hint="eastAsia" w:ascii="Times New Roman" w:hAnsi="Times New Roman"/>
                <w:color w:val="000000"/>
                <w:kern w:val="0"/>
                <w:sz w:val="22"/>
                <w:szCs w:val="22"/>
              </w:rPr>
              <w:t>2</w:t>
            </w:r>
            <w:r>
              <w:rPr>
                <w:rFonts w:ascii="Times New Roman" w:hAnsi="Times New Roman"/>
                <w:color w:val="000000"/>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企业所得税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16,000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-1.4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（三）公共安全支出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20,374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个人所得税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17,000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-4.9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（四）教育支出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114,093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资源税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900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2.7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（五）科学技术支出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10,463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81.8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城市维护建设税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31,800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8.8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（六）文化旅游体育与传媒支出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5,308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房产税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2,200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-38.0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（七）社会保障和就业支出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ascii="Times New Roman" w:hAnsi="Times New Roman"/>
                <w:color w:val="000000"/>
                <w:kern w:val="0"/>
                <w:sz w:val="22"/>
                <w:szCs w:val="22"/>
              </w:rPr>
              <w:t>4</w:t>
            </w:r>
            <w:r>
              <w:rPr>
                <w:rFonts w:ascii="Times New Roman" w:hAnsi="Times New Roman"/>
                <w:color w:val="000000"/>
                <w:kern w:val="0"/>
                <w:sz w:val="22"/>
                <w:szCs w:val="22"/>
              </w:rPr>
              <w:t>,</w:t>
            </w:r>
            <w:r>
              <w:rPr>
                <w:rFonts w:hint="eastAsia" w:ascii="Times New Roman" w:hAnsi="Times New Roman"/>
                <w:color w:val="000000"/>
                <w:kern w:val="0"/>
                <w:sz w:val="22"/>
                <w:szCs w:val="22"/>
              </w:rPr>
              <w:t>991</w:t>
            </w:r>
            <w:r>
              <w:rPr>
                <w:rFonts w:ascii="Times New Roman" w:hAnsi="Times New Roman"/>
                <w:color w:val="000000"/>
                <w:kern w:val="0"/>
                <w:sz w:val="22"/>
                <w:szCs w:val="22"/>
              </w:rPr>
              <w:t xml:space="preserve">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-8.</w:t>
            </w:r>
            <w:r>
              <w:rPr>
                <w:rFonts w:hint="eastAsia" w:ascii="Times New Roman" w:hAnsi="Times New Roman"/>
                <w:color w:val="000000"/>
                <w:kern w:val="0"/>
                <w:sz w:val="22"/>
                <w:szCs w:val="22"/>
              </w:rPr>
              <w:t>3</w:t>
            </w:r>
            <w:r>
              <w:rPr>
                <w:rFonts w:ascii="Times New Roman" w:hAnsi="Times New Roman"/>
                <w:color w:val="000000"/>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印花税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1,200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-13.4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（八）卫生健康支出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53,704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城镇土地使用税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4,500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-35.1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（九）节能环保支出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17,5</w:t>
            </w:r>
            <w:r>
              <w:rPr>
                <w:rFonts w:hint="eastAsia" w:ascii="Times New Roman" w:hAnsi="Times New Roman"/>
                <w:color w:val="000000"/>
                <w:kern w:val="0"/>
                <w:sz w:val="22"/>
                <w:szCs w:val="22"/>
              </w:rPr>
              <w:t>79</w:t>
            </w:r>
            <w:r>
              <w:rPr>
                <w:rFonts w:ascii="Times New Roman" w:hAnsi="Times New Roman"/>
                <w:color w:val="000000"/>
                <w:kern w:val="0"/>
                <w:sz w:val="22"/>
                <w:szCs w:val="22"/>
              </w:rPr>
              <w:t xml:space="preserve">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-32.</w:t>
            </w:r>
            <w:r>
              <w:rPr>
                <w:rFonts w:hint="eastAsia" w:ascii="Times New Roman" w:hAnsi="Times New Roman"/>
                <w:color w:val="000000"/>
                <w:kern w:val="0"/>
                <w:sz w:val="22"/>
                <w:szCs w:val="22"/>
              </w:rPr>
              <w:t>7</w:t>
            </w:r>
            <w:r>
              <w:rPr>
                <w:rFonts w:ascii="Times New Roman" w:hAnsi="Times New Roman"/>
                <w:color w:val="000000"/>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土地增值税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-2.1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（十）城乡社区支出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9,603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耕地占用税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14.5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（十一）农林水支出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57,907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契税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6,000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-29.3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（十二）交通运输支出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24,076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烟叶税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-3.2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（十三）资源勘探</w:t>
            </w:r>
            <w:r>
              <w:rPr>
                <w:rFonts w:hint="eastAsia" w:ascii="Times New Roman" w:hAnsi="Times New Roman" w:eastAsia="方正仿宋_GBK"/>
                <w:color w:val="000000"/>
                <w:kern w:val="0"/>
                <w:sz w:val="22"/>
                <w:szCs w:val="22"/>
              </w:rPr>
              <w:t>工业</w:t>
            </w:r>
            <w:r>
              <w:rPr>
                <w:rFonts w:ascii="Times New Roman" w:hAnsi="Times New Roman" w:eastAsia="方正仿宋_GBK"/>
                <w:color w:val="000000"/>
                <w:kern w:val="0"/>
                <w:sz w:val="22"/>
                <w:szCs w:val="22"/>
              </w:rPr>
              <w:t>信息等支出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37,310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环保税</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4.5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（十四）商业服务业等支出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1,317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（二）非税收入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4</w:t>
            </w:r>
            <w:r>
              <w:rPr>
                <w:rFonts w:ascii="Times New Roman" w:hAnsi="Times New Roman"/>
                <w:color w:val="000000"/>
                <w:kern w:val="0"/>
                <w:sz w:val="22"/>
                <w:szCs w:val="22"/>
              </w:rPr>
              <w:t xml:space="preserve">8,135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-45.0</w:t>
            </w:r>
            <w:r>
              <w:rPr>
                <w:rFonts w:ascii="Times New Roman" w:hAnsi="Times New Roman"/>
                <w:color w:val="000000"/>
                <w:kern w:val="0"/>
                <w:sz w:val="22"/>
                <w:szCs w:val="22"/>
              </w:rPr>
              <w:t xml:space="preserve">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（十五）自然资源海洋气象</w:t>
            </w:r>
            <w:r>
              <w:rPr>
                <w:rFonts w:hint="eastAsia" w:ascii="Times New Roman" w:hAnsi="Times New Roman" w:eastAsia="方正仿宋_GBK"/>
                <w:color w:val="000000"/>
                <w:kern w:val="0"/>
                <w:sz w:val="22"/>
                <w:szCs w:val="22"/>
              </w:rPr>
              <w:t>等</w:t>
            </w:r>
            <w:r>
              <w:rPr>
                <w:rFonts w:ascii="Times New Roman" w:hAnsi="Times New Roman" w:eastAsia="方正仿宋_GBK"/>
                <w:color w:val="000000"/>
                <w:kern w:val="0"/>
                <w:sz w:val="22"/>
                <w:szCs w:val="22"/>
              </w:rPr>
              <w:t>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3,193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专项收入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17,250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-12.0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（十六）住房保障支出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15,583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行政事业性收费收入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5,828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-12.5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（十七）粮油物资储备支出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72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-79.0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罚没收入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17,461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325.3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（十八）灾害防治及应急管理支出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3,453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spacing w:val="-8"/>
                <w:kern w:val="0"/>
                <w:sz w:val="22"/>
                <w:szCs w:val="22"/>
              </w:rPr>
              <w:t>国有资源（资产）有偿使用收入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6,016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-54.0</w:t>
            </w:r>
            <w:r>
              <w:rPr>
                <w:rFonts w:ascii="Times New Roman" w:hAnsi="Times New Roman"/>
                <w:color w:val="000000"/>
                <w:kern w:val="0"/>
                <w:sz w:val="22"/>
                <w:szCs w:val="22"/>
              </w:rPr>
              <w:t xml:space="preserve">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（十九）预备费</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spacing w:val="-8"/>
                <w:kern w:val="0"/>
                <w:sz w:val="22"/>
                <w:szCs w:val="22"/>
              </w:rPr>
            </w:pPr>
            <w:r>
              <w:rPr>
                <w:rFonts w:ascii="Times New Roman" w:hAnsi="Times New Roman" w:eastAsia="方正仿宋_GBK"/>
                <w:color w:val="000000"/>
                <w:kern w:val="0"/>
                <w:sz w:val="22"/>
                <w:szCs w:val="22"/>
              </w:rPr>
              <w:t>政府住房基金收入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320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-92.0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（二十）债务付息支出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1</w:t>
            </w:r>
            <w:r>
              <w:rPr>
                <w:rFonts w:ascii="Times New Roman" w:hAnsi="Times New Roman"/>
                <w:color w:val="000000"/>
                <w:kern w:val="0"/>
                <w:sz w:val="22"/>
                <w:szCs w:val="22"/>
              </w:rPr>
              <w:t xml:space="preserve">6,100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hint="eastAsia" w:ascii="Times New Roman" w:hAnsi="Times New Roman"/>
                <w:color w:val="000000"/>
                <w:kern w:val="0"/>
                <w:sz w:val="22"/>
                <w:szCs w:val="22"/>
              </w:rPr>
              <w:t>5.0</w:t>
            </w:r>
            <w:r>
              <w:rPr>
                <w:rFonts w:ascii="Times New Roman" w:hAnsi="Times New Roman"/>
                <w:color w:val="000000"/>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其他收入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1,260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-56.0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（二十一）其他支出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60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黑体_GBK"/>
                <w:bCs/>
                <w:color w:val="000000"/>
                <w:kern w:val="0"/>
                <w:sz w:val="22"/>
                <w:szCs w:val="22"/>
              </w:rPr>
              <w:t>二、转移性收入合计</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b/>
                <w:bCs/>
                <w:color w:val="000000"/>
                <w:kern w:val="0"/>
                <w:sz w:val="22"/>
                <w:szCs w:val="22"/>
              </w:rPr>
              <w:t xml:space="preserve">349,723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b/>
                <w:bCs/>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二、转移性支出合计</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xml:space="preserve">88,521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（一）上级补助收入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267,213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（一）上解支出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19,538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黑体_GBK"/>
                <w:bCs/>
                <w:color w:val="000000"/>
                <w:kern w:val="0"/>
                <w:sz w:val="22"/>
                <w:szCs w:val="22"/>
              </w:rPr>
            </w:pPr>
            <w:r>
              <w:rPr>
                <w:rFonts w:ascii="Times New Roman" w:hAnsi="Times New Roman" w:eastAsia="方正仿宋_GBK"/>
                <w:color w:val="000000"/>
                <w:kern w:val="0"/>
                <w:sz w:val="22"/>
                <w:szCs w:val="22"/>
              </w:rPr>
              <w:t>（二）动用预算稳定调节基金</w:t>
            </w:r>
          </w:p>
        </w:tc>
        <w:tc>
          <w:tcPr>
            <w:tcW w:w="907"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color w:val="000000"/>
                <w:kern w:val="0"/>
                <w:sz w:val="22"/>
                <w:szCs w:val="22"/>
              </w:rPr>
              <w:t xml:space="preserve">10,000 </w:t>
            </w:r>
          </w:p>
        </w:tc>
        <w:tc>
          <w:tcPr>
            <w:tcW w:w="794" w:type="dxa"/>
            <w:noWrap w:val="0"/>
            <w:tcMar>
              <w:left w:w="28" w:type="dxa"/>
              <w:right w:w="85" w:type="dxa"/>
            </w:tcMar>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（二）补助乡镇支出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48,983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（三）调入资金</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25,000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（三）地方政府一般债务还本支出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（四）债务转贷收入</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地方政府一般债券还本支出</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地方政府一般债券转贷收入（再融资）</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20,000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color w:val="000000"/>
                <w:kern w:val="0"/>
                <w:sz w:val="22"/>
                <w:szCs w:val="22"/>
              </w:rPr>
            </w:pP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3026" w:type="dxa"/>
            <w:noWrap w:val="0"/>
            <w:tcMar>
              <w:left w:w="28" w:type="dxa"/>
              <w:right w:w="85" w:type="dxa"/>
            </w:tcMar>
            <w:vAlign w:val="center"/>
          </w:tcPr>
          <w:p>
            <w:pPr>
              <w:widowControl/>
              <w:spacing w:line="260" w:lineRule="exact"/>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（五）上年结转</w:t>
            </w: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27,510 </w:t>
            </w: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402" w:type="dxa"/>
            <w:noWrap w:val="0"/>
            <w:tcMar>
              <w:left w:w="28" w:type="dxa"/>
              <w:right w:w="85" w:type="dxa"/>
            </w:tcMar>
            <w:vAlign w:val="center"/>
          </w:tcPr>
          <w:p>
            <w:pPr>
              <w:widowControl/>
              <w:spacing w:line="260" w:lineRule="exact"/>
              <w:jc w:val="left"/>
              <w:rPr>
                <w:rFonts w:ascii="Times New Roman" w:hAnsi="Times New Roman"/>
                <w:color w:val="000000"/>
                <w:kern w:val="0"/>
                <w:sz w:val="22"/>
                <w:szCs w:val="22"/>
              </w:rPr>
            </w:pPr>
          </w:p>
        </w:tc>
        <w:tc>
          <w:tcPr>
            <w:tcW w:w="907"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p>
        </w:tc>
        <w:tc>
          <w:tcPr>
            <w:tcW w:w="794" w:type="dxa"/>
            <w:noWrap w:val="0"/>
            <w:tcMar>
              <w:left w:w="28" w:type="dxa"/>
              <w:right w:w="85" w:type="dxa"/>
            </w:tcMar>
            <w:vAlign w:val="center"/>
          </w:tcPr>
          <w:p>
            <w:pPr>
              <w:widowControl/>
              <w:spacing w:line="260" w:lineRule="exact"/>
              <w:jc w:val="right"/>
              <w:rPr>
                <w:rFonts w:ascii="Times New Roman" w:hAnsi="Times New Roman"/>
                <w:color w:val="000000"/>
                <w:kern w:val="0"/>
                <w:sz w:val="22"/>
                <w:szCs w:val="22"/>
              </w:rPr>
            </w:pP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注：本表直观反映2020年一般公共预算收入与支出的平衡关系：收入总计（本级收入合计+转移性收入合计）=支出总计（本级支出合计+转移性支出合计）。</w:t>
      </w:r>
    </w:p>
    <w:p>
      <w:pPr>
        <w:spacing w:line="300" w:lineRule="exact"/>
        <w:rPr>
          <w:rFonts w:ascii="Times New Roman" w:hAnsi="Times New Roman" w:eastAsia="方正仿宋_GBK"/>
          <w:kern w:val="0"/>
          <w:sz w:val="24"/>
        </w:rPr>
      </w:pPr>
      <w:bookmarkStart w:id="3" w:name="RANGE!A1:B447"/>
      <w:r>
        <w:rPr>
          <w:rFonts w:ascii="Times New Roman" w:hAnsi="Times New Roman" w:eastAsia="方正仿宋_GBK"/>
          <w:kern w:val="0"/>
          <w:sz w:val="24"/>
        </w:rPr>
        <w:t>表10</w:t>
      </w:r>
      <w:bookmarkEnd w:id="3"/>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0"/>
        <w:gridCol w:w="2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科   目</w:t>
            </w:r>
          </w:p>
        </w:tc>
        <w:tc>
          <w:tcPr>
            <w:tcW w:w="2490" w:type="dxa"/>
            <w:noWrap w:val="0"/>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本级支出合计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hint="eastAsia" w:ascii="Times New Roman" w:hAnsi="Times New Roman"/>
                <w:b/>
                <w:color w:val="000000"/>
                <w:kern w:val="0"/>
                <w:sz w:val="24"/>
              </w:rPr>
              <w:t>489,337</w:t>
            </w:r>
            <w:r>
              <w:rPr>
                <w:rFonts w:ascii="Times New Roman" w:hAnsi="Times New Roman"/>
                <w:b/>
                <w:bCs/>
                <w:color w:val="000000"/>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hint="eastAsia"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一、一般公共服务</w:t>
            </w:r>
            <w:r>
              <w:rPr>
                <w:rFonts w:hint="eastAsia" w:ascii="Times New Roman" w:hAnsi="Times New Roman" w:eastAsia="方正黑体_GBK"/>
                <w:color w:val="000000"/>
                <w:kern w:val="0"/>
                <w:sz w:val="22"/>
                <w:szCs w:val="22"/>
              </w:rPr>
              <w:t>支出</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40137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人大事务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1327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1213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人大会议</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事业运行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其他人大事务支出</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政协事务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1454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1384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一般行政管理事务</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政协会议</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政府办公厅（室）及相关机构事务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4562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2281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一般行政管理事务</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1335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政务公开审批</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信访事务</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301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事业运行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576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其他政府办公厅（室）及相关机构事务支出</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发展与改革事务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2659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683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战略规划与实施</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事业运行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456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其他发展与改革事务支出</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统计信息事务</w:t>
            </w:r>
          </w:p>
        </w:tc>
        <w:tc>
          <w:tcPr>
            <w:tcW w:w="2490"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行政运行</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386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7140"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一般行政管理事务</w:t>
            </w:r>
          </w:p>
        </w:tc>
        <w:tc>
          <w:tcPr>
            <w:tcW w:w="2490"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70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统计抽样调查</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财政事务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财政国库业务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人力资源事务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引进人才费用</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其他人力资源事务支出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纪检监察事务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3185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大案要案查处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商贸事务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招商引资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民族事务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其他民族事务支出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档案事务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档案馆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民主党派及工商联事务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群众团体事务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其他群众团体事务支出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党委办公厅（室）及相关机构事务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1468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其他党委办公厅（室）及相关机构事务支出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组织事务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公务员事务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宣传事务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其他宣传事务支出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统战事务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宗教事务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其他共产党事务支出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其他共产党事务支出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市场监督管理事务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市场主体管理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市场秩序执法</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药品事务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质量安全监管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食品安全监管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其他一般公共服务支出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14125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其他一般公共服务支出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二、国防支出</w:t>
            </w:r>
          </w:p>
        </w:tc>
        <w:tc>
          <w:tcPr>
            <w:tcW w:w="2424" w:type="dxa"/>
            <w:noWrap w:val="0"/>
            <w:vAlign w:val="center"/>
          </w:tcPr>
          <w:p>
            <w:pPr>
              <w:widowControl/>
              <w:spacing w:line="260" w:lineRule="exact"/>
              <w:jc w:val="right"/>
              <w:rPr>
                <w:rFonts w:ascii="Times New Roman" w:hAnsi="Times New Roman"/>
                <w:b/>
                <w:kern w:val="0"/>
                <w:sz w:val="24"/>
              </w:rPr>
            </w:pPr>
            <w:r>
              <w:rPr>
                <w:rFonts w:hint="eastAsia" w:ascii="Times New Roman" w:hAnsi="Times New Roman"/>
                <w:b/>
                <w:kern w:val="0"/>
                <w:sz w:val="24"/>
              </w:rPr>
              <w:t>1</w:t>
            </w:r>
            <w:r>
              <w:rPr>
                <w:rFonts w:ascii="Times New Roman" w:hAnsi="Times New Roman"/>
                <w:b/>
                <w:kern w:val="0"/>
                <w:sz w:val="24"/>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国防动员</w:t>
            </w:r>
          </w:p>
        </w:tc>
        <w:tc>
          <w:tcPr>
            <w:tcW w:w="2424" w:type="dxa"/>
            <w:noWrap w:val="0"/>
            <w:vAlign w:val="center"/>
          </w:tcPr>
          <w:p>
            <w:pPr>
              <w:widowControl/>
              <w:spacing w:line="260" w:lineRule="exact"/>
              <w:jc w:val="right"/>
              <w:rPr>
                <w:rFonts w:ascii="Times New Roman" w:hAnsi="Times New Roman"/>
                <w:b/>
                <w:kern w:val="0"/>
                <w:sz w:val="24"/>
              </w:rPr>
            </w:pPr>
            <w:r>
              <w:rPr>
                <w:rFonts w:hint="eastAsia" w:ascii="Times New Roman" w:hAnsi="Times New Roman"/>
                <w:b/>
                <w:kern w:val="0"/>
                <w:sz w:val="24"/>
              </w:rPr>
              <w:t>1</w:t>
            </w:r>
            <w:r>
              <w:rPr>
                <w:rFonts w:ascii="Times New Roman" w:hAnsi="Times New Roman"/>
                <w:b/>
                <w:kern w:val="0"/>
                <w:sz w:val="24"/>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人民防空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其他国防支出</w:t>
            </w:r>
          </w:p>
        </w:tc>
        <w:tc>
          <w:tcPr>
            <w:tcW w:w="2424" w:type="dxa"/>
            <w:noWrap w:val="0"/>
            <w:vAlign w:val="center"/>
          </w:tcPr>
          <w:p>
            <w:pPr>
              <w:widowControl/>
              <w:spacing w:line="260" w:lineRule="exact"/>
              <w:jc w:val="right"/>
              <w:rPr>
                <w:rFonts w:hint="eastAsia" w:ascii="Times New Roman" w:hAnsi="Times New Roman"/>
                <w:kern w:val="0"/>
                <w:sz w:val="24"/>
              </w:rPr>
            </w:pPr>
            <w:r>
              <w:rPr>
                <w:rFonts w:hint="eastAsia" w:ascii="Times New Roman" w:hAnsi="Times New Roman"/>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三、公共安全支出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20374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武装警察部队</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其他武装警察部队支出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公安</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17342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1740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信息化建设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执法办案</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2814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特别业务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司法</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基层司法业务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法律援助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社区矫正</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其他公共安全支出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其他公共安全支出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四、教育支出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114093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教育管理事务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1465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其他教育管理事务支出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普通教育</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95819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学前教育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4632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小学教育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40445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初中教育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35575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高中教育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其他普通教育支出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职业教育</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9735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中等职业教育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9735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成人教育</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成人高等教育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613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特殊教育</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特殊学校教育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进修及培训</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干部教育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hint="eastAsia" w:ascii="Times New Roman" w:hAnsi="Times New Roman" w:eastAsia="方正黑体_GBK"/>
                <w:color w:val="000000"/>
                <w:kern w:val="0"/>
                <w:sz w:val="22"/>
                <w:szCs w:val="22"/>
              </w:rPr>
              <w:t>教育费附加安排的支出</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5160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五、科学技术支出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10463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科学技术管理事务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技术研究与开发</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机构运行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科技条件与服务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机构运行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科学技术普及</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科普活动</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其他科学技术支出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其他科学技术支出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六、文化旅游体育与传媒支出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5308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文化和旅游</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2497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图书馆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群众文化</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文化和旅游市场管理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其他文化和旅游支出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文物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体育</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491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运动项目管理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体育场馆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其他体育支出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新闻出版电影</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出版发行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广播电视</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广播</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电视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其他广播电视支出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其他文化旅游体育与传媒支出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其他文化旅游体育与传媒支出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七、社会保障和就业支出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5</w:t>
            </w:r>
            <w:r>
              <w:rPr>
                <w:rFonts w:hint="eastAsia" w:ascii="Times New Roman" w:hAnsi="Times New Roman"/>
                <w:b/>
                <w:kern w:val="0"/>
                <w:sz w:val="24"/>
              </w:rPr>
              <w:t>4991</w:t>
            </w:r>
            <w:r>
              <w:rPr>
                <w:rFonts w:ascii="Times New Roman" w:hAnsi="Times New Roman"/>
                <w:b/>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人力资源和社会保障管理事务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2005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1619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社会保险经办机构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其他人力资源和社会保障管理事务支出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民政管理事务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其他民政管理事务支出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行政事业单位养老支出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32329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行政单位离退休</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事业单位离退休</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机关事业单位基本养老保险缴费支出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13572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机关事业单位职业年金缴费支出</w:t>
            </w:r>
          </w:p>
        </w:tc>
        <w:tc>
          <w:tcPr>
            <w:tcW w:w="2424" w:type="dxa"/>
            <w:noWrap w:val="0"/>
            <w:vAlign w:val="center"/>
          </w:tcPr>
          <w:p>
            <w:pPr>
              <w:widowControl/>
              <w:spacing w:line="260" w:lineRule="exact"/>
              <w:jc w:val="right"/>
              <w:rPr>
                <w:rFonts w:ascii="Times New Roman" w:hAnsi="Times New Roman"/>
                <w:kern w:val="0"/>
                <w:sz w:val="24"/>
              </w:rPr>
            </w:pPr>
            <w:r>
              <w:rPr>
                <w:rFonts w:hint="eastAsia" w:ascii="Times New Roman" w:hAnsi="Times New Roman"/>
                <w:kern w:val="0"/>
                <w:sz w:val="24"/>
              </w:rPr>
              <w:t>11366</w:t>
            </w:r>
            <w:r>
              <w:rPr>
                <w:rFonts w:ascii="Times New Roman" w:hAnsi="Times New Roman"/>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对机关事业单位基本养老保险基金的补助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其他行政事业单位养老支出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7290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就业补助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就业创业服务补贴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职业培训补贴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社会保险补贴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公益性岗位补贴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其他就业补助支出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抚恤</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3668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死亡抚恤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伤残抚恤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在乡复员、退伍军人生活补助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优抚事业单位支出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义务兵优待</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农村籍退役士兵老年生活补助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退役安置</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退役士兵安置</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军队移交政府离退休干部管理机构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军队转业干部安置</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社会福利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儿童福利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老年福利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殡葬</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社会福利事业单位</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其他社会福利支出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残疾人事业</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其他残疾人事业支出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763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红十字事业</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最低生活保障</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8365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城市最低生活保障金支出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农村最低生活保障金支出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5465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临时救助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临时救助支出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流浪乞讨人员救助支出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特困人员救助供养</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城市特困人员救助供养支出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其他生活救助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其他城市生活救助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其他农村生活救助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退役军人管理事务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拥军优属</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其他社会保障和就业支出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17</w:t>
            </w:r>
            <w:r>
              <w:rPr>
                <w:rFonts w:hint="eastAsia" w:ascii="Times New Roman" w:hAnsi="Times New Roman"/>
                <w:b/>
                <w:kern w:val="0"/>
                <w:sz w:val="24"/>
              </w:rPr>
              <w:t>6</w:t>
            </w:r>
            <w:r>
              <w:rPr>
                <w:rFonts w:ascii="Times New Roman" w:hAnsi="Times New Roman"/>
                <w:b/>
                <w:kern w:val="0"/>
                <w:sz w:val="24"/>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八、卫生健康支出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53704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卫生健康管理事务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其他卫生健康管理事务支出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公立医院</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综合医院</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基层医疗卫生机构</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5490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乡镇卫生院</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4888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其他基层医疗卫生机构支出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公共卫生</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5606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疾病预防控制机构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卫生监督机构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妇幼保健机构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应急救治机构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采供血机构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其他专业公共卫生机构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基本公共卫生服务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2602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重大公共卫生服务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其他公共卫生支出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计划生育事务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计划生育服务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其他计划生育事务支出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行政事业单位医疗</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12400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行政单位医疗</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事业单位医疗</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5970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公务员医疗补助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其他行政事业单位医疗支出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财政对基本医疗保险基金的补助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23916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财政对城乡居民基本医疗保险基金的补助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23916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医疗救助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2054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城乡医疗救助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其他医疗救助支出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优抚对象医疗</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优抚对象医疗补助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301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医疗保障管理事务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老龄卫生健康服务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老龄卫生健康服务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其他卫生健康支出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其他卫生健康支出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九、节能环保支出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17579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环境保护管理事务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环境监测与监察</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其他环境监测与监察支出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污染防治</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水体</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固体废弃物与化学品</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其他污染防治支出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自然生态保护</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农村环境保护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天然林保护</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社会保险补助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政策性社会性支出补助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退耕还林还草</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其他退耕还林还草支出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仿宋_GBK"/>
                <w:color w:val="000000"/>
                <w:kern w:val="0"/>
                <w:sz w:val="22"/>
                <w:szCs w:val="22"/>
              </w:rPr>
            </w:pPr>
            <w:r>
              <w:rPr>
                <w:rFonts w:hint="eastAsia" w:ascii="Times New Roman" w:hAnsi="Times New Roman" w:eastAsia="方正黑体_GBK"/>
                <w:color w:val="000000"/>
                <w:kern w:val="0"/>
                <w:sz w:val="22"/>
                <w:szCs w:val="22"/>
              </w:rPr>
              <w:t>能源节约利用</w:t>
            </w:r>
          </w:p>
        </w:tc>
        <w:tc>
          <w:tcPr>
            <w:tcW w:w="2424" w:type="dxa"/>
            <w:noWrap w:val="0"/>
            <w:vAlign w:val="center"/>
          </w:tcPr>
          <w:p>
            <w:pPr>
              <w:widowControl/>
              <w:spacing w:line="260" w:lineRule="exact"/>
              <w:jc w:val="right"/>
              <w:rPr>
                <w:rFonts w:ascii="Times New Roman" w:hAnsi="Times New Roman"/>
                <w:color w:val="000000"/>
                <w:kern w:val="0"/>
                <w:sz w:val="24"/>
              </w:rPr>
            </w:pPr>
            <w:r>
              <w:rPr>
                <w:rFonts w:hint="eastAsia" w:ascii="Times New Roman" w:hAnsi="Times New Roman"/>
                <w:b/>
                <w:color w:val="000000"/>
                <w:kern w:val="0"/>
                <w:sz w:val="24"/>
              </w:rPr>
              <w:t>60</w:t>
            </w:r>
            <w:r>
              <w:rPr>
                <w:rFonts w:ascii="Times New Roman" w:hAnsi="Times New Roman"/>
                <w:b/>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hint="eastAsia" w:ascii="Times New Roman" w:hAnsi="Times New Roman" w:eastAsia="方正仿宋_GBK"/>
                <w:color w:val="000000"/>
                <w:kern w:val="0"/>
                <w:sz w:val="22"/>
                <w:szCs w:val="22"/>
              </w:rPr>
              <w:t>能源节约利用</w:t>
            </w:r>
          </w:p>
        </w:tc>
        <w:tc>
          <w:tcPr>
            <w:tcW w:w="2424" w:type="dxa"/>
            <w:noWrap w:val="0"/>
            <w:vAlign w:val="center"/>
          </w:tcPr>
          <w:p>
            <w:pPr>
              <w:widowControl/>
              <w:spacing w:line="260" w:lineRule="exact"/>
              <w:jc w:val="right"/>
              <w:rPr>
                <w:rFonts w:ascii="Times New Roman" w:hAnsi="Times New Roman"/>
                <w:color w:val="000000"/>
                <w:kern w:val="0"/>
                <w:sz w:val="24"/>
              </w:rPr>
            </w:pPr>
            <w:r>
              <w:rPr>
                <w:rFonts w:hint="eastAsia" w:ascii="Times New Roman" w:hAnsi="Times New Roman"/>
                <w:color w:val="000000"/>
                <w:kern w:val="0"/>
                <w:sz w:val="24"/>
              </w:rPr>
              <w:t>60</w:t>
            </w:r>
            <w:r>
              <w:rPr>
                <w:rFonts w:ascii="Times New Roman" w:hAnsi="Times New Roman"/>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其他节能环保支出</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121</w:t>
            </w:r>
            <w:r>
              <w:rPr>
                <w:rFonts w:hint="eastAsia" w:ascii="Times New Roman" w:hAnsi="Times New Roman"/>
                <w:b/>
                <w:color w:val="000000"/>
                <w:kern w:val="0"/>
                <w:sz w:val="24"/>
              </w:rPr>
              <w:t>1</w:t>
            </w:r>
            <w:r>
              <w:rPr>
                <w:rFonts w:ascii="Times New Roman" w:hAnsi="Times New Roman"/>
                <w:b/>
                <w:color w:val="000000"/>
                <w:kern w:val="0"/>
                <w:sz w:val="24"/>
              </w:rPr>
              <w:t xml:space="preserve">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十、城乡社区支出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9603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城乡社区管理事务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2713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城管执法</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工程建设标准规范编制与监管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工程建设管理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其他城乡社区管理事务支出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城乡社区公共设施</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817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其他城乡社区公共设施支出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城乡社区环境卫生</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2428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其他城乡社区支出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3645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十一、农林水支出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57907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农业农村</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22636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1619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科技转化与推广服务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病虫害控制</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农产品质量安全</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防灾救灾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农业生产发展</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农村合作经济</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农业资源保护修复与利用</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成品油价格改革对渔业的补贴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农田建设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4608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其他农业农村支出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林业和草原</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10011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森林资源培育</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森林资源管理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森林生态效益补偿</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自然保护区等管理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执法与监督</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林区公共支出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其他林业和草原支出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3880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水利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5700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水利工程建设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水利工程运行与维护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水土保持</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江河湖库水系综合整治</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其他水利支出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扶贫</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14073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一般行政管理事务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农村基础设施建设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生产发展</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扶贫事业机构</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其他扶贫支出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农村综合改革</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2860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对村级一事一议的补助</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2860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普惠金融发展支出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2436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农业保险保费补贴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创业担保贷款贴息</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其他农林水支出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其他农林水支出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十二、交通运输支出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24076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公路水路运输</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15654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公路建设</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公路养护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3680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公路运输管理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海事管理</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其他公路水路运输支出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成品油价格改革对交通运输的补贴</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成品油价格改革补贴其他支出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邮政业支出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其他邮政业支出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车辆购置税支出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7702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车辆购置税用于公路等基础设施建设支出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车辆购置税用于农村公路建设支出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7697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十三、资源勘探工业信息等支出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37310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资源勘探开发</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制造业</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其他制造业支出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工业和信息产业监管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74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国有资产监管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其他国有资产监管支出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支持中小企业发展和管理支出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36231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中小企业发展专项</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其他支持中小企业发展和管理支出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34131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其他资源勘探工业信息等支出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其他资源勘探工业信息等支出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十四、商业服务业等支出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商业流通事务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其他商业流通事务支出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十五、自然资源海洋气象等支出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3193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自然资源事务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3043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自然资源利用与保护</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其他自然资源事务支出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气象事务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其他气象事务支出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十六、住房保障支出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15583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保障性安居工程支出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棚户区改造</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农村危房改造</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老旧小区改造</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699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表10</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科   目</w:t>
            </w:r>
          </w:p>
        </w:tc>
        <w:tc>
          <w:tcPr>
            <w:tcW w:w="24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其他保障性安居工程支出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2567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住房改革支出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10433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住房公积金</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十七、粮油物资储备支出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粮油事务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粮油储备</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其他粮油储备支出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十八、灾害防治及应急管理支出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3453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应急管理事务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安全监管</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应急救援</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事业运行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消防事务</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1880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行政运行</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其他消防事务支出</w:t>
            </w:r>
          </w:p>
        </w:tc>
        <w:tc>
          <w:tcPr>
            <w:tcW w:w="2424"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hint="eastAsia" w:ascii="Times New Roman" w:hAnsi="Times New Roman" w:eastAsia="方正黑体_GBK"/>
                <w:color w:val="000000"/>
                <w:kern w:val="0"/>
                <w:sz w:val="22"/>
                <w:szCs w:val="22"/>
              </w:rPr>
              <w:t>自然灾害防治</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ind w:firstLine="220" w:firstLineChars="100"/>
              <w:jc w:val="left"/>
              <w:rPr>
                <w:rFonts w:ascii="Times New Roman" w:hAnsi="Times New Roman" w:eastAsia="方正仿宋_GBK"/>
                <w:color w:val="000000"/>
                <w:kern w:val="0"/>
                <w:sz w:val="22"/>
                <w:szCs w:val="22"/>
              </w:rPr>
            </w:pPr>
            <w:r>
              <w:rPr>
                <w:rFonts w:hint="eastAsia" w:ascii="Times New Roman" w:hAnsi="Times New Roman" w:eastAsia="方正仿宋_GBK"/>
                <w:color w:val="000000"/>
                <w:kern w:val="0"/>
                <w:sz w:val="22"/>
                <w:szCs w:val="22"/>
              </w:rPr>
              <w:t>其他自然灾害防治支出</w:t>
            </w:r>
          </w:p>
        </w:tc>
        <w:tc>
          <w:tcPr>
            <w:tcW w:w="2424" w:type="dxa"/>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其他灾害防治及应急管理支出</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hint="eastAsia" w:ascii="Times New Roman" w:hAnsi="Times New Roman" w:eastAsia="方正黑体_GBK"/>
                <w:color w:val="000000"/>
                <w:kern w:val="0"/>
                <w:sz w:val="22"/>
                <w:szCs w:val="22"/>
              </w:rPr>
            </w:pPr>
            <w:r>
              <w:rPr>
                <w:rFonts w:hint="eastAsia" w:ascii="Times New Roman" w:hAnsi="Times New Roman" w:eastAsia="方正黑体_GBK"/>
                <w:color w:val="000000"/>
                <w:kern w:val="0"/>
                <w:sz w:val="22"/>
                <w:szCs w:val="22"/>
              </w:rPr>
              <w:t>十九、预备费</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ascii="Times New Roman" w:hAnsi="Times New Roman"/>
                <w:b/>
                <w:color w:val="000000"/>
                <w:kern w:val="0"/>
                <w:sz w:val="24"/>
              </w:rPr>
              <w:t xml:space="preserve">4000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hint="eastAsia" w:ascii="Times New Roman" w:hAnsi="Times New Roman" w:eastAsia="方正黑体_GBK"/>
                <w:color w:val="000000"/>
                <w:kern w:val="0"/>
                <w:sz w:val="22"/>
                <w:szCs w:val="22"/>
              </w:rPr>
            </w:pPr>
            <w:r>
              <w:rPr>
                <w:rFonts w:hint="eastAsia" w:ascii="Times New Roman" w:hAnsi="Times New Roman" w:eastAsia="方正黑体_GBK"/>
                <w:color w:val="000000"/>
                <w:kern w:val="0"/>
                <w:sz w:val="22"/>
                <w:szCs w:val="22"/>
              </w:rPr>
              <w:t>二十、债务付息支出</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hint="eastAsia" w:ascii="Times New Roman" w:hAnsi="Times New Roman"/>
                <w:b/>
                <w:color w:val="000000"/>
                <w:kern w:val="0"/>
                <w:sz w:val="24"/>
              </w:rPr>
              <w:t>16100</w:t>
            </w:r>
            <w:r>
              <w:rPr>
                <w:rFonts w:ascii="Times New Roman" w:hAnsi="Times New Roman"/>
                <w:b/>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color w:val="000000"/>
                <w:kern w:val="0"/>
                <w:sz w:val="22"/>
                <w:szCs w:val="22"/>
              </w:rPr>
            </w:pPr>
            <w:r>
              <w:rPr>
                <w:rFonts w:ascii="Times New Roman" w:hAnsi="Times New Roman" w:eastAsia="方正黑体_GBK"/>
                <w:color w:val="000000"/>
                <w:kern w:val="0"/>
                <w:sz w:val="22"/>
                <w:szCs w:val="22"/>
              </w:rPr>
              <w:t>地方政府一般债务付息支出</w:t>
            </w:r>
          </w:p>
        </w:tc>
        <w:tc>
          <w:tcPr>
            <w:tcW w:w="2424" w:type="dxa"/>
            <w:noWrap w:val="0"/>
            <w:vAlign w:val="center"/>
          </w:tcPr>
          <w:p>
            <w:pPr>
              <w:widowControl/>
              <w:spacing w:line="260" w:lineRule="exact"/>
              <w:jc w:val="right"/>
              <w:rPr>
                <w:rFonts w:ascii="Times New Roman" w:hAnsi="Times New Roman"/>
                <w:b/>
                <w:color w:val="000000"/>
                <w:kern w:val="0"/>
                <w:sz w:val="24"/>
              </w:rPr>
            </w:pPr>
            <w:r>
              <w:rPr>
                <w:rFonts w:hint="eastAsia" w:ascii="Times New Roman" w:hAnsi="Times New Roman"/>
                <w:b/>
                <w:color w:val="000000"/>
                <w:kern w:val="0"/>
                <w:sz w:val="24"/>
              </w:rPr>
              <w:t>16100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hint="eastAsia" w:ascii="Times New Roman" w:hAnsi="Times New Roman" w:eastAsia="方正黑体_GBK"/>
                <w:kern w:val="0"/>
                <w:sz w:val="22"/>
                <w:szCs w:val="22"/>
              </w:rPr>
            </w:pPr>
            <w:r>
              <w:rPr>
                <w:rFonts w:hint="eastAsia" w:ascii="Times New Roman" w:hAnsi="Times New Roman" w:eastAsia="方正黑体_GBK"/>
                <w:kern w:val="0"/>
                <w:sz w:val="22"/>
                <w:szCs w:val="22"/>
              </w:rPr>
              <w:t>二十一、其他支出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6932"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其他支出</w:t>
            </w:r>
          </w:p>
        </w:tc>
        <w:tc>
          <w:tcPr>
            <w:tcW w:w="2424"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60 </w:t>
            </w:r>
          </w:p>
        </w:tc>
      </w:tr>
    </w:tbl>
    <w:p>
      <w:pPr>
        <w:rPr>
          <w:rFonts w:hint="eastAsia" w:ascii="Times New Roman" w:hAnsi="Times New Roman" w:eastAsia="方正仿宋_GBK" w:cs="方正仿宋_GBK"/>
          <w:sz w:val="22"/>
          <w:szCs w:val="22"/>
        </w:rPr>
      </w:pPr>
      <w:r>
        <w:rPr>
          <w:rFonts w:hint="eastAsia" w:ascii="Times New Roman" w:hAnsi="Times New Roman" w:eastAsia="方正仿宋_GBK" w:cs="方正仿宋_GBK"/>
          <w:sz w:val="22"/>
          <w:szCs w:val="22"/>
          <w:shd w:val="clear" w:color="auto" w:fill="FFFFFF"/>
        </w:rPr>
        <w:t>注：由于四舍五入因素，部分分项加和与总数可能略有差异，下同。</w:t>
      </w: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表11</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2020年区级一般公共预算支出预算表（草案）</w:t>
      </w:r>
    </w:p>
    <w:p>
      <w:pPr>
        <w:ind w:left="-210" w:leftChars="-100" w:right="-210" w:rightChars="-100"/>
        <w:jc w:val="center"/>
        <w:rPr>
          <w:rFonts w:ascii="Times New Roman" w:hAnsi="Times New Roman" w:eastAsia="方正黑体_GBK"/>
          <w:kern w:val="0"/>
          <w:sz w:val="26"/>
          <w:szCs w:val="26"/>
        </w:rPr>
      </w:pPr>
      <w:r>
        <w:rPr>
          <w:rFonts w:ascii="Times New Roman" w:hAnsi="Times New Roman" w:eastAsia="方正黑体_GBK"/>
          <w:kern w:val="0"/>
          <w:sz w:val="26"/>
          <w:szCs w:val="26"/>
        </w:rPr>
        <w:t>（按基本支出和项目支出）</w:t>
      </w:r>
    </w:p>
    <w:p>
      <w:pPr>
        <w:spacing w:line="5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3800"/>
        <w:gridCol w:w="1889"/>
        <w:gridCol w:w="1890"/>
        <w:gridCol w:w="1890"/>
      </w:tblGrid>
      <w:tr>
        <w:tblPrEx>
          <w:tblCellMar>
            <w:top w:w="0" w:type="dxa"/>
            <w:left w:w="108" w:type="dxa"/>
            <w:bottom w:w="0" w:type="dxa"/>
            <w:right w:w="108" w:type="dxa"/>
          </w:tblCellMar>
        </w:tblPrEx>
        <w:trPr>
          <w:wBefore w:w="0" w:type="dxa"/>
          <w:wAfter w:w="0" w:type="dxa"/>
          <w:trHeight w:val="425" w:hRule="atLeast"/>
          <w:jc w:val="center"/>
        </w:trPr>
        <w:tc>
          <w:tcPr>
            <w:tcW w:w="3800"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5669" w:type="dxa"/>
            <w:gridSpan w:val="3"/>
            <w:tcBorders>
              <w:top w:val="single" w:color="auto" w:sz="12" w:space="0"/>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CellMar>
            <w:top w:w="0" w:type="dxa"/>
            <w:left w:w="108" w:type="dxa"/>
            <w:bottom w:w="0" w:type="dxa"/>
            <w:right w:w="108" w:type="dxa"/>
          </w:tblCellMar>
        </w:tblPrEx>
        <w:trPr>
          <w:wBefore w:w="0" w:type="dxa"/>
          <w:wAfter w:w="0" w:type="dxa"/>
          <w:trHeight w:val="425" w:hRule="atLeast"/>
          <w:jc w:val="center"/>
        </w:trPr>
        <w:tc>
          <w:tcPr>
            <w:tcW w:w="380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p>
        </w:tc>
        <w:tc>
          <w:tcPr>
            <w:tcW w:w="1889" w:type="dxa"/>
            <w:tcBorders>
              <w:top w:val="nil"/>
              <w:left w:val="nil"/>
              <w:bottom w:val="nil"/>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小  计</w:t>
            </w:r>
          </w:p>
        </w:tc>
        <w:tc>
          <w:tcPr>
            <w:tcW w:w="1890" w:type="dxa"/>
            <w:tcBorders>
              <w:top w:val="nil"/>
              <w:left w:val="nil"/>
              <w:bottom w:val="nil"/>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基本支出</w:t>
            </w:r>
          </w:p>
        </w:tc>
        <w:tc>
          <w:tcPr>
            <w:tcW w:w="1890" w:type="dxa"/>
            <w:tcBorders>
              <w:top w:val="nil"/>
              <w:left w:val="nil"/>
              <w:bottom w:val="nil"/>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项目支出</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本级支出合计</w:t>
            </w:r>
          </w:p>
        </w:tc>
        <w:tc>
          <w:tcPr>
            <w:tcW w:w="1889" w:type="dxa"/>
            <w:tcBorders>
              <w:top w:val="single" w:color="auto" w:sz="4" w:space="0"/>
              <w:left w:val="nil"/>
              <w:bottom w:val="single" w:color="auto" w:sz="4" w:space="0"/>
              <w:right w:val="single" w:color="auto" w:sz="4" w:space="0"/>
            </w:tcBorders>
            <w:noWrap w:val="0"/>
            <w:vAlign w:val="center"/>
          </w:tcPr>
          <w:p>
            <w:pPr>
              <w:widowControl/>
              <w:spacing w:line="260" w:lineRule="exact"/>
              <w:jc w:val="right"/>
              <w:rPr>
                <w:rFonts w:ascii="Times New Roman" w:hAnsi="Times New Roman"/>
                <w:b/>
                <w:bCs/>
                <w:color w:val="000000"/>
                <w:kern w:val="0"/>
                <w:sz w:val="24"/>
              </w:rPr>
            </w:pPr>
            <w:r>
              <w:rPr>
                <w:rFonts w:hint="eastAsia" w:ascii="Times New Roman" w:hAnsi="Times New Roman"/>
                <w:b/>
                <w:bCs/>
                <w:color w:val="000000"/>
                <w:kern w:val="0"/>
                <w:sz w:val="24"/>
              </w:rPr>
              <w:t xml:space="preserve">489,337 </w:t>
            </w:r>
          </w:p>
        </w:tc>
        <w:tc>
          <w:tcPr>
            <w:tcW w:w="1890" w:type="dxa"/>
            <w:tcBorders>
              <w:top w:val="single" w:color="auto" w:sz="4" w:space="0"/>
              <w:left w:val="nil"/>
              <w:bottom w:val="single" w:color="auto" w:sz="4" w:space="0"/>
              <w:right w:val="single" w:color="auto" w:sz="4" w:space="0"/>
            </w:tcBorders>
            <w:noWrap w:val="0"/>
            <w:vAlign w:val="center"/>
          </w:tcPr>
          <w:p>
            <w:pPr>
              <w:widowControl/>
              <w:spacing w:line="260" w:lineRule="exact"/>
              <w:jc w:val="right"/>
              <w:rPr>
                <w:rFonts w:ascii="Times New Roman" w:hAnsi="Times New Roman"/>
                <w:b/>
                <w:bCs/>
                <w:color w:val="000000"/>
                <w:kern w:val="0"/>
                <w:sz w:val="24"/>
              </w:rPr>
            </w:pPr>
            <w:r>
              <w:rPr>
                <w:rFonts w:ascii="Times New Roman" w:hAnsi="Times New Roman"/>
                <w:b/>
                <w:bCs/>
                <w:color w:val="000000"/>
                <w:kern w:val="0"/>
                <w:sz w:val="24"/>
              </w:rPr>
              <w:t xml:space="preserve">202,278 </w:t>
            </w:r>
          </w:p>
        </w:tc>
        <w:tc>
          <w:tcPr>
            <w:tcW w:w="1890"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color w:val="000000"/>
                <w:kern w:val="0"/>
                <w:sz w:val="24"/>
              </w:rPr>
            </w:pPr>
            <w:r>
              <w:rPr>
                <w:rFonts w:hint="eastAsia" w:ascii="Times New Roman" w:hAnsi="Times New Roman"/>
                <w:b/>
                <w:bCs/>
                <w:color w:val="000000"/>
                <w:kern w:val="0"/>
                <w:sz w:val="24"/>
              </w:rPr>
              <w:t>287,059</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一、一般公共服务支出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40,137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19,653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20,484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二、国防支出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hint="eastAsia" w:ascii="Times New Roman" w:hAnsi="Times New Roman"/>
                <w:kern w:val="0"/>
                <w:sz w:val="24"/>
              </w:rPr>
              <w:t>1</w:t>
            </w:r>
            <w:r>
              <w:rPr>
                <w:rFonts w:ascii="Times New Roman" w:hAnsi="Times New Roman"/>
                <w:kern w:val="0"/>
                <w:sz w:val="24"/>
              </w:rPr>
              <w:t xml:space="preserve">4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hint="eastAsia" w:ascii="Times New Roman" w:hAnsi="Times New Roman"/>
                <w:kern w:val="0"/>
                <w:sz w:val="24"/>
              </w:rPr>
              <w:t>1</w:t>
            </w:r>
            <w:r>
              <w:rPr>
                <w:rFonts w:ascii="Times New Roman" w:hAnsi="Times New Roman"/>
                <w:kern w:val="0"/>
                <w:sz w:val="24"/>
              </w:rPr>
              <w:t xml:space="preserve">4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三、公共安全支出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20,374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13,907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6,467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四、教育支出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114,093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84,528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29,565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五、科学技术支出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10,463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454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10,009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六、文化旅游体育与传媒支出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5,308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3,585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1,723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七、社会保障和就业支出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w:t>
            </w:r>
            <w:r>
              <w:rPr>
                <w:rFonts w:hint="eastAsia" w:ascii="Times New Roman" w:hAnsi="Times New Roman"/>
                <w:kern w:val="0"/>
                <w:sz w:val="24"/>
              </w:rPr>
              <w:t>4</w:t>
            </w:r>
            <w:r>
              <w:rPr>
                <w:rFonts w:ascii="Times New Roman" w:hAnsi="Times New Roman"/>
                <w:kern w:val="0"/>
                <w:sz w:val="24"/>
              </w:rPr>
              <w:t>,</w:t>
            </w:r>
            <w:r>
              <w:rPr>
                <w:rFonts w:hint="eastAsia" w:ascii="Times New Roman" w:hAnsi="Times New Roman"/>
                <w:kern w:val="0"/>
                <w:sz w:val="24"/>
              </w:rPr>
              <w:t>991</w:t>
            </w:r>
            <w:r>
              <w:rPr>
                <w:rFonts w:ascii="Times New Roman" w:hAnsi="Times New Roman"/>
                <w:kern w:val="0"/>
                <w:sz w:val="24"/>
              </w:rPr>
              <w:t xml:space="preserve">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30,609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24,</w:t>
            </w:r>
            <w:r>
              <w:rPr>
                <w:rFonts w:hint="eastAsia" w:ascii="Times New Roman" w:hAnsi="Times New Roman"/>
                <w:kern w:val="0"/>
                <w:sz w:val="24"/>
              </w:rPr>
              <w:t>382</w:t>
            </w:r>
            <w:r>
              <w:rPr>
                <w:rFonts w:ascii="Times New Roman" w:hAnsi="Times New Roman"/>
                <w:kern w:val="0"/>
                <w:sz w:val="24"/>
              </w:rPr>
              <w:t xml:space="preserve">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八、卫生健康支出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53,704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20,100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33,604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九、节能环保支出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17,5</w:t>
            </w:r>
            <w:r>
              <w:rPr>
                <w:rFonts w:hint="eastAsia" w:ascii="Times New Roman" w:hAnsi="Times New Roman"/>
                <w:kern w:val="0"/>
                <w:sz w:val="24"/>
              </w:rPr>
              <w:t>79</w:t>
            </w:r>
            <w:r>
              <w:rPr>
                <w:rFonts w:ascii="Times New Roman" w:hAnsi="Times New Roman"/>
                <w:kern w:val="0"/>
                <w:sz w:val="24"/>
              </w:rPr>
              <w:t xml:space="preserve">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1,061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16,</w:t>
            </w:r>
            <w:r>
              <w:rPr>
                <w:rFonts w:hint="eastAsia" w:ascii="Times New Roman" w:hAnsi="Times New Roman"/>
                <w:kern w:val="0"/>
                <w:sz w:val="24"/>
              </w:rPr>
              <w:t>518</w:t>
            </w:r>
            <w:r>
              <w:rPr>
                <w:rFonts w:ascii="Times New Roman" w:hAnsi="Times New Roman"/>
                <w:kern w:val="0"/>
                <w:sz w:val="24"/>
              </w:rPr>
              <w:t xml:space="preserve">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十、城乡社区支出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9,603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2,853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6,750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十一、农林水支出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57,907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6,149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51,758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十二、交通运输支出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24,076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4,391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19,685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十三、资源勘探</w:t>
            </w:r>
            <w:r>
              <w:rPr>
                <w:rFonts w:hint="eastAsia" w:ascii="Times New Roman" w:hAnsi="Times New Roman" w:eastAsia="方正仿宋_GBK"/>
                <w:kern w:val="0"/>
                <w:sz w:val="22"/>
                <w:szCs w:val="22"/>
              </w:rPr>
              <w:t>工业</w:t>
            </w:r>
            <w:r>
              <w:rPr>
                <w:rFonts w:ascii="Times New Roman" w:hAnsi="Times New Roman" w:eastAsia="方正仿宋_GBK"/>
                <w:kern w:val="0"/>
                <w:sz w:val="22"/>
                <w:szCs w:val="22"/>
              </w:rPr>
              <w:t>信息等支出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37,310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1,168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36,142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十四、商业服务业等支出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1,317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317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1,000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十五、自然资源海洋气象</w:t>
            </w:r>
            <w:r>
              <w:rPr>
                <w:rFonts w:hint="eastAsia" w:ascii="Times New Roman" w:hAnsi="Times New Roman" w:eastAsia="方正仿宋_GBK"/>
                <w:kern w:val="0"/>
                <w:sz w:val="22"/>
                <w:szCs w:val="22"/>
              </w:rPr>
              <w:t>等</w:t>
            </w:r>
            <w:r>
              <w:rPr>
                <w:rFonts w:ascii="Times New Roman" w:hAnsi="Times New Roman" w:eastAsia="方正仿宋_GBK"/>
                <w:kern w:val="0"/>
                <w:sz w:val="22"/>
                <w:szCs w:val="22"/>
              </w:rPr>
              <w:t>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3,193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2,146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1,047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十六、住房保障支出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15,583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10,433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5,150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十七、粮油物资储备支出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72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57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15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十八、灾害防治及应急管理支出</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3,453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867 </w:t>
            </w: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2,586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十九、预备费</w:t>
            </w:r>
          </w:p>
        </w:tc>
        <w:tc>
          <w:tcPr>
            <w:tcW w:w="1889"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4,000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4,000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4" w:space="0"/>
              <w:right w:val="single" w:color="auto" w:sz="4" w:space="0"/>
            </w:tcBorders>
            <w:shd w:val="clear" w:color="auto" w:fill="auto"/>
            <w:noWrap w:val="0"/>
            <w:vAlign w:val="center"/>
          </w:tcPr>
          <w:p>
            <w:pPr>
              <w:widowControl/>
              <w:spacing w:line="260" w:lineRule="exac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二十、债务付息支出</w:t>
            </w:r>
          </w:p>
        </w:tc>
        <w:tc>
          <w:tcPr>
            <w:tcW w:w="1889" w:type="dxa"/>
            <w:tcBorders>
              <w:top w:val="nil"/>
              <w:left w:val="nil"/>
              <w:bottom w:val="single" w:color="auto" w:sz="4" w:space="0"/>
              <w:right w:val="single" w:color="auto" w:sz="4" w:space="0"/>
            </w:tcBorders>
            <w:shd w:val="clear" w:color="auto" w:fill="auto"/>
            <w:noWrap w:val="0"/>
            <w:vAlign w:val="center"/>
          </w:tcPr>
          <w:p>
            <w:pPr>
              <w:widowControl/>
              <w:spacing w:line="260" w:lineRule="exact"/>
              <w:jc w:val="right"/>
              <w:rPr>
                <w:rFonts w:ascii="Times New Roman" w:hAnsi="Times New Roman"/>
                <w:color w:val="000000"/>
                <w:kern w:val="0"/>
                <w:sz w:val="24"/>
              </w:rPr>
            </w:pPr>
            <w:r>
              <w:rPr>
                <w:rFonts w:hint="eastAsia" w:ascii="Times New Roman" w:hAnsi="Times New Roman"/>
                <w:color w:val="000000"/>
                <w:kern w:val="0"/>
                <w:sz w:val="24"/>
              </w:rPr>
              <w:t>1</w:t>
            </w:r>
            <w:r>
              <w:rPr>
                <w:rFonts w:ascii="Times New Roman" w:hAnsi="Times New Roman"/>
                <w:color w:val="000000"/>
                <w:kern w:val="0"/>
                <w:sz w:val="24"/>
              </w:rPr>
              <w:t xml:space="preserve">6,100 </w:t>
            </w:r>
          </w:p>
        </w:tc>
        <w:tc>
          <w:tcPr>
            <w:tcW w:w="189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p>
        </w:tc>
        <w:tc>
          <w:tcPr>
            <w:tcW w:w="189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color w:val="000000"/>
                <w:kern w:val="0"/>
                <w:sz w:val="24"/>
              </w:rPr>
            </w:pPr>
            <w:r>
              <w:rPr>
                <w:rFonts w:hint="eastAsia" w:ascii="Times New Roman" w:hAnsi="Times New Roman"/>
                <w:color w:val="000000"/>
                <w:kern w:val="0"/>
                <w:sz w:val="24"/>
              </w:rPr>
              <w:t>1</w:t>
            </w:r>
            <w:r>
              <w:rPr>
                <w:rFonts w:ascii="Times New Roman" w:hAnsi="Times New Roman"/>
                <w:color w:val="000000"/>
                <w:kern w:val="0"/>
                <w:sz w:val="24"/>
              </w:rPr>
              <w:t xml:space="preserve">6,100 </w:t>
            </w:r>
          </w:p>
        </w:tc>
      </w:tr>
      <w:tr>
        <w:tblPrEx>
          <w:tblCellMar>
            <w:top w:w="0" w:type="dxa"/>
            <w:left w:w="108" w:type="dxa"/>
            <w:bottom w:w="0" w:type="dxa"/>
            <w:right w:w="108" w:type="dxa"/>
          </w:tblCellMar>
        </w:tblPrEx>
        <w:trPr>
          <w:wBefore w:w="0" w:type="dxa"/>
          <w:wAfter w:w="0" w:type="dxa"/>
          <w:trHeight w:val="425" w:hRule="atLeast"/>
          <w:jc w:val="center"/>
        </w:trPr>
        <w:tc>
          <w:tcPr>
            <w:tcW w:w="3800" w:type="dxa"/>
            <w:tcBorders>
              <w:top w:val="nil"/>
              <w:left w:val="single" w:color="auto" w:sz="12" w:space="0"/>
              <w:bottom w:val="single" w:color="auto" w:sz="12" w:space="0"/>
              <w:right w:val="single" w:color="auto" w:sz="4" w:space="0"/>
            </w:tcBorders>
            <w:shd w:val="clear" w:color="auto" w:fill="auto"/>
            <w:noWrap w:val="0"/>
            <w:vAlign w:val="center"/>
          </w:tcPr>
          <w:p>
            <w:pPr>
              <w:widowControl/>
              <w:spacing w:line="260" w:lineRule="exact"/>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二十一、其他支出</w:t>
            </w:r>
          </w:p>
        </w:tc>
        <w:tc>
          <w:tcPr>
            <w:tcW w:w="1889" w:type="dxa"/>
            <w:tcBorders>
              <w:top w:val="nil"/>
              <w:left w:val="nil"/>
              <w:bottom w:val="single" w:color="auto" w:sz="12" w:space="0"/>
              <w:right w:val="single" w:color="auto" w:sz="4" w:space="0"/>
            </w:tcBorders>
            <w:shd w:val="clear" w:color="auto" w:fill="auto"/>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60 </w:t>
            </w:r>
          </w:p>
        </w:tc>
        <w:tc>
          <w:tcPr>
            <w:tcW w:w="1890" w:type="dxa"/>
            <w:tcBorders>
              <w:top w:val="nil"/>
              <w:left w:val="nil"/>
              <w:bottom w:val="single" w:color="auto" w:sz="12" w:space="0"/>
              <w:right w:val="single" w:color="auto" w:sz="4" w:space="0"/>
            </w:tcBorders>
            <w:shd w:val="clear" w:color="auto" w:fill="FFFFFF"/>
            <w:noWrap w:val="0"/>
            <w:vAlign w:val="center"/>
          </w:tcPr>
          <w:p>
            <w:pPr>
              <w:widowControl/>
              <w:spacing w:line="260" w:lineRule="exact"/>
              <w:jc w:val="right"/>
              <w:rPr>
                <w:rFonts w:ascii="Times New Roman" w:hAnsi="Times New Roman"/>
                <w:color w:val="000000"/>
                <w:kern w:val="0"/>
                <w:sz w:val="24"/>
              </w:rPr>
            </w:pPr>
          </w:p>
        </w:tc>
        <w:tc>
          <w:tcPr>
            <w:tcW w:w="1890" w:type="dxa"/>
            <w:tcBorders>
              <w:top w:val="nil"/>
              <w:left w:val="nil"/>
              <w:bottom w:val="single" w:color="auto" w:sz="12" w:space="0"/>
              <w:right w:val="single" w:color="auto" w:sz="12" w:space="0"/>
            </w:tcBorders>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 xml:space="preserve"> 60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在功能分类的基础上，为衔接表12，将每类支出分为基本支出和项目支出。基本支出是指部门、单位为保障机构正常运转、完成日常工作任务所发生的支出，包括人员经费和公用经费；项目支出，是指部门、单位为完成特定的工作任务和事业发展目标，在基本支出之外发生的支出。</w:t>
      </w: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2020年区级一般公共预算基本支出预算表（草案）</w:t>
      </w:r>
    </w:p>
    <w:p>
      <w:pPr>
        <w:spacing w:line="400" w:lineRule="exact"/>
        <w:ind w:left="-210" w:leftChars="-100" w:right="-210" w:rightChars="-100"/>
        <w:jc w:val="center"/>
        <w:rPr>
          <w:rFonts w:ascii="Times New Roman" w:hAnsi="Times New Roman" w:eastAsia="方正黑体_GBK"/>
          <w:sz w:val="26"/>
          <w:szCs w:val="26"/>
        </w:rPr>
      </w:pPr>
      <w:r>
        <w:rPr>
          <w:rFonts w:ascii="Times New Roman" w:hAnsi="Times New Roman" w:eastAsia="方正黑体_GBK"/>
          <w:kern w:val="0"/>
          <w:sz w:val="26"/>
          <w:szCs w:val="26"/>
        </w:rPr>
        <w:t>（按经济分类科目）</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7039"/>
        <w:gridCol w:w="2430"/>
      </w:tblGrid>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2430" w:type="dxa"/>
            <w:tcBorders>
              <w:top w:val="single" w:color="auto" w:sz="12" w:space="0"/>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本级基本支出合计</w:t>
            </w:r>
          </w:p>
        </w:tc>
        <w:tc>
          <w:tcPr>
            <w:tcW w:w="2430" w:type="dxa"/>
            <w:tcBorders>
              <w:top w:val="nil"/>
              <w:left w:val="nil"/>
              <w:bottom w:val="single" w:color="000000"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202,278 </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工资福利支出</w:t>
            </w:r>
          </w:p>
        </w:tc>
        <w:tc>
          <w:tcPr>
            <w:tcW w:w="2430" w:type="dxa"/>
            <w:tcBorders>
              <w:top w:val="single" w:color="auto" w:sz="4" w:space="0"/>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172,255</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基本工资</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43,048</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津贴补贴</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14,477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奖金</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1,547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伙食补助费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1,501</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绩效工资</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26,490</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机关事业单位基本养老保险缴费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13,592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职业年金缴费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6,796</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职工基本医疗保险缴费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6,858</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公务员医疗补助缴费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2,447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其他社会保障缴费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2,124</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住房公积金</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10,433</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其他工资福利支出</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42,942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商品服务支出</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20,698</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办公费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2,154</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印刷费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443</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咨询费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49</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手续费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10</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水费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476</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电费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1,020</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邮电费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967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物业管理费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462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差旅费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3,109</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维修（护）费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722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租赁费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93</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会议费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136</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auto" w:sz="12"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培训费</w:t>
            </w:r>
          </w:p>
        </w:tc>
        <w:tc>
          <w:tcPr>
            <w:tcW w:w="2430" w:type="dxa"/>
            <w:tcBorders>
              <w:top w:val="nil"/>
              <w:left w:val="single" w:color="auto" w:sz="4" w:space="0"/>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1,131</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表12</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2020年区级一般公共预算基本支出预算表（草案）</w:t>
      </w:r>
    </w:p>
    <w:p>
      <w:pPr>
        <w:spacing w:line="400" w:lineRule="exact"/>
        <w:ind w:left="-210" w:leftChars="-100" w:right="-210" w:rightChars="-100"/>
        <w:jc w:val="center"/>
        <w:rPr>
          <w:rFonts w:ascii="Times New Roman" w:hAnsi="Times New Roman" w:eastAsia="方正黑体_GBK"/>
          <w:sz w:val="26"/>
          <w:szCs w:val="26"/>
        </w:rPr>
      </w:pPr>
      <w:r>
        <w:rPr>
          <w:rFonts w:ascii="Times New Roman" w:hAnsi="Times New Roman" w:eastAsia="方正黑体_GBK"/>
          <w:kern w:val="0"/>
          <w:sz w:val="26"/>
          <w:szCs w:val="26"/>
        </w:rPr>
        <w:t>（按经济分类科目）</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Layout w:type="fixed"/>
        <w:tblCellMar>
          <w:top w:w="0" w:type="dxa"/>
          <w:left w:w="108" w:type="dxa"/>
          <w:bottom w:w="0" w:type="dxa"/>
          <w:right w:w="108" w:type="dxa"/>
        </w:tblCellMar>
      </w:tblPr>
      <w:tblGrid>
        <w:gridCol w:w="7039"/>
        <w:gridCol w:w="2430"/>
      </w:tblGrid>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2430" w:type="dxa"/>
            <w:tcBorders>
              <w:top w:val="single" w:color="auto" w:sz="12" w:space="0"/>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公务招待费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531</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专用材料费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78</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被装购置费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5</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劳务费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1,365</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委托业务费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60</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工会经费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1,788</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福利费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1,191</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公务车运行维护费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1,199</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其他交通费用</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2,682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其他商品服务支出</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1,027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对个人和家庭的补助</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b/>
                <w:bCs/>
                <w:kern w:val="0"/>
                <w:sz w:val="24"/>
              </w:rPr>
              <w:t>8,972</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离休费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33</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退休费</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217</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single" w:color="000000" w:sz="4" w:space="0"/>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抚恤金</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w:t>
            </w:r>
          </w:p>
        </w:tc>
      </w:tr>
      <w:tr>
        <w:tblPrEx>
          <w:tblCellMar>
            <w:top w:w="0" w:type="dxa"/>
            <w:left w:w="108" w:type="dxa"/>
            <w:bottom w:w="0" w:type="dxa"/>
            <w:right w:w="108" w:type="dxa"/>
          </w:tblCellMar>
        </w:tblPrEx>
        <w:trPr>
          <w:wBefore w:w="0" w:type="dxa"/>
          <w:wAfter w:w="0" w:type="dxa"/>
          <w:trHeight w:val="420" w:hRule="atLeast"/>
          <w:jc w:val="center"/>
        </w:trPr>
        <w:tc>
          <w:tcPr>
            <w:tcW w:w="7039" w:type="dxa"/>
            <w:tcBorders>
              <w:top w:val="nil"/>
              <w:left w:val="single" w:color="auto" w:sz="12" w:space="0"/>
              <w:bottom w:val="nil"/>
              <w:right w:val="nil"/>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生活补助</w:t>
            </w:r>
          </w:p>
        </w:tc>
        <w:tc>
          <w:tcPr>
            <w:tcW w:w="2430" w:type="dxa"/>
            <w:tcBorders>
              <w:top w:val="nil"/>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427</w:t>
            </w:r>
          </w:p>
        </w:tc>
      </w:tr>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医疗费</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1,141</w:t>
            </w:r>
          </w:p>
        </w:tc>
      </w:tr>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其他对个人和家庭的补助支出</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7,148</w:t>
            </w:r>
          </w:p>
        </w:tc>
      </w:tr>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其他资本性支出</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353</w:t>
            </w:r>
          </w:p>
        </w:tc>
      </w:tr>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nil"/>
              <w:left w:val="single" w:color="auto" w:sz="12" w:space="0"/>
              <w:bottom w:val="single" w:color="auto" w:sz="4"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办公设备购置</w:t>
            </w:r>
          </w:p>
        </w:tc>
        <w:tc>
          <w:tcPr>
            <w:tcW w:w="2430" w:type="dxa"/>
            <w:tcBorders>
              <w:top w:val="nil"/>
              <w:left w:val="nil"/>
              <w:bottom w:val="single" w:color="auto" w:sz="4"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203</w:t>
            </w:r>
          </w:p>
        </w:tc>
      </w:tr>
      <w:tr>
        <w:tblPrEx>
          <w:tblCellMar>
            <w:top w:w="0" w:type="dxa"/>
            <w:left w:w="108" w:type="dxa"/>
            <w:bottom w:w="0" w:type="dxa"/>
            <w:right w:w="108" w:type="dxa"/>
          </w:tblCellMar>
        </w:tblPrEx>
        <w:trPr>
          <w:wBefore w:w="0" w:type="dxa"/>
          <w:wAfter w:w="0" w:type="dxa"/>
          <w:trHeight w:val="439" w:hRule="atLeast"/>
          <w:jc w:val="center"/>
        </w:trPr>
        <w:tc>
          <w:tcPr>
            <w:tcW w:w="7039" w:type="dxa"/>
            <w:tcBorders>
              <w:top w:val="nil"/>
              <w:left w:val="single" w:color="auto" w:sz="12" w:space="0"/>
              <w:bottom w:val="single" w:color="auto" w:sz="12" w:space="0"/>
              <w:right w:val="single" w:color="auto" w:sz="4" w:space="0"/>
            </w:tcBorders>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其他资本性支出</w:t>
            </w:r>
          </w:p>
        </w:tc>
        <w:tc>
          <w:tcPr>
            <w:tcW w:w="2430" w:type="dxa"/>
            <w:tcBorders>
              <w:top w:val="nil"/>
              <w:left w:val="nil"/>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150</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注：按照《预算法》要求，将本级基本支出按经济分类细化到款级科目，本表的本级基本支出合计数与表11的本级基本支出合计数相等。</w:t>
      </w:r>
    </w:p>
    <w:p>
      <w:pPr>
        <w:ind w:left="-210" w:leftChars="-100" w:right="-210" w:rightChars="-100"/>
        <w:rPr>
          <w:rFonts w:ascii="Times New Roman" w:hAnsi="Times New Roman"/>
          <w:sz w:val="22"/>
          <w:szCs w:val="22"/>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表13</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2020年区级一般公共预算转移性收支预算表（草案）</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0"/>
        <w:gridCol w:w="1302"/>
        <w:gridCol w:w="3018"/>
        <w:gridCol w:w="1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1302"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3018"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169"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jc w:val="center"/>
        </w:trPr>
        <w:tc>
          <w:tcPr>
            <w:tcW w:w="3980"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转移性收入合计</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349,723 </w:t>
            </w:r>
          </w:p>
        </w:tc>
        <w:tc>
          <w:tcPr>
            <w:tcW w:w="3018"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转移性支出合计</w:t>
            </w:r>
          </w:p>
        </w:tc>
        <w:tc>
          <w:tcPr>
            <w:tcW w:w="1169"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88,521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一、上级补助收入</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267,213 </w:t>
            </w:r>
          </w:p>
        </w:tc>
        <w:tc>
          <w:tcPr>
            <w:tcW w:w="3018"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一、上解支出</w:t>
            </w:r>
          </w:p>
        </w:tc>
        <w:tc>
          <w:tcPr>
            <w:tcW w:w="1169"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19,538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（一）返还性收入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50,273 </w:t>
            </w:r>
          </w:p>
        </w:tc>
        <w:tc>
          <w:tcPr>
            <w:tcW w:w="3018"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体制上解</w:t>
            </w:r>
          </w:p>
        </w:tc>
        <w:tc>
          <w:tcPr>
            <w:tcW w:w="1169"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消费税返还</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33,230 </w:t>
            </w:r>
          </w:p>
        </w:tc>
        <w:tc>
          <w:tcPr>
            <w:tcW w:w="3018"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专项上解</w:t>
            </w:r>
          </w:p>
        </w:tc>
        <w:tc>
          <w:tcPr>
            <w:tcW w:w="1169"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19,324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增值税返还</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15,025 </w:t>
            </w:r>
          </w:p>
        </w:tc>
        <w:tc>
          <w:tcPr>
            <w:tcW w:w="3018"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二、补助乡镇支出</w:t>
            </w:r>
          </w:p>
        </w:tc>
        <w:tc>
          <w:tcPr>
            <w:tcW w:w="1169"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48,983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所得税基数返还</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2,018 </w:t>
            </w:r>
          </w:p>
        </w:tc>
        <w:tc>
          <w:tcPr>
            <w:tcW w:w="3018"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体制补助</w:t>
            </w:r>
          </w:p>
        </w:tc>
        <w:tc>
          <w:tcPr>
            <w:tcW w:w="1169"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48983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（二）一般性转移支付收入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172,995 </w:t>
            </w:r>
          </w:p>
        </w:tc>
        <w:tc>
          <w:tcPr>
            <w:tcW w:w="3018"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三、地方政府债务还本支出</w:t>
            </w:r>
          </w:p>
        </w:tc>
        <w:tc>
          <w:tcPr>
            <w:tcW w:w="1169"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20,000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均衡性转移支付收入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26,634 </w:t>
            </w:r>
          </w:p>
        </w:tc>
        <w:tc>
          <w:tcPr>
            <w:tcW w:w="3018"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其他地方政府债务还本支出</w:t>
            </w:r>
          </w:p>
        </w:tc>
        <w:tc>
          <w:tcPr>
            <w:tcW w:w="1169"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县级基本财力保障机制奖补资金收入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10,476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结算补助收入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6,477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产粮（油）大县奖励资金收入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1,417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重点生态功能区转移支付收入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3,952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固定数额补助收入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14,947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革命老区转移支付收入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2,062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民族地区转移支付收入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17,528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贫困地区转移支付收入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12,405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公共安全共同财政事权转移支付收入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1,636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教育共同财政事权转移支付收入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17,976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社会保障和就业共同财政事权转移支付收入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13,143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卫生健康共同财政事权转移支付收入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27,119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农林水共同财政事权转移支付收入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14,169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住房保障共同财政事权转移支付收入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2,285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其他一般性转移支付收入</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769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（三）专项转移支付</w:t>
            </w:r>
          </w:p>
        </w:tc>
        <w:tc>
          <w:tcPr>
            <w:tcW w:w="1302" w:type="dxa"/>
            <w:noWrap w:val="0"/>
            <w:vAlign w:val="center"/>
          </w:tcPr>
          <w:p>
            <w:pPr>
              <w:widowControl/>
              <w:spacing w:line="260" w:lineRule="exact"/>
              <w:jc w:val="right"/>
              <w:rPr>
                <w:rFonts w:ascii="Times New Roman" w:hAnsi="Times New Roman"/>
                <w:bCs/>
                <w:kern w:val="0"/>
                <w:sz w:val="24"/>
              </w:rPr>
            </w:pPr>
            <w:r>
              <w:rPr>
                <w:rFonts w:ascii="Times New Roman" w:hAnsi="Times New Roman"/>
                <w:bCs/>
                <w:kern w:val="0"/>
                <w:sz w:val="24"/>
              </w:rPr>
              <w:t xml:space="preserve">43,945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一般公共服务</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91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国防</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教育</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4,420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表13</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2020年区级一般公共预算转移性收支预算表（草案）</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0"/>
        <w:gridCol w:w="1302"/>
        <w:gridCol w:w="3018"/>
        <w:gridCol w:w="1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1302"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3018"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169"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文化旅游体育与传媒</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621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社会保障和就业</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862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卫生健康</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1,801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节能环保</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941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城乡社区</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农林水</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23,737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交通运输</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9,070 </w:t>
            </w:r>
          </w:p>
        </w:tc>
        <w:tc>
          <w:tcPr>
            <w:tcW w:w="3018" w:type="dxa"/>
            <w:noWrap w:val="0"/>
            <w:vAlign w:val="center"/>
          </w:tcPr>
          <w:p>
            <w:pPr>
              <w:widowControl/>
              <w:spacing w:line="260" w:lineRule="exact"/>
              <w:rPr>
                <w:rFonts w:ascii="Times New Roman" w:hAnsi="Times New Roman"/>
                <w:b/>
                <w:bCs/>
                <w:kern w:val="0"/>
                <w:sz w:val="22"/>
                <w:szCs w:val="22"/>
              </w:rPr>
            </w:pPr>
            <w:r>
              <w:rPr>
                <w:rFonts w:ascii="Times New Roman" w:hAnsi="Times New Roman"/>
                <w:b/>
                <w:bCs/>
                <w:kern w:val="0"/>
                <w:sz w:val="22"/>
                <w:szCs w:val="22"/>
              </w:rPr>
              <w:t>　</w:t>
            </w:r>
          </w:p>
        </w:tc>
        <w:tc>
          <w:tcPr>
            <w:tcW w:w="1169" w:type="dxa"/>
            <w:noWrap w:val="0"/>
            <w:vAlign w:val="center"/>
          </w:tcPr>
          <w:p>
            <w:pPr>
              <w:widowControl/>
              <w:spacing w:line="260" w:lineRule="exact"/>
              <w:rPr>
                <w:rFonts w:ascii="Times New Roman" w:hAnsi="Times New Roman"/>
                <w:b/>
                <w:bCs/>
                <w:kern w:val="0"/>
                <w:sz w:val="22"/>
                <w:szCs w:val="22"/>
              </w:rPr>
            </w:pPr>
            <w:r>
              <w:rPr>
                <w:rFonts w:ascii="Times New Roman" w:hAnsi="Times New Roman"/>
                <w:b/>
                <w:bCs/>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资源勘探</w:t>
            </w:r>
            <w:r>
              <w:rPr>
                <w:rFonts w:hint="eastAsia" w:ascii="Times New Roman" w:hAnsi="Times New Roman" w:eastAsia="方正仿宋_GBK"/>
                <w:kern w:val="0"/>
                <w:sz w:val="22"/>
                <w:szCs w:val="22"/>
              </w:rPr>
              <w:t>工业</w:t>
            </w:r>
            <w:r>
              <w:rPr>
                <w:rFonts w:ascii="Times New Roman" w:hAnsi="Times New Roman" w:eastAsia="方正仿宋_GBK"/>
                <w:kern w:val="0"/>
                <w:sz w:val="22"/>
                <w:szCs w:val="22"/>
              </w:rPr>
              <w:t>信息等</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商业服务业等</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住房保障</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298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二、动用预算稳定调节基金</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10,000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三、调入资金</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25,000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四、债券转贷收入</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20,000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仿宋_GBK"/>
                <w:kern w:val="0"/>
                <w:sz w:val="22"/>
                <w:szCs w:val="22"/>
              </w:rPr>
            </w:pPr>
            <w:r>
              <w:rPr>
                <w:rFonts w:ascii="Times New Roman" w:hAnsi="Times New Roman" w:eastAsia="方正仿宋_GBK"/>
                <w:kern w:val="0"/>
                <w:sz w:val="22"/>
                <w:szCs w:val="22"/>
              </w:rPr>
              <w:t>地方政府一般债券转贷收入（再融资）</w:t>
            </w:r>
          </w:p>
        </w:tc>
        <w:tc>
          <w:tcPr>
            <w:tcW w:w="13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20,000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3980" w:type="dxa"/>
            <w:noWrap w:val="0"/>
            <w:vAlign w:val="center"/>
          </w:tcPr>
          <w:p>
            <w:pPr>
              <w:widowControl/>
              <w:spacing w:line="260" w:lineRule="exact"/>
              <w:rPr>
                <w:rFonts w:ascii="Times New Roman" w:hAnsi="Times New Roman" w:eastAsia="方正黑体_GBK"/>
                <w:bCs/>
                <w:kern w:val="0"/>
                <w:sz w:val="22"/>
                <w:szCs w:val="22"/>
              </w:rPr>
            </w:pPr>
            <w:r>
              <w:rPr>
                <w:rFonts w:ascii="Times New Roman" w:hAnsi="Times New Roman" w:eastAsia="方正黑体_GBK"/>
                <w:bCs/>
                <w:kern w:val="0"/>
                <w:sz w:val="22"/>
                <w:szCs w:val="22"/>
              </w:rPr>
              <w:t>五、上年结转</w:t>
            </w:r>
          </w:p>
        </w:tc>
        <w:tc>
          <w:tcPr>
            <w:tcW w:w="130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27,510 </w:t>
            </w:r>
          </w:p>
        </w:tc>
        <w:tc>
          <w:tcPr>
            <w:tcW w:w="3018"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c>
          <w:tcPr>
            <w:tcW w:w="1169" w:type="dxa"/>
            <w:noWrap w:val="0"/>
            <w:vAlign w:val="center"/>
          </w:tcPr>
          <w:p>
            <w:pPr>
              <w:widowControl/>
              <w:spacing w:line="260" w:lineRule="exact"/>
              <w:rPr>
                <w:rFonts w:ascii="Times New Roman" w:hAnsi="Times New Roman"/>
                <w:kern w:val="0"/>
                <w:sz w:val="22"/>
                <w:szCs w:val="22"/>
              </w:rPr>
            </w:pPr>
            <w:r>
              <w:rPr>
                <w:rFonts w:ascii="Times New Roman" w:hAnsi="Times New Roman"/>
                <w:kern w:val="0"/>
                <w:sz w:val="22"/>
                <w:szCs w:val="22"/>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注：本表详细反映2020年一般公共预算转移性收入和转移性支出情况。</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4</w:t>
      </w:r>
    </w:p>
    <w:p>
      <w:pPr>
        <w:spacing w:line="600" w:lineRule="exact"/>
        <w:jc w:val="center"/>
        <w:rPr>
          <w:rFonts w:ascii="Times New Roman" w:hAnsi="Times New Roman" w:eastAsia="方正小标宋_GBK"/>
          <w:kern w:val="0"/>
          <w:sz w:val="40"/>
          <w:szCs w:val="40"/>
        </w:rPr>
      </w:pPr>
      <w:r>
        <w:rPr>
          <w:rFonts w:hint="eastAsia" w:ascii="方正小标宋_GBK" w:hAnsi="宋体" w:eastAsia="方正小标宋_GBK" w:cs="宋体"/>
          <w:color w:val="000000"/>
          <w:kern w:val="0"/>
          <w:sz w:val="36"/>
          <w:szCs w:val="36"/>
        </w:rPr>
        <w:t>2020年区级一般公共预算转移支付支出</w:t>
      </w:r>
      <w:r>
        <w:rPr>
          <w:rFonts w:ascii="Times New Roman" w:hAnsi="Times New Roman" w:eastAsia="方正小标宋_GBK"/>
          <w:kern w:val="0"/>
          <w:sz w:val="40"/>
          <w:szCs w:val="40"/>
        </w:rPr>
        <w:t>预算表（草案）</w:t>
      </w:r>
    </w:p>
    <w:p>
      <w:pPr>
        <w:spacing w:line="300" w:lineRule="exact"/>
        <w:jc w:val="center"/>
        <w:rPr>
          <w:rFonts w:hint="eastAsia" w:ascii="方正黑体_GBK" w:hAnsi="Times New Roman" w:eastAsia="方正黑体_GBK"/>
        </w:rPr>
      </w:pPr>
      <w:r>
        <w:rPr>
          <w:rFonts w:hint="eastAsia" w:ascii="方正黑体_GBK" w:hAnsi="宋体" w:eastAsia="方正黑体_GBK" w:cs="宋体"/>
          <w:color w:val="000000"/>
          <w:kern w:val="0"/>
          <w:sz w:val="22"/>
          <w:szCs w:val="22"/>
        </w:rPr>
        <w:t>（分乡镇）</w:t>
      </w:r>
    </w:p>
    <w:p>
      <w:pPr>
        <w:spacing w:line="400" w:lineRule="exact"/>
        <w:jc w:val="right"/>
        <w:rPr>
          <w:rFonts w:hint="eastAsia" w:ascii="方正仿宋_GBK" w:hAnsi="Times New Roman" w:eastAsia="方正仿宋_GBK"/>
        </w:rPr>
      </w:pPr>
      <w:r>
        <w:rPr>
          <w:rFonts w:hint="eastAsia" w:ascii="方正仿宋_GBK" w:hAnsi="宋体" w:eastAsia="方正仿宋_GBK" w:cs="宋体"/>
          <w:color w:val="000000"/>
          <w:kern w:val="0"/>
          <w:sz w:val="22"/>
          <w:szCs w:val="22"/>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481"/>
        <w:gridCol w:w="388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9" w:hRule="atLeast"/>
          <w:jc w:val="center"/>
        </w:trPr>
        <w:tc>
          <w:tcPr>
            <w:tcW w:w="5481" w:type="dxa"/>
            <w:noWrap w:val="0"/>
            <w:vAlign w:val="center"/>
          </w:tcPr>
          <w:p>
            <w:pPr>
              <w:widowControl/>
              <w:spacing w:line="260" w:lineRule="exact"/>
              <w:jc w:val="center"/>
              <w:rPr>
                <w:rFonts w:ascii="Times New Roman" w:hAnsi="Times New Roman" w:eastAsia="方正黑体_GBK"/>
                <w:bCs/>
                <w:kern w:val="0"/>
                <w:sz w:val="22"/>
                <w:szCs w:val="22"/>
              </w:rPr>
            </w:pPr>
            <w:r>
              <w:rPr>
                <w:rFonts w:hint="eastAsia" w:ascii="Times New Roman" w:hAnsi="Times New Roman" w:eastAsia="方正黑体_GBK"/>
                <w:bCs/>
                <w:kern w:val="0"/>
                <w:sz w:val="22"/>
                <w:szCs w:val="22"/>
              </w:rPr>
              <w:t>支      出</w:t>
            </w:r>
          </w:p>
        </w:tc>
        <w:tc>
          <w:tcPr>
            <w:tcW w:w="3888" w:type="dxa"/>
            <w:noWrap w:val="0"/>
            <w:vAlign w:val="center"/>
          </w:tcPr>
          <w:p>
            <w:pPr>
              <w:widowControl/>
              <w:spacing w:line="260" w:lineRule="exact"/>
              <w:jc w:val="center"/>
              <w:rPr>
                <w:rFonts w:ascii="Times New Roman" w:hAnsi="Times New Roman" w:eastAsia="方正黑体_GBK"/>
                <w:bCs/>
                <w:kern w:val="0"/>
                <w:sz w:val="22"/>
                <w:szCs w:val="22"/>
              </w:rPr>
            </w:pPr>
            <w:r>
              <w:rPr>
                <w:rFonts w:hint="eastAsia"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补助乡镇合计</w:t>
            </w:r>
          </w:p>
        </w:tc>
        <w:tc>
          <w:tcPr>
            <w:tcW w:w="3888" w:type="dxa"/>
            <w:noWrap w:val="0"/>
            <w:vAlign w:val="center"/>
          </w:tcPr>
          <w:p>
            <w:pPr>
              <w:widowControl/>
              <w:spacing w:line="26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xml:space="preserve"> 48,983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城东街道办事处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2,230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城南街道办事处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1,968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城西街道办事处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2,064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舟白街道办事处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1,689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中塘镇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1,509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小南海镇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1,605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冯家街道办事处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1,746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正阳街道办事处</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1,712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蓬东乡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1,339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邻鄂镇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1,246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阿蓬江镇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2,082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石会镇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1,756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沙坝镇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1,551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黑溪镇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1,399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黄溪镇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1,651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白石镇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1,408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杉岭乡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1,085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黎水镇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1,203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金溪镇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1,557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太极乡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1,258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白土乡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1,050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水田乡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1,170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马喇镇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1,581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五里乡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1,227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金洞乡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1,262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濯水镇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2,045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水市乡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1,367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石家镇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1,573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新华乡</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1,127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鹅池镇</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1,244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51" w:hRule="atLeast"/>
          <w:jc w:val="center"/>
        </w:trPr>
        <w:tc>
          <w:tcPr>
            <w:tcW w:w="5481" w:type="dxa"/>
            <w:noWrap w:val="0"/>
            <w:vAlign w:val="center"/>
          </w:tcPr>
          <w:p>
            <w:pPr>
              <w:widowControl/>
              <w:spacing w:line="260" w:lineRule="exac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财政直编预算</w:t>
            </w:r>
          </w:p>
        </w:tc>
        <w:tc>
          <w:tcPr>
            <w:tcW w:w="3888" w:type="dxa"/>
            <w:noWrap w:val="0"/>
            <w:vAlign w:val="center"/>
          </w:tcPr>
          <w:p>
            <w:pPr>
              <w:widowControl/>
              <w:spacing w:line="26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3,279 </w:t>
            </w:r>
          </w:p>
        </w:tc>
      </w:tr>
    </w:tbl>
    <w:p>
      <w:pPr>
        <w:spacing w:line="360" w:lineRule="exact"/>
        <w:ind w:left="-210" w:leftChars="-100" w:right="-210" w:rightChars="-100" w:firstLine="110" w:firstLineChars="50"/>
        <w:rPr>
          <w:rFonts w:hint="eastAsia" w:ascii="方正仿宋_GBK" w:hAnsi="Times New Roman" w:eastAsia="方正仿宋_GBK"/>
        </w:rPr>
      </w:pPr>
      <w:r>
        <w:rPr>
          <w:rFonts w:hint="eastAsia" w:ascii="方正仿宋_GBK" w:hAnsi="宋体" w:eastAsia="方正仿宋_GBK" w:cs="宋体"/>
          <w:color w:val="000000"/>
          <w:kern w:val="0"/>
          <w:sz w:val="22"/>
          <w:szCs w:val="22"/>
        </w:rPr>
        <w:t>注：本表直观反映2020年区级对各乡镇的补助情况。</w:t>
      </w:r>
    </w:p>
    <w:p>
      <w:pPr>
        <w:ind w:left="-210" w:leftChars="-100" w:right="-210" w:rightChars="-100"/>
        <w:rPr>
          <w:rFonts w:ascii="Times New Roman" w:hAnsi="Times New Roman"/>
        </w:rPr>
      </w:pPr>
    </w:p>
    <w:p>
      <w:pPr>
        <w:widowControl/>
        <w:spacing w:line="400" w:lineRule="exact"/>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表</w:t>
      </w:r>
      <w:r>
        <w:rPr>
          <w:rFonts w:hint="eastAsia" w:ascii="Times New Roman" w:hAnsi="Times New Roman" w:eastAsia="方正仿宋_GBK"/>
          <w:kern w:val="0"/>
          <w:sz w:val="24"/>
        </w:rPr>
        <w:t>15</w:t>
      </w:r>
    </w:p>
    <w:p>
      <w:pPr>
        <w:spacing w:line="600" w:lineRule="exact"/>
        <w:jc w:val="center"/>
        <w:rPr>
          <w:rFonts w:ascii="Times New Roman" w:hAnsi="Times New Roman" w:eastAsia="方正小标宋_GBK"/>
          <w:kern w:val="0"/>
          <w:sz w:val="40"/>
          <w:szCs w:val="40"/>
        </w:rPr>
      </w:pPr>
      <w:r>
        <w:rPr>
          <w:rFonts w:hint="eastAsia" w:ascii="方正小标宋_GBK" w:hAnsi="宋体" w:eastAsia="方正小标宋_GBK" w:cs="宋体"/>
          <w:color w:val="000000"/>
          <w:kern w:val="0"/>
          <w:sz w:val="36"/>
          <w:szCs w:val="36"/>
        </w:rPr>
        <w:t>2020年区级一般公共预算转移支付支出</w:t>
      </w:r>
      <w:r>
        <w:rPr>
          <w:rFonts w:ascii="Times New Roman" w:hAnsi="Times New Roman" w:eastAsia="方正小标宋_GBK"/>
          <w:kern w:val="0"/>
          <w:sz w:val="40"/>
          <w:szCs w:val="40"/>
        </w:rPr>
        <w:t>预算表（草案）</w:t>
      </w:r>
    </w:p>
    <w:p>
      <w:pPr>
        <w:widowControl/>
        <w:jc w:val="center"/>
        <w:rPr>
          <w:rFonts w:hint="eastAsia"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（分项目）</w:t>
      </w:r>
    </w:p>
    <w:p>
      <w:pPr>
        <w:spacing w:line="400" w:lineRule="exact"/>
        <w:jc w:val="right"/>
        <w:rPr>
          <w:rFonts w:hint="eastAsia" w:ascii="方正仿宋_GBK" w:hAnsi="Times New Roman" w:eastAsia="方正仿宋_GBK"/>
        </w:rPr>
      </w:pPr>
      <w:r>
        <w:rPr>
          <w:rFonts w:hint="eastAsia" w:ascii="方正仿宋_GBK" w:hAnsi="宋体" w:eastAsia="方正仿宋_GBK" w:cs="宋体"/>
          <w:color w:val="000000"/>
          <w:kern w:val="0"/>
          <w:sz w:val="22"/>
          <w:szCs w:val="22"/>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7276"/>
        <w:gridCol w:w="208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80" w:lineRule="exact"/>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支  出</w:t>
            </w:r>
          </w:p>
        </w:tc>
        <w:tc>
          <w:tcPr>
            <w:tcW w:w="2080" w:type="dxa"/>
            <w:noWrap w:val="0"/>
            <w:vAlign w:val="center"/>
          </w:tcPr>
          <w:p>
            <w:pPr>
              <w:widowControl/>
              <w:spacing w:line="280" w:lineRule="exact"/>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补助乡镇合计</w:t>
            </w:r>
          </w:p>
        </w:tc>
        <w:tc>
          <w:tcPr>
            <w:tcW w:w="2080" w:type="dxa"/>
            <w:noWrap w:val="0"/>
            <w:vAlign w:val="center"/>
          </w:tcPr>
          <w:p>
            <w:pPr>
              <w:widowControl/>
              <w:spacing w:line="28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xml:space="preserve"> 48,983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80" w:lineRule="exact"/>
              <w:jc w:val="left"/>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一、基本支出</w:t>
            </w:r>
          </w:p>
        </w:tc>
        <w:tc>
          <w:tcPr>
            <w:tcW w:w="2080" w:type="dxa"/>
            <w:noWrap w:val="0"/>
            <w:vAlign w:val="center"/>
          </w:tcPr>
          <w:p>
            <w:pPr>
              <w:widowControl/>
              <w:spacing w:line="28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xml:space="preserve"> 42,275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1.工资福利支出</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27,912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2.对个人和家庭的补助</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9,286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3.商品服务支出</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5,078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80" w:lineRule="exact"/>
              <w:jc w:val="left"/>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二、项目支出</w:t>
            </w:r>
          </w:p>
        </w:tc>
        <w:tc>
          <w:tcPr>
            <w:tcW w:w="2080" w:type="dxa"/>
            <w:noWrap w:val="0"/>
            <w:vAlign w:val="center"/>
          </w:tcPr>
          <w:p>
            <w:pPr>
              <w:widowControl/>
              <w:spacing w:line="280" w:lineRule="exact"/>
              <w:jc w:val="right"/>
              <w:rPr>
                <w:rFonts w:ascii="Times New Roman" w:hAnsi="Times New Roman"/>
                <w:b/>
                <w:bCs/>
                <w:color w:val="000000"/>
                <w:kern w:val="0"/>
                <w:sz w:val="22"/>
                <w:szCs w:val="22"/>
              </w:rPr>
            </w:pPr>
            <w:r>
              <w:rPr>
                <w:rFonts w:ascii="Times New Roman" w:hAnsi="Times New Roman"/>
                <w:b/>
                <w:bCs/>
                <w:color w:val="000000"/>
                <w:kern w:val="0"/>
                <w:sz w:val="22"/>
                <w:szCs w:val="22"/>
              </w:rPr>
              <w:t xml:space="preserve"> 6,708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1.乡镇专职消防员经费（新增）</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182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2.原农税助征员（协税员）医疗补助和一次性养老补助</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3.市政维护及保洁专项</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2,522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4.基层政权建设补助资金</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250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5.安全维稳环保专项</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907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6.激励性转移支付补助</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1,759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7276" w:type="dxa"/>
            <w:noWrap w:val="0"/>
            <w:vAlign w:val="center"/>
          </w:tcPr>
          <w:p>
            <w:pPr>
              <w:widowControl/>
              <w:spacing w:line="260" w:lineRule="exac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7.非税收入结算补助</w:t>
            </w:r>
          </w:p>
        </w:tc>
        <w:tc>
          <w:tcPr>
            <w:tcW w:w="2080" w:type="dxa"/>
            <w:noWrap w:val="0"/>
            <w:vAlign w:val="center"/>
          </w:tcPr>
          <w:p>
            <w:pPr>
              <w:widowControl/>
              <w:spacing w:line="280" w:lineRule="exact"/>
              <w:jc w:val="right"/>
              <w:rPr>
                <w:rFonts w:ascii="Times New Roman" w:hAnsi="Times New Roman"/>
                <w:color w:val="000000"/>
                <w:kern w:val="0"/>
                <w:sz w:val="22"/>
                <w:szCs w:val="22"/>
              </w:rPr>
            </w:pPr>
            <w:r>
              <w:rPr>
                <w:rFonts w:ascii="Times New Roman" w:hAnsi="Times New Roman"/>
                <w:color w:val="000000"/>
                <w:kern w:val="0"/>
                <w:sz w:val="22"/>
                <w:szCs w:val="22"/>
              </w:rPr>
              <w:t xml:space="preserve"> 1,078 </w:t>
            </w:r>
          </w:p>
        </w:tc>
      </w:tr>
    </w:tbl>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ind w:left="-210" w:leftChars="-100" w:right="-210" w:rightChars="-100"/>
        <w:rPr>
          <w:rFonts w:hint="eastAsia"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6</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2020年区级政府性基金预算收支预算表（草案）</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036"/>
        <w:gridCol w:w="910"/>
        <w:gridCol w:w="2952"/>
        <w:gridCol w:w="1080"/>
        <w:gridCol w:w="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jc w:val="center"/>
        </w:trPr>
        <w:tc>
          <w:tcPr>
            <w:tcW w:w="2811"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1036"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910"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自然比增长%</w:t>
            </w:r>
          </w:p>
        </w:tc>
        <w:tc>
          <w:tcPr>
            <w:tcW w:w="2952"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1080"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863"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自然比增长%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11"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1036"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177,457 </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2952"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108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177,457 </w:t>
            </w:r>
          </w:p>
        </w:tc>
        <w:tc>
          <w:tcPr>
            <w:tcW w:w="863"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一、本级收入合计</w:t>
            </w:r>
          </w:p>
        </w:tc>
        <w:tc>
          <w:tcPr>
            <w:tcW w:w="1036"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69,000 </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-25.0 </w:t>
            </w:r>
          </w:p>
        </w:tc>
        <w:tc>
          <w:tcPr>
            <w:tcW w:w="2952"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一、本级支出合计</w:t>
            </w:r>
          </w:p>
        </w:tc>
        <w:tc>
          <w:tcPr>
            <w:tcW w:w="108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127,300 </w:t>
            </w:r>
          </w:p>
        </w:tc>
        <w:tc>
          <w:tcPr>
            <w:tcW w:w="863"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（一）国有土地收益基金收入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1,050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-45.7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（一）文化旅游体育与传媒支出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31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（二）农业土地开发资金收入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-77.5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（二）社会保障和就业支出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1,584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spacing w:val="-8"/>
                <w:kern w:val="0"/>
                <w:sz w:val="22"/>
                <w:szCs w:val="22"/>
              </w:rPr>
            </w:pPr>
            <w:r>
              <w:rPr>
                <w:rFonts w:ascii="Times New Roman" w:hAnsi="Times New Roman" w:eastAsia="方正仿宋_GBK"/>
                <w:spacing w:val="-8"/>
                <w:kern w:val="0"/>
                <w:sz w:val="22"/>
                <w:szCs w:val="22"/>
              </w:rPr>
              <w:t>（三）国有土地使用权出让收入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58,900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-15.6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（三）城乡社区支出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59,128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spacing w:val="-8"/>
                <w:kern w:val="0"/>
                <w:sz w:val="22"/>
                <w:szCs w:val="22"/>
              </w:rPr>
            </w:pPr>
            <w:r>
              <w:rPr>
                <w:rFonts w:ascii="Times New Roman" w:hAnsi="Times New Roman" w:eastAsia="方正仿宋_GBK"/>
                <w:spacing w:val="-8"/>
                <w:kern w:val="0"/>
                <w:sz w:val="22"/>
                <w:szCs w:val="22"/>
              </w:rPr>
              <w:t>（四）城市基础设施配套费收入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9,000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-55.0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（四）农林水支出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-94.3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526"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二、转移性收入合计</w:t>
            </w:r>
          </w:p>
        </w:tc>
        <w:tc>
          <w:tcPr>
            <w:tcW w:w="1036"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108,457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（五）其他支出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61,254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1795.2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（一）上级补助收入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2,200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（六）债务付息支出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5,263 </w:t>
            </w:r>
          </w:p>
        </w:tc>
        <w:tc>
          <w:tcPr>
            <w:tcW w:w="863"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73.6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（二）债务转贷收入</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89,100 </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二、转移性支出合计</w:t>
            </w:r>
          </w:p>
        </w:tc>
        <w:tc>
          <w:tcPr>
            <w:tcW w:w="108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50,157 </w:t>
            </w:r>
          </w:p>
        </w:tc>
        <w:tc>
          <w:tcPr>
            <w:tcW w:w="863"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地方政府专项债券转贷收入（新增）</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60,000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（一）上解支出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1,057 </w:t>
            </w:r>
          </w:p>
        </w:tc>
        <w:tc>
          <w:tcPr>
            <w:tcW w:w="863"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地方政府专项债券转贷收入（再融资）</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29,100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（二）调出资金</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20,000 </w:t>
            </w:r>
          </w:p>
        </w:tc>
        <w:tc>
          <w:tcPr>
            <w:tcW w:w="863"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（三）上年结转</w:t>
            </w: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17,157 </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spacing w:val="-8"/>
                <w:kern w:val="0"/>
                <w:sz w:val="22"/>
                <w:szCs w:val="22"/>
              </w:rPr>
            </w:pPr>
            <w:r>
              <w:rPr>
                <w:rFonts w:ascii="Times New Roman" w:hAnsi="Times New Roman" w:eastAsia="方正仿宋_GBK"/>
                <w:spacing w:val="-8"/>
                <w:kern w:val="0"/>
                <w:sz w:val="22"/>
                <w:szCs w:val="22"/>
              </w:rPr>
              <w:t>（三）地方政府专项债务还本支出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29,100 </w:t>
            </w:r>
          </w:p>
        </w:tc>
        <w:tc>
          <w:tcPr>
            <w:tcW w:w="863"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811" w:type="dxa"/>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1036" w:type="dxa"/>
            <w:noWrap w:val="0"/>
            <w:tcMar>
              <w:left w:w="28" w:type="dxa"/>
              <w:right w:w="57" w:type="dxa"/>
            </w:tcMar>
            <w:vAlign w:val="center"/>
          </w:tcPr>
          <w:p>
            <w:pPr>
              <w:widowControl/>
              <w:spacing w:line="260" w:lineRule="exact"/>
              <w:jc w:val="right"/>
              <w:rPr>
                <w:rFonts w:ascii="Times New Roman" w:hAnsi="Times New Roman"/>
                <w:kern w:val="0"/>
                <w:sz w:val="24"/>
              </w:rPr>
            </w:pPr>
          </w:p>
        </w:tc>
        <w:tc>
          <w:tcPr>
            <w:tcW w:w="910"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c>
          <w:tcPr>
            <w:tcW w:w="2952" w:type="dxa"/>
            <w:noWrap w:val="0"/>
            <w:tcMar>
              <w:left w:w="28" w:type="dxa"/>
              <w:right w:w="57" w:type="dxa"/>
            </w:tcMar>
            <w:vAlign w:val="center"/>
          </w:tcPr>
          <w:p>
            <w:pPr>
              <w:widowControl/>
              <w:spacing w:line="260" w:lineRule="exact"/>
              <w:jc w:val="left"/>
              <w:rPr>
                <w:rFonts w:ascii="Times New Roman" w:hAnsi="Times New Roman" w:eastAsia="方正仿宋_GBK"/>
                <w:spacing w:val="-8"/>
                <w:kern w:val="0"/>
                <w:sz w:val="22"/>
                <w:szCs w:val="22"/>
              </w:rPr>
            </w:pPr>
            <w:r>
              <w:rPr>
                <w:rFonts w:ascii="Times New Roman" w:hAnsi="Times New Roman" w:eastAsia="方正仿宋_GBK"/>
                <w:spacing w:val="-8"/>
                <w:kern w:val="0"/>
                <w:sz w:val="22"/>
                <w:szCs w:val="22"/>
              </w:rPr>
              <w:t>地方政府专项债券还本支出</w:t>
            </w:r>
          </w:p>
        </w:tc>
        <w:tc>
          <w:tcPr>
            <w:tcW w:w="108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29,100 </w:t>
            </w:r>
          </w:p>
        </w:tc>
        <w:tc>
          <w:tcPr>
            <w:tcW w:w="863"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注：本表直观反映2020年政府性基金预算收入与支出的平衡关系：收入总计（本级收入合计+转移性收入合计）=支出总计（本级支出合计+转移性支出合计）。</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7</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2020年区级政府性基金预算支出预算表（草案）</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9"/>
        <w:gridCol w:w="3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3428"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本级支出合计</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127,300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一、文化旅游体育与传媒支出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旅游发展基金支出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shd w:val="clear" w:color="auto" w:fill="FFFFFF"/>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地方旅游开发项目补助</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二、社会保障和就业支出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1,584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大中型水库移民后期扶持基金支出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1,573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移民补助</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459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基础设施建设和经济发展</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小型水库移民扶助基金安排的支出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基础设施建设和经济发展</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三、城乡社区支出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                  59,128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国有土地使用权出让收入安排的支出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                  49,028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征地和拆迁补偿支出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44,060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农村基础设施建设支出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其他国有土地使用权出让收入安排的支出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2,968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国有土地收益基金安排的支出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1,050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其他国有土地收益基金支出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农业土地开发资金安排的支出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城市基础设施配套费安排的支出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     9,000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其他城市基础设施配套费安排的支出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四、农林水支出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三峡水库库区基金支出</w:t>
            </w:r>
          </w:p>
        </w:tc>
        <w:tc>
          <w:tcPr>
            <w:tcW w:w="3428"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其他三峡水库库区基金支出</w:t>
            </w:r>
          </w:p>
        </w:tc>
        <w:tc>
          <w:tcPr>
            <w:tcW w:w="3428"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五、其他支出</w:t>
            </w:r>
          </w:p>
        </w:tc>
        <w:tc>
          <w:tcPr>
            <w:tcW w:w="3428" w:type="dxa"/>
            <w:tcBorders>
              <w:top w:val="single" w:color="auto" w:sz="4" w:space="0"/>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                  61,254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其他政府性基金及对应专项债务收入安排的支出</w:t>
            </w:r>
          </w:p>
        </w:tc>
        <w:tc>
          <w:tcPr>
            <w:tcW w:w="3428" w:type="dxa"/>
            <w:tcBorders>
              <w:top w:val="single" w:color="auto" w:sz="4" w:space="0"/>
              <w:left w:val="single" w:color="auto" w:sz="4" w:space="0"/>
              <w:bottom w:val="single" w:color="auto" w:sz="4" w:space="0"/>
              <w:right w:val="single" w:color="auto" w:sz="12" w:space="0"/>
            </w:tcBorders>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                  60,000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6029" w:type="dxa"/>
            <w:tcBorders>
              <w:top w:val="single" w:color="auto" w:sz="4" w:space="0"/>
              <w:left w:val="single" w:color="auto" w:sz="12" w:space="0"/>
              <w:bottom w:val="single" w:color="auto" w:sz="12" w:space="0"/>
              <w:right w:val="single" w:color="auto" w:sz="4" w:space="0"/>
            </w:tcBorders>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其他政府性基金债务收入安排的支出</w:t>
            </w:r>
          </w:p>
        </w:tc>
        <w:tc>
          <w:tcPr>
            <w:tcW w:w="3428" w:type="dxa"/>
            <w:tcBorders>
              <w:top w:val="single" w:color="auto" w:sz="4" w:space="0"/>
              <w:left w:val="single" w:color="auto" w:sz="4" w:space="0"/>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60,000 </w:t>
            </w:r>
          </w:p>
        </w:tc>
      </w:tr>
    </w:tbl>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7</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2020年区级政府性基金预算支出预算表（草案）</w:t>
      </w:r>
    </w:p>
    <w:p>
      <w:pPr>
        <w:spacing w:line="4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37"/>
        <w:gridCol w:w="3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3432" w:type="dxa"/>
            <w:tcBorders>
              <w:top w:val="single" w:color="auto" w:sz="12" w:space="0"/>
              <w:left w:val="single" w:color="auto" w:sz="4" w:space="0"/>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彩票发行销售机构业务费安排的支出</w:t>
            </w:r>
          </w:p>
        </w:tc>
        <w:tc>
          <w:tcPr>
            <w:tcW w:w="343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彩票市场调控资金支出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彩票公益金安排的支出</w:t>
            </w:r>
          </w:p>
        </w:tc>
        <w:tc>
          <w:tcPr>
            <w:tcW w:w="343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1,246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用于社会福利的彩票公益金支出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用于体育事业的彩票公益金支出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用于教育事业的彩票公益金支出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用于残疾人事业的彩票公益金支出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用于城乡医疗救助彩票公益金支出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用于其他社会公益事业的彩票公益金支出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1,024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六、债务付息支出</w:t>
            </w:r>
          </w:p>
        </w:tc>
        <w:tc>
          <w:tcPr>
            <w:tcW w:w="3432" w:type="dxa"/>
            <w:noWrap w:val="0"/>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5,263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037"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其他政府性基金债务付息支出</w:t>
            </w:r>
          </w:p>
        </w:tc>
        <w:tc>
          <w:tcPr>
            <w:tcW w:w="343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5,263 </w:t>
            </w:r>
          </w:p>
        </w:tc>
      </w:tr>
    </w:tbl>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8</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2020年区级国有资本经营预算收支表（草案）</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949"/>
        <w:gridCol w:w="798"/>
        <w:gridCol w:w="3415"/>
        <w:gridCol w:w="910"/>
        <w:gridCol w:w="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639"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收        入</w:t>
            </w:r>
          </w:p>
        </w:tc>
        <w:tc>
          <w:tcPr>
            <w:tcW w:w="949"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798"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增长%</w:t>
            </w:r>
          </w:p>
        </w:tc>
        <w:tc>
          <w:tcPr>
            <w:tcW w:w="3415"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支        出</w:t>
            </w:r>
          </w:p>
        </w:tc>
        <w:tc>
          <w:tcPr>
            <w:tcW w:w="910"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815"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增长%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49"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19,298 </w:t>
            </w:r>
          </w:p>
        </w:tc>
        <w:tc>
          <w:tcPr>
            <w:tcW w:w="798"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3415" w:type="dxa"/>
            <w:noWrap w:val="0"/>
            <w:tcMar>
              <w:left w:w="28" w:type="dxa"/>
              <w:right w:w="57" w:type="dxa"/>
            </w:tcMar>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总  计</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19,298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一、本级收入合计</w:t>
            </w:r>
          </w:p>
        </w:tc>
        <w:tc>
          <w:tcPr>
            <w:tcW w:w="949"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15,705 </w:t>
            </w:r>
          </w:p>
        </w:tc>
        <w:tc>
          <w:tcPr>
            <w:tcW w:w="798"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1.4 </w:t>
            </w:r>
          </w:p>
        </w:tc>
        <w:tc>
          <w:tcPr>
            <w:tcW w:w="3415"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一、本级支出合计</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14,298 </w:t>
            </w:r>
          </w:p>
        </w:tc>
        <w:tc>
          <w:tcPr>
            <w:tcW w:w="815"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（一）利润收入</w:t>
            </w:r>
          </w:p>
        </w:tc>
        <w:tc>
          <w:tcPr>
            <w:tcW w:w="949"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9,000 </w:t>
            </w:r>
          </w:p>
        </w:tc>
        <w:tc>
          <w:tcPr>
            <w:tcW w:w="79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（一）解决历史遗留问题及改革支出</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（二）股利、股息收入</w:t>
            </w:r>
          </w:p>
        </w:tc>
        <w:tc>
          <w:tcPr>
            <w:tcW w:w="949" w:type="dxa"/>
            <w:noWrap w:val="0"/>
            <w:tcMar>
              <w:left w:w="28" w:type="dxa"/>
              <w:right w:w="57" w:type="dxa"/>
            </w:tcMar>
            <w:vAlign w:val="bottom"/>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c>
          <w:tcPr>
            <w:tcW w:w="79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“三供一业”移交补助支出</w:t>
            </w:r>
          </w:p>
        </w:tc>
        <w:tc>
          <w:tcPr>
            <w:tcW w:w="910"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（三）产权转让收入</w:t>
            </w:r>
          </w:p>
        </w:tc>
        <w:tc>
          <w:tcPr>
            <w:tcW w:w="949"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79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（二）国有企业资本金注入</w:t>
            </w:r>
          </w:p>
        </w:tc>
        <w:tc>
          <w:tcPr>
            <w:tcW w:w="910"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（四）其他国有资本经营预算收入</w:t>
            </w:r>
          </w:p>
        </w:tc>
        <w:tc>
          <w:tcPr>
            <w:tcW w:w="949"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6,705 </w:t>
            </w:r>
          </w:p>
        </w:tc>
        <w:tc>
          <w:tcPr>
            <w:tcW w:w="798"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3.4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（三）国有企业政策性补贴</w:t>
            </w:r>
          </w:p>
        </w:tc>
        <w:tc>
          <w:tcPr>
            <w:tcW w:w="910"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二、转移性收入合计</w:t>
            </w:r>
          </w:p>
        </w:tc>
        <w:tc>
          <w:tcPr>
            <w:tcW w:w="949"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3,593 </w:t>
            </w:r>
          </w:p>
        </w:tc>
        <w:tc>
          <w:tcPr>
            <w:tcW w:w="798"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（四）金融国有资本经营预算支出</w:t>
            </w:r>
          </w:p>
        </w:tc>
        <w:tc>
          <w:tcPr>
            <w:tcW w:w="910" w:type="dxa"/>
            <w:noWrap w:val="0"/>
            <w:tcMar>
              <w:left w:w="28" w:type="dxa"/>
              <w:right w:w="57" w:type="dxa"/>
            </w:tcMar>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上年结转</w:t>
            </w:r>
          </w:p>
        </w:tc>
        <w:tc>
          <w:tcPr>
            <w:tcW w:w="949"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3,593 </w:t>
            </w:r>
          </w:p>
        </w:tc>
        <w:tc>
          <w:tcPr>
            <w:tcW w:w="798" w:type="dxa"/>
            <w:noWrap w:val="0"/>
            <w:tcMar>
              <w:left w:w="28" w:type="dxa"/>
              <w:right w:w="57" w:type="dxa"/>
            </w:tcMar>
            <w:vAlign w:val="center"/>
          </w:tcPr>
          <w:p>
            <w:pPr>
              <w:widowControl/>
              <w:spacing w:line="260" w:lineRule="exact"/>
              <w:jc w:val="center"/>
              <w:rPr>
                <w:rFonts w:ascii="Times New Roman" w:hAnsi="Times New Roman"/>
                <w:kern w:val="0"/>
                <w:sz w:val="24"/>
              </w:rPr>
            </w:pPr>
            <w:r>
              <w:rPr>
                <w:rFonts w:ascii="Times New Roman" w:hAnsi="Times New Roman"/>
                <w:kern w:val="0"/>
                <w:sz w:val="24"/>
              </w:rPr>
              <w:t>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（五）其他国有资本经营预算支出</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14,298 </w:t>
            </w:r>
          </w:p>
        </w:tc>
        <w:tc>
          <w:tcPr>
            <w:tcW w:w="81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kern w:val="0"/>
                <w:sz w:val="22"/>
                <w:szCs w:val="22"/>
              </w:rPr>
            </w:pPr>
            <w:r>
              <w:rPr>
                <w:rFonts w:ascii="Times New Roman" w:hAnsi="Times New Roman"/>
                <w:kern w:val="0"/>
                <w:sz w:val="22"/>
                <w:szCs w:val="22"/>
              </w:rPr>
              <w:t>　</w:t>
            </w:r>
          </w:p>
        </w:tc>
        <w:tc>
          <w:tcPr>
            <w:tcW w:w="949" w:type="dxa"/>
            <w:noWrap w:val="0"/>
            <w:tcMar>
              <w:left w:w="28" w:type="dxa"/>
              <w:right w:w="57" w:type="dxa"/>
            </w:tcMar>
            <w:vAlign w:val="center"/>
          </w:tcPr>
          <w:p>
            <w:pPr>
              <w:widowControl/>
              <w:spacing w:line="260" w:lineRule="exact"/>
              <w:jc w:val="center"/>
              <w:rPr>
                <w:rFonts w:ascii="Times New Roman" w:hAnsi="Times New Roman"/>
                <w:kern w:val="0"/>
                <w:sz w:val="24"/>
              </w:rPr>
            </w:pPr>
            <w:r>
              <w:rPr>
                <w:rFonts w:ascii="Times New Roman" w:hAnsi="Times New Roman"/>
                <w:kern w:val="0"/>
                <w:sz w:val="24"/>
              </w:rPr>
              <w:t>　</w:t>
            </w:r>
          </w:p>
        </w:tc>
        <w:tc>
          <w:tcPr>
            <w:tcW w:w="798" w:type="dxa"/>
            <w:noWrap w:val="0"/>
            <w:tcMar>
              <w:left w:w="28" w:type="dxa"/>
              <w:right w:w="57" w:type="dxa"/>
            </w:tcMar>
            <w:vAlign w:val="center"/>
          </w:tcPr>
          <w:p>
            <w:pPr>
              <w:widowControl/>
              <w:spacing w:line="260" w:lineRule="exact"/>
              <w:jc w:val="center"/>
              <w:rPr>
                <w:rFonts w:ascii="Times New Roman" w:hAnsi="Times New Roman"/>
                <w:kern w:val="0"/>
                <w:sz w:val="24"/>
              </w:rPr>
            </w:pPr>
            <w:r>
              <w:rPr>
                <w:rFonts w:ascii="Times New Roman" w:hAnsi="Times New Roman"/>
                <w:kern w:val="0"/>
                <w:sz w:val="24"/>
              </w:rPr>
              <w:t>　</w:t>
            </w: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其他国有资本经营预算支出</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14,298 </w:t>
            </w:r>
          </w:p>
        </w:tc>
        <w:tc>
          <w:tcPr>
            <w:tcW w:w="815"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b/>
                <w:bCs/>
                <w:kern w:val="0"/>
                <w:sz w:val="22"/>
                <w:szCs w:val="22"/>
              </w:rPr>
            </w:pPr>
          </w:p>
        </w:tc>
        <w:tc>
          <w:tcPr>
            <w:tcW w:w="949" w:type="dxa"/>
            <w:noWrap w:val="0"/>
            <w:tcMar>
              <w:left w:w="28" w:type="dxa"/>
              <w:right w:w="57" w:type="dxa"/>
            </w:tcMar>
            <w:vAlign w:val="center"/>
          </w:tcPr>
          <w:p>
            <w:pPr>
              <w:widowControl/>
              <w:spacing w:line="260" w:lineRule="exact"/>
              <w:jc w:val="right"/>
              <w:rPr>
                <w:rFonts w:ascii="Times New Roman" w:hAnsi="Times New Roman"/>
                <w:b/>
                <w:bCs/>
                <w:kern w:val="0"/>
                <w:sz w:val="24"/>
              </w:rPr>
            </w:pPr>
          </w:p>
        </w:tc>
        <w:tc>
          <w:tcPr>
            <w:tcW w:w="798" w:type="dxa"/>
            <w:noWrap w:val="0"/>
            <w:tcMar>
              <w:left w:w="28" w:type="dxa"/>
              <w:right w:w="57" w:type="dxa"/>
            </w:tcMar>
            <w:vAlign w:val="center"/>
          </w:tcPr>
          <w:p>
            <w:pPr>
              <w:widowControl/>
              <w:spacing w:line="260" w:lineRule="exact"/>
              <w:jc w:val="right"/>
              <w:rPr>
                <w:rFonts w:ascii="Times New Roman" w:hAnsi="Times New Roman"/>
                <w:b/>
                <w:bCs/>
                <w:kern w:val="0"/>
                <w:sz w:val="24"/>
              </w:rPr>
            </w:pPr>
          </w:p>
        </w:tc>
        <w:tc>
          <w:tcPr>
            <w:tcW w:w="3415" w:type="dxa"/>
            <w:noWrap w:val="0"/>
            <w:tcMar>
              <w:left w:w="28" w:type="dxa"/>
              <w:right w:w="57" w:type="dxa"/>
            </w:tcMar>
            <w:vAlign w:val="center"/>
          </w:tcPr>
          <w:p>
            <w:pPr>
              <w:widowControl/>
              <w:spacing w:line="260" w:lineRule="exact"/>
              <w:jc w:val="left"/>
              <w:rPr>
                <w:rFonts w:ascii="Times New Roman" w:hAnsi="Times New Roman" w:eastAsia="方正黑体_GBK"/>
                <w:bCs/>
                <w:kern w:val="0"/>
                <w:sz w:val="22"/>
                <w:szCs w:val="22"/>
              </w:rPr>
            </w:pPr>
            <w:r>
              <w:rPr>
                <w:rFonts w:ascii="Times New Roman" w:hAnsi="Times New Roman" w:eastAsia="方正黑体_GBK"/>
                <w:bCs/>
                <w:kern w:val="0"/>
                <w:sz w:val="22"/>
                <w:szCs w:val="22"/>
              </w:rPr>
              <w:t>二、转移性支出合计</w:t>
            </w:r>
          </w:p>
        </w:tc>
        <w:tc>
          <w:tcPr>
            <w:tcW w:w="910"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xml:space="preserve">5,000 </w:t>
            </w:r>
          </w:p>
        </w:tc>
        <w:tc>
          <w:tcPr>
            <w:tcW w:w="815" w:type="dxa"/>
            <w:noWrap w:val="0"/>
            <w:tcMar>
              <w:left w:w="28" w:type="dxa"/>
              <w:right w:w="57" w:type="dxa"/>
            </w:tcMar>
            <w:vAlign w:val="center"/>
          </w:tcPr>
          <w:p>
            <w:pPr>
              <w:widowControl/>
              <w:spacing w:line="260" w:lineRule="exact"/>
              <w:jc w:val="right"/>
              <w:rPr>
                <w:rFonts w:ascii="Times New Roman" w:hAnsi="Times New Roman"/>
                <w:b/>
                <w:bCs/>
                <w:kern w:val="0"/>
                <w:sz w:val="24"/>
              </w:rPr>
            </w:pPr>
            <w:r>
              <w:rPr>
                <w:rFonts w:ascii="Times New Roman" w:hAnsi="Times New Roman"/>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wAfter w:w="0" w:type="dxa"/>
          <w:trHeight w:val="499" w:hRule="atLeast"/>
          <w:jc w:val="center"/>
        </w:trPr>
        <w:tc>
          <w:tcPr>
            <w:tcW w:w="2639" w:type="dxa"/>
            <w:noWrap w:val="0"/>
            <w:tcMar>
              <w:left w:w="28" w:type="dxa"/>
              <w:right w:w="57" w:type="dxa"/>
            </w:tcMar>
            <w:vAlign w:val="center"/>
          </w:tcPr>
          <w:p>
            <w:pPr>
              <w:widowControl/>
              <w:spacing w:line="260" w:lineRule="exact"/>
              <w:jc w:val="left"/>
              <w:rPr>
                <w:rFonts w:ascii="Times New Roman" w:hAnsi="Times New Roman"/>
                <w:kern w:val="0"/>
                <w:sz w:val="22"/>
                <w:szCs w:val="22"/>
              </w:rPr>
            </w:pPr>
          </w:p>
        </w:tc>
        <w:tc>
          <w:tcPr>
            <w:tcW w:w="949" w:type="dxa"/>
            <w:noWrap w:val="0"/>
            <w:tcMar>
              <w:left w:w="28" w:type="dxa"/>
              <w:right w:w="57" w:type="dxa"/>
            </w:tcMar>
            <w:vAlign w:val="center"/>
          </w:tcPr>
          <w:p>
            <w:pPr>
              <w:widowControl/>
              <w:spacing w:line="260" w:lineRule="exact"/>
              <w:jc w:val="right"/>
              <w:rPr>
                <w:rFonts w:ascii="Times New Roman" w:hAnsi="Times New Roman"/>
                <w:kern w:val="0"/>
                <w:sz w:val="24"/>
              </w:rPr>
            </w:pPr>
          </w:p>
        </w:tc>
        <w:tc>
          <w:tcPr>
            <w:tcW w:w="798" w:type="dxa"/>
            <w:noWrap w:val="0"/>
            <w:tcMar>
              <w:left w:w="28" w:type="dxa"/>
              <w:right w:w="57" w:type="dxa"/>
            </w:tcMar>
            <w:vAlign w:val="center"/>
          </w:tcPr>
          <w:p>
            <w:pPr>
              <w:widowControl/>
              <w:spacing w:line="260" w:lineRule="exact"/>
              <w:jc w:val="center"/>
              <w:rPr>
                <w:rFonts w:ascii="Times New Roman" w:hAnsi="Times New Roman"/>
                <w:kern w:val="0"/>
                <w:sz w:val="24"/>
              </w:rPr>
            </w:pPr>
          </w:p>
        </w:tc>
        <w:tc>
          <w:tcPr>
            <w:tcW w:w="3415" w:type="dxa"/>
            <w:noWrap w:val="0"/>
            <w:tcMar>
              <w:left w:w="28" w:type="dxa"/>
              <w:right w:w="57" w:type="dxa"/>
            </w:tcMar>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调出资金</w:t>
            </w:r>
          </w:p>
        </w:tc>
        <w:tc>
          <w:tcPr>
            <w:tcW w:w="910" w:type="dxa"/>
            <w:noWrap w:val="0"/>
            <w:tcMar>
              <w:left w:w="28" w:type="dxa"/>
              <w:right w:w="57" w:type="dxa"/>
            </w:tcMar>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5,000 </w:t>
            </w:r>
          </w:p>
        </w:tc>
        <w:tc>
          <w:tcPr>
            <w:tcW w:w="815" w:type="dxa"/>
            <w:noWrap w:val="0"/>
            <w:tcMar>
              <w:left w:w="28" w:type="dxa"/>
              <w:right w:w="57" w:type="dxa"/>
            </w:tcMar>
            <w:vAlign w:val="center"/>
          </w:tcPr>
          <w:p>
            <w:pPr>
              <w:widowControl/>
              <w:spacing w:line="260" w:lineRule="exact"/>
              <w:jc w:val="left"/>
              <w:rPr>
                <w:rFonts w:ascii="Times New Roman" w:hAnsi="Times New Roman" w:eastAsia="仿宋_GB2312"/>
                <w:kern w:val="0"/>
                <w:sz w:val="24"/>
              </w:rPr>
            </w:pPr>
            <w:r>
              <w:rPr>
                <w:rFonts w:ascii="Times New Roman" w:hAnsi="Times New Roman" w:eastAsia="仿宋_GB2312"/>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注：本表直观反映2020年国有资本经营预算收入与支出的平衡关系。</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表1</w:t>
      </w:r>
      <w:r>
        <w:rPr>
          <w:rFonts w:hint="eastAsia" w:ascii="Times New Roman" w:hAnsi="Times New Roman" w:eastAsia="方正仿宋_GBK"/>
          <w:kern w:val="0"/>
          <w:sz w:val="24"/>
        </w:rPr>
        <w:t>9</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黔江区2019年地方政府债务限额及余额情况表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Layout w:type="fixed"/>
        <w:tblCellMar>
          <w:top w:w="0" w:type="dxa"/>
          <w:left w:w="108" w:type="dxa"/>
          <w:bottom w:w="0" w:type="dxa"/>
          <w:right w:w="108" w:type="dxa"/>
        </w:tblCellMar>
      </w:tblPr>
      <w:tblGrid>
        <w:gridCol w:w="1280"/>
        <w:gridCol w:w="1321"/>
        <w:gridCol w:w="1321"/>
        <w:gridCol w:w="1322"/>
        <w:gridCol w:w="1408"/>
        <w:gridCol w:w="1408"/>
        <w:gridCol w:w="1409"/>
      </w:tblGrid>
      <w:tr>
        <w:tblPrEx>
          <w:tblCellMar>
            <w:top w:w="0" w:type="dxa"/>
            <w:left w:w="108" w:type="dxa"/>
            <w:bottom w:w="0" w:type="dxa"/>
            <w:right w:w="108" w:type="dxa"/>
          </w:tblCellMar>
        </w:tblPrEx>
        <w:trPr>
          <w:wBefore w:w="0" w:type="dxa"/>
          <w:wAfter w:w="0" w:type="dxa"/>
          <w:trHeight w:val="499" w:hRule="atLeast"/>
          <w:jc w:val="center"/>
        </w:trPr>
        <w:tc>
          <w:tcPr>
            <w:tcW w:w="1280"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地  区</w:t>
            </w:r>
          </w:p>
        </w:tc>
        <w:tc>
          <w:tcPr>
            <w:tcW w:w="3964" w:type="dxa"/>
            <w:gridSpan w:val="3"/>
            <w:tcBorders>
              <w:top w:val="single" w:color="auto" w:sz="12"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2019年债务限额</w:t>
            </w:r>
          </w:p>
        </w:tc>
        <w:tc>
          <w:tcPr>
            <w:tcW w:w="4225" w:type="dxa"/>
            <w:gridSpan w:val="3"/>
            <w:tcBorders>
              <w:top w:val="single" w:color="auto" w:sz="12" w:space="0"/>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2019年债务余额预计执行数</w:t>
            </w:r>
          </w:p>
        </w:tc>
      </w:tr>
      <w:tr>
        <w:tblPrEx>
          <w:tblCellMar>
            <w:top w:w="0" w:type="dxa"/>
            <w:left w:w="108" w:type="dxa"/>
            <w:bottom w:w="0" w:type="dxa"/>
            <w:right w:w="108" w:type="dxa"/>
          </w:tblCellMar>
        </w:tblPrEx>
        <w:trPr>
          <w:wBefore w:w="0" w:type="dxa"/>
          <w:wAfter w:w="0" w:type="dxa"/>
          <w:trHeight w:val="499" w:hRule="atLeast"/>
          <w:jc w:val="center"/>
        </w:trPr>
        <w:tc>
          <w:tcPr>
            <w:tcW w:w="12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left"/>
              <w:rPr>
                <w:rFonts w:ascii="Times New Roman" w:hAnsi="Times New Roman" w:eastAsia="方正黑体_GBK"/>
                <w:bCs/>
                <w:kern w:val="0"/>
                <w:sz w:val="22"/>
                <w:szCs w:val="22"/>
              </w:rPr>
            </w:pPr>
          </w:p>
        </w:tc>
        <w:tc>
          <w:tcPr>
            <w:tcW w:w="1321"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合计</w:t>
            </w:r>
          </w:p>
        </w:tc>
        <w:tc>
          <w:tcPr>
            <w:tcW w:w="1321"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一般债务</w:t>
            </w:r>
          </w:p>
        </w:tc>
        <w:tc>
          <w:tcPr>
            <w:tcW w:w="1322"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专项债务</w:t>
            </w:r>
          </w:p>
        </w:tc>
        <w:tc>
          <w:tcPr>
            <w:tcW w:w="1408"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合计</w:t>
            </w:r>
          </w:p>
        </w:tc>
        <w:tc>
          <w:tcPr>
            <w:tcW w:w="1408"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一般债务</w:t>
            </w:r>
          </w:p>
        </w:tc>
        <w:tc>
          <w:tcPr>
            <w:tcW w:w="1409" w:type="dxa"/>
            <w:tcBorders>
              <w:top w:val="nil"/>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专项债务</w:t>
            </w:r>
          </w:p>
        </w:tc>
      </w:tr>
      <w:tr>
        <w:tblPrEx>
          <w:tblCellMar>
            <w:top w:w="0" w:type="dxa"/>
            <w:left w:w="108" w:type="dxa"/>
            <w:bottom w:w="0" w:type="dxa"/>
            <w:right w:w="108" w:type="dxa"/>
          </w:tblCellMar>
        </w:tblPrEx>
        <w:trPr>
          <w:wBefore w:w="0" w:type="dxa"/>
          <w:wAfter w:w="0" w:type="dxa"/>
          <w:trHeight w:val="499" w:hRule="atLeast"/>
          <w:jc w:val="center"/>
        </w:trPr>
        <w:tc>
          <w:tcPr>
            <w:tcW w:w="1280" w:type="dxa"/>
            <w:tcBorders>
              <w:top w:val="nil"/>
              <w:left w:val="single" w:color="auto" w:sz="12" w:space="0"/>
              <w:bottom w:val="single" w:color="auto" w:sz="12" w:space="0"/>
              <w:right w:val="single" w:color="auto" w:sz="4" w:space="0"/>
            </w:tcBorders>
            <w:noWrap w:val="0"/>
            <w:vAlign w:val="center"/>
          </w:tcPr>
          <w:p>
            <w:pPr>
              <w:widowControl/>
              <w:spacing w:line="2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黔江区</w:t>
            </w:r>
          </w:p>
        </w:tc>
        <w:tc>
          <w:tcPr>
            <w:tcW w:w="1321" w:type="dxa"/>
            <w:tcBorders>
              <w:top w:val="nil"/>
              <w:left w:val="nil"/>
              <w:bottom w:val="single" w:color="auto" w:sz="12" w:space="0"/>
              <w:right w:val="single" w:color="auto" w:sz="4"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62</w:t>
            </w:r>
          </w:p>
        </w:tc>
        <w:tc>
          <w:tcPr>
            <w:tcW w:w="1321" w:type="dxa"/>
            <w:tcBorders>
              <w:top w:val="nil"/>
              <w:left w:val="nil"/>
              <w:bottom w:val="single" w:color="auto" w:sz="12" w:space="0"/>
              <w:right w:val="single" w:color="auto" w:sz="4"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46.8</w:t>
            </w:r>
          </w:p>
        </w:tc>
        <w:tc>
          <w:tcPr>
            <w:tcW w:w="1322" w:type="dxa"/>
            <w:tcBorders>
              <w:top w:val="nil"/>
              <w:left w:val="nil"/>
              <w:bottom w:val="single" w:color="auto" w:sz="12" w:space="0"/>
              <w:right w:val="single" w:color="auto" w:sz="4"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15.2</w:t>
            </w:r>
          </w:p>
        </w:tc>
        <w:tc>
          <w:tcPr>
            <w:tcW w:w="1408" w:type="dxa"/>
            <w:tcBorders>
              <w:top w:val="nil"/>
              <w:left w:val="nil"/>
              <w:bottom w:val="single" w:color="auto" w:sz="12" w:space="0"/>
              <w:right w:val="single" w:color="auto" w:sz="4"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61.67</w:t>
            </w:r>
          </w:p>
        </w:tc>
        <w:tc>
          <w:tcPr>
            <w:tcW w:w="1408" w:type="dxa"/>
            <w:tcBorders>
              <w:top w:val="nil"/>
              <w:left w:val="nil"/>
              <w:bottom w:val="single" w:color="auto" w:sz="12" w:space="0"/>
              <w:right w:val="single" w:color="auto" w:sz="4"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46.53</w:t>
            </w:r>
          </w:p>
        </w:tc>
        <w:tc>
          <w:tcPr>
            <w:tcW w:w="1409" w:type="dxa"/>
            <w:tcBorders>
              <w:top w:val="nil"/>
              <w:left w:val="nil"/>
              <w:bottom w:val="single" w:color="auto" w:sz="12" w:space="0"/>
              <w:right w:val="single" w:color="auto" w:sz="12" w:space="0"/>
            </w:tcBorders>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15.14</w:t>
            </w:r>
          </w:p>
        </w:tc>
      </w:tr>
    </w:tbl>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hint="eastAsia" w:ascii="Times New Roman" w:hAnsi="Times New Roman" w:eastAsia="方正仿宋_GBK"/>
          <w:kern w:val="0"/>
          <w:sz w:val="24"/>
        </w:rPr>
      </w:pPr>
      <w:r>
        <w:rPr>
          <w:rFonts w:ascii="Times New Roman" w:hAnsi="Times New Roman" w:eastAsia="方正仿宋_GBK"/>
          <w:kern w:val="0"/>
          <w:sz w:val="24"/>
        </w:rPr>
        <w:t>表</w:t>
      </w:r>
      <w:r>
        <w:rPr>
          <w:rFonts w:hint="eastAsia" w:ascii="Times New Roman" w:hAnsi="Times New Roman" w:eastAsia="方正仿宋_GBK"/>
          <w:kern w:val="0"/>
          <w:sz w:val="24"/>
        </w:rPr>
        <w:t>20</w:t>
      </w:r>
    </w:p>
    <w:p>
      <w:pPr>
        <w:spacing w:line="600" w:lineRule="exact"/>
        <w:jc w:val="center"/>
        <w:rPr>
          <w:rFonts w:ascii="Times New Roman" w:hAnsi="Times New Roman" w:eastAsia="方正小标宋_GBK"/>
          <w:w w:val="90"/>
          <w:kern w:val="0"/>
          <w:sz w:val="40"/>
          <w:szCs w:val="40"/>
        </w:rPr>
      </w:pPr>
      <w:r>
        <w:rPr>
          <w:rFonts w:ascii="Times New Roman" w:hAnsi="Times New Roman" w:eastAsia="方正小标宋_GBK"/>
          <w:w w:val="90"/>
          <w:kern w:val="0"/>
          <w:sz w:val="40"/>
          <w:szCs w:val="40"/>
        </w:rPr>
        <w:t>黔江区2019年和2020年地方政府一般债务余额情况表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64"/>
        <w:gridCol w:w="1702"/>
        <w:gridCol w:w="1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1702"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1703"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一、2018年末地方政府一般债务余额实际数</w:t>
            </w:r>
          </w:p>
        </w:tc>
        <w:tc>
          <w:tcPr>
            <w:tcW w:w="1702"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w:t>
            </w:r>
          </w:p>
        </w:tc>
        <w:tc>
          <w:tcPr>
            <w:tcW w:w="1703"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43.53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二、2019年末地方政府一般债务限额</w:t>
            </w:r>
          </w:p>
        </w:tc>
        <w:tc>
          <w:tcPr>
            <w:tcW w:w="1702"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46.80 </w:t>
            </w:r>
          </w:p>
        </w:tc>
        <w:tc>
          <w:tcPr>
            <w:tcW w:w="1703" w:type="dxa"/>
            <w:noWrap w:val="0"/>
            <w:vAlign w:val="center"/>
          </w:tcPr>
          <w:p>
            <w:pPr>
              <w:widowControl/>
              <w:spacing w:line="260" w:lineRule="exact"/>
              <w:jc w:val="left"/>
              <w:rPr>
                <w:rFonts w:ascii="Times New Roman" w:hAnsi="Times New Roman"/>
                <w:b/>
                <w:kern w:val="0"/>
                <w:sz w:val="24"/>
              </w:rPr>
            </w:pPr>
            <w:r>
              <w:rPr>
                <w:rFonts w:ascii="Times New Roman" w:hAnsi="Times New Roman"/>
                <w:b/>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三、2019年地方政府一般债务发行额</w:t>
            </w:r>
          </w:p>
        </w:tc>
        <w:tc>
          <w:tcPr>
            <w:tcW w:w="1702"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6.18 </w:t>
            </w:r>
          </w:p>
        </w:tc>
        <w:tc>
          <w:tcPr>
            <w:tcW w:w="1703"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6.11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6064"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其中：中央转贷地方的国际金融组织和外国政府贷款</w:t>
            </w:r>
          </w:p>
        </w:tc>
        <w:tc>
          <w:tcPr>
            <w:tcW w:w="17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0.10 </w:t>
            </w:r>
          </w:p>
        </w:tc>
        <w:tc>
          <w:tcPr>
            <w:tcW w:w="1703"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0.03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ind w:firstLine="880" w:firstLineChars="400"/>
              <w:jc w:val="left"/>
              <w:rPr>
                <w:rFonts w:ascii="Times New Roman" w:hAnsi="Times New Roman" w:eastAsia="方正仿宋_GBK"/>
                <w:kern w:val="0"/>
                <w:sz w:val="22"/>
                <w:szCs w:val="22"/>
              </w:rPr>
            </w:pPr>
            <w:r>
              <w:rPr>
                <w:rFonts w:ascii="Times New Roman" w:hAnsi="Times New Roman" w:eastAsia="方正仿宋_GBK"/>
                <w:kern w:val="0"/>
                <w:sz w:val="22"/>
                <w:szCs w:val="22"/>
              </w:rPr>
              <w:t>2019年地方政府一般债券发行额</w:t>
            </w:r>
          </w:p>
        </w:tc>
        <w:tc>
          <w:tcPr>
            <w:tcW w:w="17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6.08 </w:t>
            </w:r>
          </w:p>
        </w:tc>
        <w:tc>
          <w:tcPr>
            <w:tcW w:w="1703"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四、2019年地方政府一般债务还本支出</w:t>
            </w:r>
          </w:p>
        </w:tc>
        <w:tc>
          <w:tcPr>
            <w:tcW w:w="1702"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2.98 </w:t>
            </w:r>
          </w:p>
        </w:tc>
        <w:tc>
          <w:tcPr>
            <w:tcW w:w="1703"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五、2019年末地方政府一般债务余额预计执行数</w:t>
            </w:r>
          </w:p>
        </w:tc>
        <w:tc>
          <w:tcPr>
            <w:tcW w:w="1702" w:type="dxa"/>
            <w:noWrap w:val="0"/>
            <w:vAlign w:val="center"/>
          </w:tcPr>
          <w:p>
            <w:pPr>
              <w:widowControl/>
              <w:spacing w:line="260" w:lineRule="exact"/>
              <w:jc w:val="left"/>
              <w:rPr>
                <w:rFonts w:ascii="Times New Roman" w:hAnsi="Times New Roman"/>
                <w:b/>
                <w:kern w:val="0"/>
                <w:sz w:val="24"/>
              </w:rPr>
            </w:pPr>
            <w:r>
              <w:rPr>
                <w:rFonts w:ascii="Times New Roman" w:hAnsi="Times New Roman"/>
                <w:b/>
                <w:kern w:val="0"/>
                <w:sz w:val="24"/>
              </w:rPr>
              <w:t>　</w:t>
            </w:r>
          </w:p>
        </w:tc>
        <w:tc>
          <w:tcPr>
            <w:tcW w:w="1703" w:type="dxa"/>
            <w:noWrap w:val="0"/>
            <w:vAlign w:val="center"/>
          </w:tcPr>
          <w:p>
            <w:pPr>
              <w:widowControl/>
              <w:spacing w:line="260" w:lineRule="exact"/>
              <w:jc w:val="right"/>
              <w:rPr>
                <w:rFonts w:ascii="Times New Roman" w:hAnsi="Times New Roman"/>
                <w:b/>
                <w:kern w:val="0"/>
                <w:sz w:val="24"/>
              </w:rPr>
            </w:pPr>
            <w:r>
              <w:rPr>
                <w:rFonts w:ascii="Times New Roman" w:hAnsi="Times New Roman"/>
                <w:b/>
                <w:kern w:val="0"/>
                <w:sz w:val="24"/>
              </w:rPr>
              <w:t xml:space="preserve">46.53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六、2020年地方财政赤字</w:t>
            </w:r>
          </w:p>
        </w:tc>
        <w:tc>
          <w:tcPr>
            <w:tcW w:w="17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1703"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606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七、2020年地方政府一般债务限额</w:t>
            </w:r>
          </w:p>
        </w:tc>
        <w:tc>
          <w:tcPr>
            <w:tcW w:w="17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1703"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注：本表反映本地区上两年度一般债务余额，上一年度一般债务限额、发行额、还本支出及余额，本年度财政赤字及一般债务限额。</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w:t>
      </w:r>
      <w:r>
        <w:rPr>
          <w:rFonts w:hint="eastAsia" w:ascii="Times New Roman" w:hAnsi="Times New Roman" w:eastAsia="方正仿宋_GBK"/>
          <w:kern w:val="0"/>
          <w:sz w:val="24"/>
        </w:rPr>
        <w:t>2</w:t>
      </w:r>
      <w:r>
        <w:rPr>
          <w:rFonts w:ascii="Times New Roman" w:hAnsi="Times New Roman" w:eastAsia="方正仿宋_GBK"/>
          <w:kern w:val="0"/>
          <w:sz w:val="24"/>
        </w:rPr>
        <w:t>1</w:t>
      </w:r>
    </w:p>
    <w:p>
      <w:pPr>
        <w:spacing w:line="600" w:lineRule="exact"/>
        <w:jc w:val="center"/>
        <w:rPr>
          <w:rFonts w:ascii="Times New Roman" w:hAnsi="Times New Roman" w:eastAsia="方正小标宋_GBK"/>
          <w:w w:val="90"/>
          <w:kern w:val="0"/>
          <w:sz w:val="40"/>
          <w:szCs w:val="40"/>
        </w:rPr>
      </w:pPr>
      <w:r>
        <w:rPr>
          <w:rFonts w:ascii="Times New Roman" w:hAnsi="Times New Roman" w:eastAsia="方正小标宋_GBK"/>
          <w:w w:val="90"/>
          <w:kern w:val="0"/>
          <w:sz w:val="40"/>
          <w:szCs w:val="40"/>
        </w:rPr>
        <w:t>黔江区2019年和2020年地方政府专项债务余额情况表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65"/>
        <w:gridCol w:w="2202"/>
        <w:gridCol w:w="2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2202"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预算数</w:t>
            </w:r>
          </w:p>
        </w:tc>
        <w:tc>
          <w:tcPr>
            <w:tcW w:w="2202"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执行数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一、2018年末地方政府专项债务余额实际数</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8.34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二、2019年末地方政府专项债务限额</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15.20 </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三、2019年地方政府专项债务发行额</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6.80 </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四、2019年地方政府专项债务还本支出</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五、2019年末地方政府专项债务余额预计执行数</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15.14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六、2020年地方政府专项债务新增限额</w:t>
            </w:r>
          </w:p>
        </w:tc>
        <w:tc>
          <w:tcPr>
            <w:tcW w:w="2202" w:type="dxa"/>
            <w:noWrap w:val="0"/>
            <w:vAlign w:val="center"/>
          </w:tcPr>
          <w:p>
            <w:pPr>
              <w:widowControl/>
              <w:spacing w:line="260" w:lineRule="exact"/>
              <w:jc w:val="right"/>
              <w:rPr>
                <w:rFonts w:ascii="Times New Roman" w:hAnsi="Times New Roman"/>
                <w:kern w:val="0"/>
                <w:sz w:val="24"/>
              </w:rPr>
            </w:pPr>
            <w:r>
              <w:rPr>
                <w:rFonts w:ascii="Times New Roman" w:hAnsi="Times New Roman"/>
                <w:kern w:val="0"/>
                <w:sz w:val="24"/>
              </w:rPr>
              <w:t xml:space="preserve">6.00 </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5065"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七、2020年末地方政府专项债务限额</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c>
          <w:tcPr>
            <w:tcW w:w="2202" w:type="dxa"/>
            <w:noWrap w:val="0"/>
            <w:vAlign w:val="center"/>
          </w:tcPr>
          <w:p>
            <w:pPr>
              <w:widowControl/>
              <w:spacing w:line="260" w:lineRule="exact"/>
              <w:jc w:val="left"/>
              <w:rPr>
                <w:rFonts w:ascii="Times New Roman" w:hAnsi="Times New Roman"/>
                <w:kern w:val="0"/>
                <w:sz w:val="24"/>
              </w:rPr>
            </w:pPr>
            <w:r>
              <w:rPr>
                <w:rFonts w:ascii="Times New Roman" w:hAnsi="Times New Roman"/>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注：本表反映本地区上两年度专项债务余额，上一年度专项债务限额、发行额、还本额及余额，本年度专项债务新增限额及限额。</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bookmarkStart w:id="4" w:name="RANGE!A1:D26"/>
      <w:r>
        <w:rPr>
          <w:rFonts w:ascii="Times New Roman" w:hAnsi="Times New Roman" w:eastAsia="方正仿宋_GBK"/>
          <w:kern w:val="0"/>
          <w:sz w:val="24"/>
        </w:rPr>
        <w:t>表2</w:t>
      </w:r>
      <w:r>
        <w:rPr>
          <w:rFonts w:hint="eastAsia" w:ascii="Times New Roman" w:hAnsi="Times New Roman" w:eastAsia="方正仿宋_GBK"/>
          <w:kern w:val="0"/>
          <w:sz w:val="24"/>
        </w:rPr>
        <w:t>2</w:t>
      </w:r>
    </w:p>
    <w:bookmarkEnd w:id="4"/>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黔江区地方政府债券发行及还本付息情况表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1715"/>
        <w:gridCol w:w="1715"/>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1715"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公式</w:t>
            </w:r>
          </w:p>
        </w:tc>
        <w:tc>
          <w:tcPr>
            <w:tcW w:w="1715"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本地区</w:t>
            </w:r>
          </w:p>
        </w:tc>
        <w:tc>
          <w:tcPr>
            <w:tcW w:w="1715" w:type="dxa"/>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一、2019年发行预计执行数</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A=B+D</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12.88</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12.88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B</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6.08</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其中：再融资债券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C</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2.98</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D</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6.8</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其中：再融资债券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E</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二、2019年还本支出预计执行数</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F=G+H</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2.98</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G</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2.98</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H</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三、2019年付息支出预计执行数</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I=J+K</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1.83</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J</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1.53</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1.53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K</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0.3</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四、2020年还本支出预算数</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L=M+O</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4.91</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4.91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M</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其中：再融资</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　</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880" w:firstLineChars="400"/>
              <w:jc w:val="left"/>
              <w:rPr>
                <w:rFonts w:ascii="Times New Roman" w:hAnsi="Times New Roman" w:eastAsia="方正仿宋_GBK"/>
                <w:kern w:val="0"/>
                <w:sz w:val="22"/>
                <w:szCs w:val="22"/>
              </w:rPr>
            </w:pPr>
            <w:r>
              <w:rPr>
                <w:rFonts w:ascii="Times New Roman" w:hAnsi="Times New Roman" w:eastAsia="方正仿宋_GBK"/>
                <w:kern w:val="0"/>
                <w:sz w:val="22"/>
                <w:szCs w:val="22"/>
              </w:rPr>
              <w:t xml:space="preserve">财政预算安排 </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N</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O</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2.91</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220" w:firstLineChars="100"/>
              <w:jc w:val="left"/>
              <w:rPr>
                <w:rFonts w:ascii="Times New Roman" w:hAnsi="Times New Roman" w:eastAsia="方正仿宋_GBK"/>
                <w:kern w:val="0"/>
                <w:sz w:val="22"/>
                <w:szCs w:val="22"/>
              </w:rPr>
            </w:pPr>
            <w:r>
              <w:rPr>
                <w:rFonts w:ascii="Times New Roman" w:hAnsi="Times New Roman" w:eastAsia="方正仿宋_GBK"/>
                <w:kern w:val="0"/>
                <w:sz w:val="22"/>
                <w:szCs w:val="22"/>
              </w:rPr>
              <w:t>其中：再融资</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　</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2.91</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2.91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ind w:firstLine="880" w:firstLineChars="400"/>
              <w:jc w:val="left"/>
              <w:rPr>
                <w:rFonts w:ascii="Times New Roman" w:hAnsi="Times New Roman" w:eastAsia="方正仿宋_GBK"/>
                <w:kern w:val="0"/>
                <w:sz w:val="22"/>
                <w:szCs w:val="22"/>
              </w:rPr>
            </w:pPr>
            <w:r>
              <w:rPr>
                <w:rFonts w:ascii="Times New Roman" w:hAnsi="Times New Roman" w:eastAsia="方正仿宋_GBK"/>
                <w:kern w:val="0"/>
                <w:sz w:val="22"/>
                <w:szCs w:val="22"/>
              </w:rPr>
              <w:t>财政预算安排</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P</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五、2020年付息支出预算数</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Q=R+S</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2.13</w:t>
            </w:r>
          </w:p>
        </w:tc>
        <w:tc>
          <w:tcPr>
            <w:tcW w:w="1715" w:type="dxa"/>
            <w:noWrap w:val="0"/>
            <w:vAlign w:val="center"/>
          </w:tcPr>
          <w:p>
            <w:pPr>
              <w:widowControl/>
              <w:spacing w:line="260" w:lineRule="exact"/>
              <w:jc w:val="center"/>
              <w:rPr>
                <w:rFonts w:ascii="Times New Roman" w:hAnsi="Times New Roman"/>
                <w:b/>
                <w:bCs/>
                <w:kern w:val="0"/>
                <w:sz w:val="24"/>
              </w:rPr>
            </w:pPr>
            <w:r>
              <w:rPr>
                <w:rFonts w:ascii="Times New Roman" w:hAnsi="Times New Roman"/>
                <w:b/>
                <w:bCs/>
                <w:kern w:val="0"/>
                <w:sz w:val="24"/>
              </w:rPr>
              <w:t>2.13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（一）一般债券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R</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1.6</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324" w:type="dxa"/>
            <w:noWrap w:val="0"/>
            <w:vAlign w:val="center"/>
          </w:tcPr>
          <w:p>
            <w:pPr>
              <w:widowControl/>
              <w:spacing w:line="2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（二）专项债券</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S</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0.53</w:t>
            </w:r>
          </w:p>
        </w:tc>
        <w:tc>
          <w:tcPr>
            <w:tcW w:w="1715" w:type="dxa"/>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0.53</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注：本表反映本地区上一年度地方政府债券（含再融资债券）发行及还本付息支出预计执行数、本年度地方政府债券还本付息预算数等。</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ascii="Times New Roman" w:hAnsi="Times New Roman" w:eastAsia="方正仿宋_GBK"/>
          <w:kern w:val="0"/>
          <w:sz w:val="24"/>
        </w:rPr>
      </w:pPr>
      <w:r>
        <w:rPr>
          <w:rFonts w:ascii="Times New Roman" w:hAnsi="Times New Roman" w:eastAsia="方正仿宋_GBK"/>
          <w:kern w:val="0"/>
          <w:sz w:val="24"/>
        </w:rPr>
        <w:t>表2</w:t>
      </w:r>
      <w:r>
        <w:rPr>
          <w:rFonts w:hint="eastAsia" w:ascii="Times New Roman" w:hAnsi="Times New Roman" w:eastAsia="方正仿宋_GBK"/>
          <w:kern w:val="0"/>
          <w:sz w:val="24"/>
        </w:rPr>
        <w:t>3</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黔江区2020年地方政府债务限额提前下达情况表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1237"/>
        <w:gridCol w:w="1237"/>
        <w:gridCol w:w="1237"/>
        <w:gridCol w:w="1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  目</w:t>
            </w:r>
          </w:p>
        </w:tc>
        <w:tc>
          <w:tcPr>
            <w:tcW w:w="1237" w:type="dxa"/>
            <w:noWrap w:val="0"/>
            <w:vAlign w:val="center"/>
          </w:tcPr>
          <w:p>
            <w:pPr>
              <w:widowControl/>
              <w:spacing w:line="40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公式</w:t>
            </w:r>
          </w:p>
        </w:tc>
        <w:tc>
          <w:tcPr>
            <w:tcW w:w="1237" w:type="dxa"/>
            <w:noWrap w:val="0"/>
            <w:vAlign w:val="center"/>
          </w:tcPr>
          <w:p>
            <w:pPr>
              <w:widowControl/>
              <w:spacing w:line="40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本地区</w:t>
            </w:r>
          </w:p>
        </w:tc>
        <w:tc>
          <w:tcPr>
            <w:tcW w:w="1237" w:type="dxa"/>
            <w:noWrap w:val="0"/>
            <w:vAlign w:val="center"/>
          </w:tcPr>
          <w:p>
            <w:pPr>
              <w:widowControl/>
              <w:spacing w:line="40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本级</w:t>
            </w:r>
          </w:p>
        </w:tc>
        <w:tc>
          <w:tcPr>
            <w:tcW w:w="1238" w:type="dxa"/>
            <w:noWrap w:val="0"/>
            <w:vAlign w:val="center"/>
          </w:tcPr>
          <w:p>
            <w:pPr>
              <w:widowControl/>
              <w:spacing w:line="40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下级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一、2019年地方政府债务限额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A=B+C</w:t>
            </w:r>
          </w:p>
        </w:tc>
        <w:tc>
          <w:tcPr>
            <w:tcW w:w="1237" w:type="dxa"/>
            <w:noWrap w:val="0"/>
            <w:vAlign w:val="center"/>
          </w:tcPr>
          <w:p>
            <w:pPr>
              <w:widowControl/>
              <w:spacing w:line="400" w:lineRule="exact"/>
              <w:jc w:val="right"/>
              <w:rPr>
                <w:rFonts w:ascii="Times New Roman" w:hAnsi="Times New Roman"/>
                <w:b/>
                <w:bCs/>
                <w:kern w:val="0"/>
                <w:sz w:val="24"/>
              </w:rPr>
            </w:pPr>
            <w:r>
              <w:rPr>
                <w:rFonts w:ascii="Times New Roman" w:hAnsi="Times New Roman"/>
                <w:b/>
                <w:bCs/>
                <w:kern w:val="0"/>
                <w:sz w:val="24"/>
              </w:rPr>
              <w:t>62</w:t>
            </w:r>
          </w:p>
        </w:tc>
        <w:tc>
          <w:tcPr>
            <w:tcW w:w="1237" w:type="dxa"/>
            <w:noWrap w:val="0"/>
            <w:vAlign w:val="center"/>
          </w:tcPr>
          <w:p>
            <w:pPr>
              <w:widowControl/>
              <w:spacing w:line="400" w:lineRule="exact"/>
              <w:jc w:val="right"/>
              <w:rPr>
                <w:rFonts w:ascii="Times New Roman" w:hAnsi="Times New Roman"/>
                <w:b/>
                <w:bCs/>
                <w:kern w:val="0"/>
                <w:sz w:val="24"/>
              </w:rPr>
            </w:pPr>
            <w:r>
              <w:rPr>
                <w:rFonts w:ascii="Times New Roman" w:hAnsi="Times New Roman"/>
                <w:b/>
                <w:bCs/>
                <w:kern w:val="0"/>
                <w:sz w:val="24"/>
              </w:rPr>
              <w:t>62</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其中： 一般债务限额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B</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46.8</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46.8</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ind w:firstLine="770" w:firstLineChars="350"/>
              <w:jc w:val="left"/>
              <w:rPr>
                <w:rFonts w:ascii="Times New Roman" w:hAnsi="Times New Roman" w:eastAsia="方正仿宋_GBK"/>
                <w:kern w:val="0"/>
                <w:sz w:val="22"/>
                <w:szCs w:val="22"/>
              </w:rPr>
            </w:pPr>
            <w:r>
              <w:rPr>
                <w:rFonts w:ascii="Times New Roman" w:hAnsi="Times New Roman" w:eastAsia="方正仿宋_GBK"/>
                <w:kern w:val="0"/>
                <w:sz w:val="22"/>
                <w:szCs w:val="22"/>
              </w:rPr>
              <w:t>专项债务限额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C</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15.2</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15.2</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jc w:val="left"/>
              <w:rPr>
                <w:rFonts w:ascii="Times New Roman" w:hAnsi="Times New Roman" w:eastAsia="方正黑体_GBK"/>
                <w:kern w:val="0"/>
                <w:sz w:val="22"/>
                <w:szCs w:val="22"/>
              </w:rPr>
            </w:pPr>
            <w:r>
              <w:rPr>
                <w:rFonts w:ascii="Times New Roman" w:hAnsi="Times New Roman" w:eastAsia="方正黑体_GBK"/>
                <w:kern w:val="0"/>
                <w:sz w:val="22"/>
                <w:szCs w:val="22"/>
              </w:rPr>
              <w:t>二、提前下达的2020年地方政府债务限额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D=E+F</w:t>
            </w:r>
          </w:p>
        </w:tc>
        <w:tc>
          <w:tcPr>
            <w:tcW w:w="1237" w:type="dxa"/>
            <w:noWrap w:val="0"/>
            <w:vAlign w:val="center"/>
          </w:tcPr>
          <w:p>
            <w:pPr>
              <w:widowControl/>
              <w:spacing w:line="400" w:lineRule="exact"/>
              <w:jc w:val="right"/>
              <w:rPr>
                <w:rFonts w:hint="eastAsia" w:ascii="Times New Roman" w:hAnsi="Times New Roman"/>
                <w:b/>
                <w:bCs/>
                <w:color w:val="000000"/>
                <w:kern w:val="0"/>
                <w:sz w:val="24"/>
              </w:rPr>
            </w:pPr>
            <w:r>
              <w:rPr>
                <w:rFonts w:hint="eastAsia" w:ascii="Times New Roman" w:hAnsi="Times New Roman"/>
                <w:b/>
                <w:bCs/>
                <w:color w:val="000000"/>
                <w:kern w:val="0"/>
                <w:sz w:val="24"/>
              </w:rPr>
              <w:t>6</w:t>
            </w:r>
          </w:p>
        </w:tc>
        <w:tc>
          <w:tcPr>
            <w:tcW w:w="1237" w:type="dxa"/>
            <w:noWrap w:val="0"/>
            <w:vAlign w:val="center"/>
          </w:tcPr>
          <w:p>
            <w:pPr>
              <w:widowControl/>
              <w:spacing w:line="400" w:lineRule="exact"/>
              <w:jc w:val="right"/>
              <w:rPr>
                <w:rFonts w:hint="eastAsia" w:ascii="Times New Roman" w:hAnsi="Times New Roman"/>
                <w:b/>
                <w:bCs/>
                <w:color w:val="000000"/>
                <w:kern w:val="0"/>
                <w:sz w:val="24"/>
              </w:rPr>
            </w:pPr>
            <w:r>
              <w:rPr>
                <w:rFonts w:hint="eastAsia" w:ascii="Times New Roman" w:hAnsi="Times New Roman"/>
                <w:b/>
                <w:bCs/>
                <w:color w:val="000000"/>
                <w:kern w:val="0"/>
                <w:sz w:val="24"/>
              </w:rPr>
              <w:t>6</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其中： 一般债务限额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E</w:t>
            </w:r>
          </w:p>
        </w:tc>
        <w:tc>
          <w:tcPr>
            <w:tcW w:w="1237" w:type="dxa"/>
            <w:noWrap w:val="0"/>
            <w:vAlign w:val="center"/>
          </w:tcPr>
          <w:p>
            <w:pPr>
              <w:widowControl/>
              <w:spacing w:line="400" w:lineRule="exact"/>
              <w:jc w:val="right"/>
              <w:rPr>
                <w:rFonts w:hint="eastAsia" w:ascii="Times New Roman" w:hAnsi="Times New Roman"/>
                <w:color w:val="000000"/>
                <w:kern w:val="0"/>
                <w:sz w:val="24"/>
              </w:rPr>
            </w:pPr>
            <w:r>
              <w:rPr>
                <w:rFonts w:hint="eastAsia" w:ascii="Times New Roman" w:hAnsi="Times New Roman"/>
                <w:color w:val="000000"/>
                <w:kern w:val="0"/>
                <w:sz w:val="24"/>
              </w:rPr>
              <w:t>0</w:t>
            </w:r>
          </w:p>
        </w:tc>
        <w:tc>
          <w:tcPr>
            <w:tcW w:w="1237" w:type="dxa"/>
            <w:noWrap w:val="0"/>
            <w:vAlign w:val="center"/>
          </w:tcPr>
          <w:p>
            <w:pPr>
              <w:widowControl/>
              <w:spacing w:line="400" w:lineRule="exact"/>
              <w:jc w:val="right"/>
              <w:rPr>
                <w:rFonts w:hint="eastAsia" w:ascii="Times New Roman" w:hAnsi="Times New Roman"/>
                <w:color w:val="000000"/>
                <w:kern w:val="0"/>
                <w:sz w:val="24"/>
              </w:rPr>
            </w:pPr>
            <w:r>
              <w:rPr>
                <w:rFonts w:hint="eastAsia" w:ascii="Times New Roman" w:hAnsi="Times New Roman"/>
                <w:color w:val="000000"/>
                <w:kern w:val="0"/>
                <w:sz w:val="24"/>
              </w:rPr>
              <w:t>0</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4520" w:type="dxa"/>
            <w:noWrap w:val="0"/>
            <w:vAlign w:val="center"/>
          </w:tcPr>
          <w:p>
            <w:pPr>
              <w:widowControl/>
              <w:spacing w:line="400" w:lineRule="exact"/>
              <w:ind w:firstLine="770" w:firstLineChars="350"/>
              <w:jc w:val="left"/>
              <w:rPr>
                <w:rFonts w:ascii="Times New Roman" w:hAnsi="Times New Roman" w:eastAsia="方正仿宋_GBK"/>
                <w:kern w:val="0"/>
                <w:sz w:val="22"/>
                <w:szCs w:val="22"/>
              </w:rPr>
            </w:pPr>
            <w:r>
              <w:rPr>
                <w:rFonts w:ascii="Times New Roman" w:hAnsi="Times New Roman" w:eastAsia="方正仿宋_GBK"/>
                <w:kern w:val="0"/>
                <w:sz w:val="22"/>
                <w:szCs w:val="22"/>
              </w:rPr>
              <w:t>专项债务限额</w:t>
            </w:r>
          </w:p>
        </w:tc>
        <w:tc>
          <w:tcPr>
            <w:tcW w:w="1237"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F</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6</w:t>
            </w:r>
          </w:p>
        </w:tc>
        <w:tc>
          <w:tcPr>
            <w:tcW w:w="1237" w:type="dxa"/>
            <w:noWrap w:val="0"/>
            <w:vAlign w:val="center"/>
          </w:tcPr>
          <w:p>
            <w:pPr>
              <w:widowControl/>
              <w:spacing w:line="400" w:lineRule="exact"/>
              <w:jc w:val="right"/>
              <w:rPr>
                <w:rFonts w:ascii="Times New Roman" w:hAnsi="Times New Roman"/>
                <w:kern w:val="0"/>
                <w:sz w:val="24"/>
              </w:rPr>
            </w:pPr>
            <w:r>
              <w:rPr>
                <w:rFonts w:ascii="Times New Roman" w:hAnsi="Times New Roman"/>
                <w:kern w:val="0"/>
                <w:sz w:val="24"/>
              </w:rPr>
              <w:t>6</w:t>
            </w:r>
          </w:p>
        </w:tc>
        <w:tc>
          <w:tcPr>
            <w:tcW w:w="1238" w:type="dxa"/>
            <w:noWrap w:val="0"/>
            <w:vAlign w:val="center"/>
          </w:tcPr>
          <w:p>
            <w:pPr>
              <w:widowControl/>
              <w:spacing w:line="400" w:lineRule="exact"/>
              <w:jc w:val="center"/>
              <w:rPr>
                <w:rFonts w:ascii="Times New Roman" w:hAnsi="Times New Roman"/>
                <w:kern w:val="0"/>
                <w:sz w:val="24"/>
              </w:rPr>
            </w:pPr>
            <w:r>
              <w:rPr>
                <w:rFonts w:ascii="Times New Roman" w:hAnsi="Times New Roman"/>
                <w:kern w:val="0"/>
                <w:sz w:val="24"/>
              </w:rPr>
              <w:t>　</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注：本表反映本地区及本级预算中列示提前下达的新增地方政府债务限额情况。</w:t>
      </w: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ind w:left="-210" w:leftChars="-100" w:right="-210" w:rightChars="-100"/>
        <w:rPr>
          <w:rFonts w:ascii="Times New Roman" w:hAnsi="Times New Roman"/>
        </w:rPr>
      </w:pPr>
    </w:p>
    <w:p>
      <w:pPr>
        <w:spacing w:line="300" w:lineRule="exact"/>
        <w:rPr>
          <w:rFonts w:hint="eastAsia" w:ascii="Times New Roman" w:hAnsi="Times New Roman" w:eastAsia="方正仿宋_GBK"/>
          <w:kern w:val="0"/>
          <w:sz w:val="24"/>
        </w:rPr>
      </w:pPr>
      <w:r>
        <w:rPr>
          <w:rFonts w:ascii="Times New Roman" w:hAnsi="Times New Roman" w:eastAsia="方正仿宋_GBK"/>
          <w:kern w:val="0"/>
          <w:sz w:val="24"/>
        </w:rPr>
        <w:t>表2</w:t>
      </w:r>
      <w:r>
        <w:rPr>
          <w:rFonts w:hint="eastAsia" w:ascii="Times New Roman" w:hAnsi="Times New Roman" w:eastAsia="方正仿宋_GBK"/>
          <w:kern w:val="0"/>
          <w:sz w:val="24"/>
        </w:rPr>
        <w:t>4</w:t>
      </w:r>
    </w:p>
    <w:p>
      <w:pPr>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黔江区2020年年初新增地方政府债券资金安排表</w:t>
      </w:r>
    </w:p>
    <w:p>
      <w:pPr>
        <w:spacing w:line="300" w:lineRule="exact"/>
        <w:jc w:val="right"/>
        <w:rPr>
          <w:rFonts w:ascii="Times New Roman" w:hAnsi="Times New Roman" w:eastAsia="方正仿宋_GBK"/>
          <w:kern w:val="0"/>
          <w:sz w:val="24"/>
        </w:rPr>
      </w:pPr>
      <w:r>
        <w:rPr>
          <w:rFonts w:ascii="Times New Roman" w:hAnsi="Times New Roman" w:eastAsia="方正仿宋_GBK"/>
          <w:kern w:val="0"/>
          <w:sz w:val="24"/>
        </w:rPr>
        <w:t>单位：亿元</w:t>
      </w:r>
    </w:p>
    <w:tbl>
      <w:tblPr>
        <w:tblStyle w:val="4"/>
        <w:tblW w:w="0" w:type="auto"/>
        <w:jc w:val="center"/>
        <w:tblLayout w:type="fixed"/>
        <w:tblCellMar>
          <w:top w:w="0" w:type="dxa"/>
          <w:left w:w="108" w:type="dxa"/>
          <w:bottom w:w="0" w:type="dxa"/>
          <w:right w:w="108" w:type="dxa"/>
        </w:tblCellMar>
      </w:tblPr>
      <w:tblGrid>
        <w:gridCol w:w="685"/>
        <w:gridCol w:w="3267"/>
        <w:gridCol w:w="841"/>
        <w:gridCol w:w="2994"/>
        <w:gridCol w:w="891"/>
        <w:gridCol w:w="791"/>
      </w:tblGrid>
      <w:tr>
        <w:tblPrEx>
          <w:tblCellMar>
            <w:top w:w="0" w:type="dxa"/>
            <w:left w:w="108" w:type="dxa"/>
            <w:bottom w:w="0" w:type="dxa"/>
            <w:right w:w="108" w:type="dxa"/>
          </w:tblCellMar>
        </w:tblPrEx>
        <w:trPr>
          <w:wBefore w:w="0" w:type="dxa"/>
          <w:wAfter w:w="0" w:type="dxa"/>
          <w:trHeight w:val="600" w:hRule="atLeast"/>
          <w:jc w:val="center"/>
        </w:trPr>
        <w:tc>
          <w:tcPr>
            <w:tcW w:w="685" w:type="dxa"/>
            <w:tcBorders>
              <w:top w:val="single" w:color="auto" w:sz="12" w:space="0"/>
              <w:left w:val="single" w:color="auto" w:sz="12"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序号</w:t>
            </w:r>
          </w:p>
        </w:tc>
        <w:tc>
          <w:tcPr>
            <w:tcW w:w="3267" w:type="dxa"/>
            <w:tcBorders>
              <w:top w:val="single" w:color="auto" w:sz="12"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项目名称</w:t>
            </w:r>
          </w:p>
        </w:tc>
        <w:tc>
          <w:tcPr>
            <w:tcW w:w="841" w:type="dxa"/>
            <w:tcBorders>
              <w:top w:val="single" w:color="auto" w:sz="12"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项目类型</w:t>
            </w:r>
          </w:p>
        </w:tc>
        <w:tc>
          <w:tcPr>
            <w:tcW w:w="2994" w:type="dxa"/>
            <w:tcBorders>
              <w:top w:val="single" w:color="auto" w:sz="12"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项目主管部门</w:t>
            </w:r>
          </w:p>
        </w:tc>
        <w:tc>
          <w:tcPr>
            <w:tcW w:w="891" w:type="dxa"/>
            <w:tcBorders>
              <w:top w:val="single" w:color="auto" w:sz="12"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债券</w:t>
            </w:r>
          </w:p>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性质</w:t>
            </w:r>
          </w:p>
        </w:tc>
        <w:tc>
          <w:tcPr>
            <w:tcW w:w="791" w:type="dxa"/>
            <w:tcBorders>
              <w:top w:val="single" w:color="auto" w:sz="12" w:space="0"/>
              <w:left w:val="nil"/>
              <w:bottom w:val="single" w:color="auto" w:sz="4" w:space="0"/>
              <w:right w:val="single" w:color="auto" w:sz="12" w:space="0"/>
            </w:tcBorders>
            <w:noWrap w:val="0"/>
            <w:vAlign w:val="center"/>
          </w:tcPr>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债券</w:t>
            </w:r>
          </w:p>
          <w:p>
            <w:pPr>
              <w:widowControl/>
              <w:spacing w:line="260" w:lineRule="exact"/>
              <w:jc w:val="center"/>
              <w:rPr>
                <w:rFonts w:ascii="Times New Roman" w:hAnsi="Times New Roman" w:eastAsia="方正黑体_GBK"/>
                <w:bCs/>
                <w:kern w:val="0"/>
                <w:sz w:val="22"/>
                <w:szCs w:val="22"/>
              </w:rPr>
            </w:pPr>
            <w:r>
              <w:rPr>
                <w:rFonts w:ascii="Times New Roman" w:hAnsi="Times New Roman" w:eastAsia="方正黑体_GBK"/>
                <w:bCs/>
                <w:kern w:val="0"/>
                <w:sz w:val="22"/>
                <w:szCs w:val="22"/>
              </w:rPr>
              <w:t>规模</w:t>
            </w:r>
          </w:p>
        </w:tc>
      </w:tr>
      <w:tr>
        <w:tblPrEx>
          <w:tblCellMar>
            <w:top w:w="0" w:type="dxa"/>
            <w:left w:w="108" w:type="dxa"/>
            <w:bottom w:w="0" w:type="dxa"/>
            <w:right w:w="108" w:type="dxa"/>
          </w:tblCellMar>
        </w:tblPrEx>
        <w:trPr>
          <w:wBefore w:w="0" w:type="dxa"/>
          <w:wAfter w:w="0" w:type="dxa"/>
          <w:trHeight w:val="600" w:hRule="atLeast"/>
          <w:jc w:val="center"/>
        </w:trPr>
        <w:tc>
          <w:tcPr>
            <w:tcW w:w="8678" w:type="dxa"/>
            <w:gridSpan w:val="5"/>
            <w:tcBorders>
              <w:top w:val="single" w:color="auto" w:sz="4" w:space="0"/>
              <w:left w:val="single" w:color="auto" w:sz="12" w:space="0"/>
              <w:bottom w:val="single" w:color="auto" w:sz="4" w:space="0"/>
              <w:right w:val="single" w:color="000000" w:sz="4" w:space="0"/>
            </w:tcBorders>
            <w:noWrap w:val="0"/>
            <w:vAlign w:val="center"/>
          </w:tcPr>
          <w:p>
            <w:pPr>
              <w:widowControl/>
              <w:spacing w:line="260" w:lineRule="exact"/>
              <w:jc w:val="center"/>
              <w:rPr>
                <w:rFonts w:ascii="Times New Roman" w:hAnsi="Times New Roman" w:eastAsia="方正黑体_GBK"/>
                <w:bCs/>
                <w:color w:val="000000"/>
                <w:kern w:val="0"/>
                <w:sz w:val="22"/>
                <w:szCs w:val="22"/>
              </w:rPr>
            </w:pPr>
            <w:r>
              <w:rPr>
                <w:rFonts w:ascii="Times New Roman" w:hAnsi="Times New Roman" w:eastAsia="方正黑体_GBK"/>
                <w:bCs/>
                <w:color w:val="000000"/>
                <w:kern w:val="0"/>
                <w:sz w:val="22"/>
                <w:szCs w:val="22"/>
              </w:rPr>
              <w:t>合计</w:t>
            </w:r>
          </w:p>
        </w:tc>
        <w:tc>
          <w:tcPr>
            <w:tcW w:w="791" w:type="dxa"/>
            <w:tcBorders>
              <w:top w:val="nil"/>
              <w:left w:val="nil"/>
              <w:bottom w:val="single" w:color="auto" w:sz="4" w:space="0"/>
              <w:right w:val="single" w:color="auto" w:sz="12" w:space="0"/>
            </w:tcBorders>
            <w:noWrap w:val="0"/>
            <w:vAlign w:val="center"/>
          </w:tcPr>
          <w:p>
            <w:pPr>
              <w:widowControl/>
              <w:spacing w:line="260" w:lineRule="exact"/>
              <w:jc w:val="right"/>
              <w:rPr>
                <w:rFonts w:hint="eastAsia" w:ascii="Times New Roman" w:hAnsi="Times New Roman"/>
                <w:b/>
                <w:bCs/>
                <w:color w:val="000000"/>
                <w:kern w:val="0"/>
                <w:sz w:val="24"/>
              </w:rPr>
            </w:pPr>
            <w:r>
              <w:rPr>
                <w:rFonts w:hint="eastAsia" w:ascii="Times New Roman" w:hAnsi="Times New Roman"/>
                <w:b/>
                <w:bCs/>
                <w:color w:val="000000"/>
                <w:kern w:val="0"/>
                <w:sz w:val="24"/>
              </w:rPr>
              <w:t>6</w:t>
            </w:r>
          </w:p>
        </w:tc>
      </w:tr>
      <w:tr>
        <w:tblPrEx>
          <w:tblCellMar>
            <w:top w:w="0" w:type="dxa"/>
            <w:left w:w="108" w:type="dxa"/>
            <w:bottom w:w="0" w:type="dxa"/>
            <w:right w:w="108" w:type="dxa"/>
          </w:tblCellMar>
        </w:tblPrEx>
        <w:trPr>
          <w:wBefore w:w="0" w:type="dxa"/>
          <w:wAfter w:w="0" w:type="dxa"/>
          <w:trHeight w:val="780" w:hRule="atLeast"/>
          <w:jc w:val="center"/>
        </w:trPr>
        <w:tc>
          <w:tcPr>
            <w:tcW w:w="685" w:type="dxa"/>
            <w:tcBorders>
              <w:top w:val="nil"/>
              <w:left w:val="single" w:color="auto" w:sz="12" w:space="0"/>
              <w:bottom w:val="single" w:color="auto" w:sz="12" w:space="0"/>
              <w:right w:val="single" w:color="auto" w:sz="4" w:space="0"/>
            </w:tcBorders>
            <w:noWrap w:val="0"/>
            <w:vAlign w:val="center"/>
          </w:tcPr>
          <w:p>
            <w:pPr>
              <w:widowControl/>
              <w:spacing w:line="260" w:lineRule="exact"/>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3267" w:type="dxa"/>
            <w:tcBorders>
              <w:top w:val="nil"/>
              <w:left w:val="nil"/>
              <w:bottom w:val="single" w:color="auto" w:sz="12" w:space="0"/>
              <w:right w:val="single" w:color="auto" w:sz="4" w:space="0"/>
            </w:tcBorders>
            <w:noWrap w:val="0"/>
            <w:vAlign w:val="center"/>
          </w:tcPr>
          <w:p>
            <w:pPr>
              <w:widowControl/>
              <w:spacing w:line="260" w:lineRule="exact"/>
              <w:jc w:val="left"/>
              <w:rPr>
                <w:rFonts w:ascii="Times New Roman" w:hAnsi="Times New Roman" w:eastAsia="方正仿宋_GBK"/>
                <w:color w:val="000000"/>
                <w:kern w:val="0"/>
                <w:sz w:val="22"/>
                <w:szCs w:val="22"/>
              </w:rPr>
            </w:pPr>
            <w:r>
              <w:rPr>
                <w:rFonts w:hint="eastAsia" w:ascii="Times New Roman" w:hAnsi="Times New Roman" w:eastAsia="方正仿宋_GBK"/>
                <w:color w:val="000000"/>
                <w:kern w:val="0"/>
                <w:sz w:val="22"/>
                <w:szCs w:val="22"/>
              </w:rPr>
              <w:t>黔江新城基础设施项目</w:t>
            </w:r>
          </w:p>
        </w:tc>
        <w:tc>
          <w:tcPr>
            <w:tcW w:w="841" w:type="dxa"/>
            <w:tcBorders>
              <w:top w:val="nil"/>
              <w:left w:val="nil"/>
              <w:bottom w:val="single" w:color="auto" w:sz="12" w:space="0"/>
              <w:right w:val="single" w:color="auto" w:sz="4" w:space="0"/>
            </w:tcBorders>
            <w:noWrap w:val="0"/>
            <w:vAlign w:val="center"/>
          </w:tcPr>
          <w:p>
            <w:pPr>
              <w:widowControl/>
              <w:spacing w:line="260" w:lineRule="exact"/>
              <w:jc w:val="center"/>
              <w:rPr>
                <w:rFonts w:hint="eastAsia" w:ascii="Times New Roman" w:hAnsi="Times New Roman" w:eastAsia="方正仿宋_GBK"/>
                <w:color w:val="000000"/>
                <w:kern w:val="0"/>
                <w:sz w:val="22"/>
                <w:szCs w:val="22"/>
              </w:rPr>
            </w:pPr>
            <w:r>
              <w:rPr>
                <w:rFonts w:hint="eastAsia" w:ascii="Times New Roman" w:hAnsi="Times New Roman" w:eastAsia="方正仿宋_GBK"/>
                <w:color w:val="000000"/>
                <w:kern w:val="0"/>
                <w:sz w:val="22"/>
                <w:szCs w:val="22"/>
              </w:rPr>
              <w:t>市政建设</w:t>
            </w:r>
          </w:p>
        </w:tc>
        <w:tc>
          <w:tcPr>
            <w:tcW w:w="2994" w:type="dxa"/>
            <w:tcBorders>
              <w:top w:val="nil"/>
              <w:left w:val="nil"/>
              <w:bottom w:val="single" w:color="auto" w:sz="12" w:space="0"/>
              <w:right w:val="single" w:color="auto" w:sz="4" w:space="0"/>
            </w:tcBorders>
            <w:noWrap w:val="0"/>
            <w:tcMar>
              <w:left w:w="28" w:type="dxa"/>
              <w:right w:w="28" w:type="dxa"/>
            </w:tcMar>
            <w:vAlign w:val="center"/>
          </w:tcPr>
          <w:p>
            <w:pPr>
              <w:widowControl/>
              <w:spacing w:line="260" w:lineRule="exact"/>
              <w:jc w:val="left"/>
              <w:rPr>
                <w:rFonts w:ascii="Times New Roman" w:hAnsi="Times New Roman" w:eastAsia="方正仿宋_GBK"/>
                <w:color w:val="000000"/>
                <w:kern w:val="0"/>
                <w:sz w:val="22"/>
                <w:szCs w:val="22"/>
              </w:rPr>
            </w:pPr>
            <w:r>
              <w:rPr>
                <w:rFonts w:hint="eastAsia" w:ascii="Times New Roman" w:hAnsi="Times New Roman" w:eastAsia="方正仿宋_GBK"/>
                <w:color w:val="000000"/>
                <w:kern w:val="0"/>
                <w:sz w:val="22"/>
                <w:szCs w:val="22"/>
              </w:rPr>
              <w:t>重庆鸿业实业（集团）有限公司、重庆市黔江区城市建设投资（集团）有限公司</w:t>
            </w:r>
          </w:p>
        </w:tc>
        <w:tc>
          <w:tcPr>
            <w:tcW w:w="891" w:type="dxa"/>
            <w:tcBorders>
              <w:top w:val="nil"/>
              <w:left w:val="nil"/>
              <w:bottom w:val="single" w:color="auto" w:sz="12" w:space="0"/>
              <w:right w:val="single" w:color="auto" w:sz="4" w:space="0"/>
            </w:tcBorders>
            <w:noWrap w:val="0"/>
            <w:vAlign w:val="center"/>
          </w:tcPr>
          <w:p>
            <w:pPr>
              <w:widowControl/>
              <w:spacing w:line="260" w:lineRule="exact"/>
              <w:jc w:val="center"/>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专项</w:t>
            </w:r>
          </w:p>
          <w:p>
            <w:pPr>
              <w:widowControl/>
              <w:spacing w:line="260" w:lineRule="exact"/>
              <w:jc w:val="center"/>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债券</w:t>
            </w:r>
          </w:p>
        </w:tc>
        <w:tc>
          <w:tcPr>
            <w:tcW w:w="791" w:type="dxa"/>
            <w:tcBorders>
              <w:top w:val="nil"/>
              <w:left w:val="nil"/>
              <w:bottom w:val="single" w:color="auto" w:sz="12" w:space="0"/>
              <w:right w:val="single" w:color="auto" w:sz="12" w:space="0"/>
            </w:tcBorders>
            <w:noWrap w:val="0"/>
            <w:vAlign w:val="center"/>
          </w:tcPr>
          <w:p>
            <w:pPr>
              <w:widowControl/>
              <w:spacing w:line="260" w:lineRule="exact"/>
              <w:jc w:val="right"/>
              <w:rPr>
                <w:rFonts w:ascii="Times New Roman" w:hAnsi="Times New Roman"/>
                <w:color w:val="000000"/>
                <w:kern w:val="0"/>
                <w:sz w:val="24"/>
              </w:rPr>
            </w:pPr>
            <w:r>
              <w:rPr>
                <w:rFonts w:ascii="Times New Roman" w:hAnsi="Times New Roman"/>
                <w:color w:val="000000"/>
                <w:kern w:val="0"/>
                <w:sz w:val="24"/>
              </w:rPr>
              <w:t>6</w:t>
            </w:r>
          </w:p>
        </w:tc>
      </w:tr>
    </w:tbl>
    <w:p>
      <w:pPr>
        <w:spacing w:line="300" w:lineRule="exact"/>
        <w:ind w:left="-210" w:leftChars="-100" w:right="-210" w:rightChars="-100"/>
        <w:rPr>
          <w:rFonts w:ascii="Times New Roman" w:hAnsi="Times New Roman" w:eastAsia="方正仿宋_GBK"/>
          <w:kern w:val="0"/>
          <w:sz w:val="22"/>
          <w:szCs w:val="22"/>
        </w:rPr>
      </w:pPr>
      <w:r>
        <w:rPr>
          <w:rFonts w:ascii="Times New Roman" w:hAnsi="Times New Roman" w:eastAsia="方正仿宋_GBK"/>
          <w:kern w:val="0"/>
          <w:sz w:val="22"/>
          <w:szCs w:val="22"/>
        </w:rPr>
        <w:t>注：本表反映本级当年提前下达的新增地方政府债券资金使用安排。</w:t>
      </w:r>
    </w:p>
    <w:p>
      <w:pPr>
        <w:ind w:left="-210" w:leftChars="-100" w:right="-210" w:rightChars="-100"/>
        <w:rPr>
          <w:rFonts w:ascii="Times New Roman" w:hAnsi="Times New Roman"/>
        </w:rPr>
      </w:pPr>
    </w:p>
    <w:sectPr>
      <w:footerReference r:id="rId5" w:type="default"/>
      <w:pgSz w:w="11906" w:h="16838"/>
      <w:pgMar w:top="1361" w:right="1418" w:bottom="1134" w:left="1418" w:header="851" w:footer="85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1"/>
        <w:szCs w:val="21"/>
      </w:rPr>
    </w:pPr>
    <w:r>
      <w:rPr>
        <w:rFonts w:hint="eastAsia" w:ascii="宋体" w:hAnsi="宋体" w:cs="宋体"/>
        <w:sz w:val="24"/>
        <w:szCs w:val="24"/>
      </w:rPr>
      <w:fldChar w:fldCharType="begin"/>
    </w:r>
    <w:r>
      <w:rPr>
        <w:rStyle w:val="6"/>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6"/>
        <w:rFonts w:ascii="宋体" w:hAnsi="宋体" w:cs="宋体"/>
        <w:sz w:val="24"/>
        <w:szCs w:val="24"/>
        <w:lang/>
      </w:rPr>
      <w:t>- 43 -</w:t>
    </w:r>
    <w:r>
      <w:rPr>
        <w:rFonts w:hint="eastAsia" w:ascii="宋体" w:hAnsi="宋体" w:cs="宋体"/>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5"/>
    <w:rsid w:val="000665B7"/>
    <w:rsid w:val="000C7971"/>
    <w:rsid w:val="000F6D4F"/>
    <w:rsid w:val="000F7066"/>
    <w:rsid w:val="00117F45"/>
    <w:rsid w:val="00121D59"/>
    <w:rsid w:val="001235EA"/>
    <w:rsid w:val="00151C49"/>
    <w:rsid w:val="001A7DE3"/>
    <w:rsid w:val="001C6A83"/>
    <w:rsid w:val="001D7E0A"/>
    <w:rsid w:val="001E51BA"/>
    <w:rsid w:val="00205313"/>
    <w:rsid w:val="00256637"/>
    <w:rsid w:val="00277204"/>
    <w:rsid w:val="002873BF"/>
    <w:rsid w:val="002C2BB1"/>
    <w:rsid w:val="002C6D61"/>
    <w:rsid w:val="002F0E35"/>
    <w:rsid w:val="00331756"/>
    <w:rsid w:val="003626F0"/>
    <w:rsid w:val="00364D7A"/>
    <w:rsid w:val="003957E2"/>
    <w:rsid w:val="003972A2"/>
    <w:rsid w:val="003A2206"/>
    <w:rsid w:val="003E4179"/>
    <w:rsid w:val="003E51B7"/>
    <w:rsid w:val="004121A3"/>
    <w:rsid w:val="00437BC2"/>
    <w:rsid w:val="004462B2"/>
    <w:rsid w:val="0045316D"/>
    <w:rsid w:val="00480C12"/>
    <w:rsid w:val="004B3F04"/>
    <w:rsid w:val="004B5DC0"/>
    <w:rsid w:val="004C7315"/>
    <w:rsid w:val="004D5155"/>
    <w:rsid w:val="004E383A"/>
    <w:rsid w:val="0051663B"/>
    <w:rsid w:val="00532D94"/>
    <w:rsid w:val="005416C9"/>
    <w:rsid w:val="0059098A"/>
    <w:rsid w:val="005A1D57"/>
    <w:rsid w:val="005A771B"/>
    <w:rsid w:val="005B0668"/>
    <w:rsid w:val="005C1E7C"/>
    <w:rsid w:val="005E2791"/>
    <w:rsid w:val="006028CB"/>
    <w:rsid w:val="00605D64"/>
    <w:rsid w:val="006151D1"/>
    <w:rsid w:val="00615D3A"/>
    <w:rsid w:val="00646317"/>
    <w:rsid w:val="00652C0B"/>
    <w:rsid w:val="00670FC1"/>
    <w:rsid w:val="00690A51"/>
    <w:rsid w:val="006A1853"/>
    <w:rsid w:val="006A6075"/>
    <w:rsid w:val="006A65BC"/>
    <w:rsid w:val="007557D5"/>
    <w:rsid w:val="00766313"/>
    <w:rsid w:val="00772830"/>
    <w:rsid w:val="0078415C"/>
    <w:rsid w:val="007F5295"/>
    <w:rsid w:val="008063C7"/>
    <w:rsid w:val="00815B07"/>
    <w:rsid w:val="00816476"/>
    <w:rsid w:val="008337C5"/>
    <w:rsid w:val="00852972"/>
    <w:rsid w:val="008700EA"/>
    <w:rsid w:val="008F3190"/>
    <w:rsid w:val="008F417B"/>
    <w:rsid w:val="008F5A93"/>
    <w:rsid w:val="00910F68"/>
    <w:rsid w:val="00912DBB"/>
    <w:rsid w:val="00960356"/>
    <w:rsid w:val="009625A3"/>
    <w:rsid w:val="00981C20"/>
    <w:rsid w:val="0099624D"/>
    <w:rsid w:val="009A13B0"/>
    <w:rsid w:val="009B0245"/>
    <w:rsid w:val="009E6A97"/>
    <w:rsid w:val="00A10E3A"/>
    <w:rsid w:val="00A74D7B"/>
    <w:rsid w:val="00A74E0D"/>
    <w:rsid w:val="00A935FB"/>
    <w:rsid w:val="00A9513A"/>
    <w:rsid w:val="00AB36B4"/>
    <w:rsid w:val="00B1742D"/>
    <w:rsid w:val="00B53426"/>
    <w:rsid w:val="00B549FA"/>
    <w:rsid w:val="00B75A8C"/>
    <w:rsid w:val="00B8608E"/>
    <w:rsid w:val="00C06BA2"/>
    <w:rsid w:val="00C159C2"/>
    <w:rsid w:val="00C25DA3"/>
    <w:rsid w:val="00C349D2"/>
    <w:rsid w:val="00C65FDF"/>
    <w:rsid w:val="00CB5599"/>
    <w:rsid w:val="00CC3795"/>
    <w:rsid w:val="00CC7016"/>
    <w:rsid w:val="00CD497E"/>
    <w:rsid w:val="00CF6A2B"/>
    <w:rsid w:val="00D305EE"/>
    <w:rsid w:val="00D36DE1"/>
    <w:rsid w:val="00D42C14"/>
    <w:rsid w:val="00D74B91"/>
    <w:rsid w:val="00D8607A"/>
    <w:rsid w:val="00D96473"/>
    <w:rsid w:val="00DA497C"/>
    <w:rsid w:val="00DB1971"/>
    <w:rsid w:val="00DC4E5D"/>
    <w:rsid w:val="00E3462D"/>
    <w:rsid w:val="00E604B1"/>
    <w:rsid w:val="00E60820"/>
    <w:rsid w:val="00E70AB9"/>
    <w:rsid w:val="00E737F9"/>
    <w:rsid w:val="00E949A3"/>
    <w:rsid w:val="00EA1449"/>
    <w:rsid w:val="00EC1D56"/>
    <w:rsid w:val="00ED1F0B"/>
    <w:rsid w:val="00EE69C6"/>
    <w:rsid w:val="00F15EFA"/>
    <w:rsid w:val="00F23EC4"/>
    <w:rsid w:val="00F31F71"/>
    <w:rsid w:val="00FC7870"/>
    <w:rsid w:val="00FD3240"/>
    <w:rsid w:val="024A420B"/>
    <w:rsid w:val="027A58B7"/>
    <w:rsid w:val="02D21C73"/>
    <w:rsid w:val="03C3791D"/>
    <w:rsid w:val="05ED1024"/>
    <w:rsid w:val="109E792A"/>
    <w:rsid w:val="154D7281"/>
    <w:rsid w:val="168C019C"/>
    <w:rsid w:val="17EC596B"/>
    <w:rsid w:val="18B73440"/>
    <w:rsid w:val="1BE76183"/>
    <w:rsid w:val="1E2214C7"/>
    <w:rsid w:val="1E6A4B80"/>
    <w:rsid w:val="239118E8"/>
    <w:rsid w:val="27EC711F"/>
    <w:rsid w:val="2B4A1551"/>
    <w:rsid w:val="318F106D"/>
    <w:rsid w:val="37653341"/>
    <w:rsid w:val="43E77682"/>
    <w:rsid w:val="46A60E98"/>
    <w:rsid w:val="48F5534A"/>
    <w:rsid w:val="4F4A22D9"/>
    <w:rsid w:val="537C1BFE"/>
    <w:rsid w:val="53C03D35"/>
    <w:rsid w:val="561B2C4F"/>
    <w:rsid w:val="62581919"/>
    <w:rsid w:val="65723CF9"/>
    <w:rsid w:val="66FF3EEC"/>
    <w:rsid w:val="67F7334C"/>
    <w:rsid w:val="68262644"/>
    <w:rsid w:val="74EB6019"/>
    <w:rsid w:val="77BED34D"/>
    <w:rsid w:val="7D9A52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www.xunchi.com</Company>
  <Pages>64</Pages>
  <Words>18045</Words>
  <Characters>24210</Characters>
  <Lines>233</Lines>
  <Paragraphs>65</Paragraphs>
  <TotalTime>1</TotalTime>
  <ScaleCrop>false</ScaleCrop>
  <LinksUpToDate>false</LinksUpToDate>
  <CharactersWithSpaces>26929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2020-02-20T12:38:00Z</dcterms:created>
  <dc:creator>User</dc:creator>
  <cp:lastModifiedBy> </cp:lastModifiedBy>
  <cp:lastPrinted>2020-05-07T14:39:00Z</cp:lastPrinted>
  <dcterms:modified xsi:type="dcterms:W3CDTF">2022-11-22T14:57:16Z</dcterms:modified>
  <dc:title>内部资料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