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ind w:right="320" w:rightChars="100"/>
        <w:jc w:val="center"/>
        <w:rPr>
          <w:rFonts w:ascii="方正小标宋_GBK" w:eastAsia="方正小标宋_GBK"/>
          <w:b/>
          <w:w w:val="53"/>
          <w:sz w:val="28"/>
        </w:rPr>
      </w:pPr>
      <w:r>
        <w:rPr>
          <w:rFonts w:hint="eastAsia" w:ascii="方正小标宋_GBK" w:eastAsia="方正小标宋_GBK"/>
          <w:b/>
          <w:bCs/>
          <w:color w:val="FF0000"/>
          <w:w w:val="53"/>
          <w:sz w:val="90"/>
          <w:szCs w:val="100"/>
        </w:rPr>
        <w:t>重庆市黔江区人民政府办公室电子公文</w:t>
      </w:r>
    </w:p>
    <w:p>
      <w:pPr>
        <w:ind w:right="640"/>
        <w:rPr>
          <w:rFonts w:hint="eastAsia" w:ascii="方正仿宋_GBK"/>
          <w:color w:val="000000"/>
        </w:rPr>
      </w:pPr>
    </w:p>
    <w:p>
      <w:pPr>
        <w:jc w:val="both"/>
        <w:rPr>
          <w:rFonts w:hint="default" w:ascii="Times New Roman" w:hAnsi="Times New Roman" w:eastAsia="方正仿宋_GBK" w:cs="Times New Roman"/>
          <w:sz w:val="32"/>
          <w:szCs w:val="32"/>
        </w:rPr>
      </w:pPr>
    </w:p>
    <w:p>
      <w:pPr>
        <w:jc w:val="both"/>
        <w:rPr>
          <w:rFonts w:hint="eastAsia" w:ascii="方正仿宋_GBK" w:eastAsia="方正仿宋_GBK"/>
          <w:color w:val="000000"/>
          <w:sz w:val="32"/>
          <w:szCs w:val="32"/>
        </w:rPr>
      </w:pPr>
      <w:r>
        <w:t>黔江府发〔2020〕</w:t>
      </w:r>
      <w:r>
        <w:rPr>
          <w:rFonts w:hint="eastAsia"/>
          <w:lang w:val="en-US" w:eastAsia="zh-CN"/>
        </w:rPr>
        <w:t>75</w:t>
      </w:r>
      <w:r>
        <w:t>号</w:t>
      </w: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color w:val="000000"/>
          <w:sz w:val="32"/>
          <w:szCs w:val="32"/>
          <w:lang w:val="en-US" w:eastAsia="zh-CN"/>
        </w:rPr>
        <w:t xml:space="preserve"> </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p>
    <w:p>
      <w:pPr>
        <w:tabs>
          <w:tab w:val="left" w:pos="3897"/>
        </w:tabs>
        <w:jc w:val="center"/>
      </w:pPr>
    </w:p>
    <w:p/>
    <w:p>
      <w:pPr>
        <w:spacing w:line="579" w:lineRule="exact"/>
        <w:jc w:val="center"/>
        <w:rPr>
          <w:rFonts w:eastAsia="方正小标宋_GBK"/>
          <w:sz w:val="44"/>
          <w:szCs w:val="44"/>
        </w:rPr>
      </w:pPr>
    </w:p>
    <w:p>
      <w:pPr>
        <w:spacing w:line="579" w:lineRule="exact"/>
        <w:jc w:val="center"/>
        <w:rPr>
          <w:rFonts w:eastAsia="方正小标宋_GBK"/>
          <w:sz w:val="44"/>
          <w:szCs w:val="44"/>
        </w:rPr>
      </w:pPr>
      <w:r>
        <w:rPr>
          <w:rFonts w:eastAsia="方正小标宋_GBK"/>
          <w:sz w:val="44"/>
          <w:szCs w:val="44"/>
        </w:rPr>
        <w:t>重庆市黔江区人民政府</w:t>
      </w:r>
    </w:p>
    <w:p>
      <w:pPr>
        <w:spacing w:line="579" w:lineRule="exact"/>
        <w:jc w:val="center"/>
        <w:rPr>
          <w:rFonts w:eastAsia="方正小标宋_GBK"/>
          <w:sz w:val="44"/>
          <w:szCs w:val="44"/>
        </w:rPr>
      </w:pPr>
      <w:r>
        <w:rPr>
          <w:rFonts w:eastAsia="方正小标宋_GBK"/>
          <w:sz w:val="44"/>
          <w:szCs w:val="44"/>
        </w:rPr>
        <w:t>关于落实生态保护红线、环境质量底线、资源利用上线制定生态环境准入清单实施生态</w:t>
      </w:r>
    </w:p>
    <w:p>
      <w:pPr>
        <w:spacing w:line="579" w:lineRule="exact"/>
        <w:jc w:val="center"/>
        <w:rPr>
          <w:rFonts w:eastAsia="方正小标宋_GBK"/>
          <w:sz w:val="44"/>
          <w:szCs w:val="44"/>
        </w:rPr>
      </w:pPr>
      <w:r>
        <w:rPr>
          <w:rFonts w:eastAsia="方正小标宋_GBK"/>
          <w:sz w:val="44"/>
          <w:szCs w:val="44"/>
        </w:rPr>
        <w:t>环境分区管控的实施意见</w:t>
      </w:r>
    </w:p>
    <w:p/>
    <w:p/>
    <w:p>
      <w:pPr>
        <w:jc w:val="left"/>
      </w:pPr>
      <w:r>
        <w:t>各乡、镇人民政府，各街道办事处，区政府各部门，有关单位：</w:t>
      </w:r>
    </w:p>
    <w:p>
      <w:pPr>
        <w:snapToGrid w:val="0"/>
        <w:spacing w:line="579" w:lineRule="exact"/>
        <w:ind w:firstLine="640" w:firstLineChars="200"/>
        <w:rPr>
          <w:szCs w:val="32"/>
        </w:rPr>
      </w:pPr>
      <w:r>
        <w:rPr>
          <w:szCs w:val="32"/>
        </w:rPr>
        <w:t>为深入贯彻落实《重庆市人民政府关于落实生态保护红线、环境质量底线、资源利用上线制定生态环境准入清单实施生态环境分区管控的实施意见》（渝府发〔2020〕11号）精神，坚定贯彻“共抓大保护、不搞大开发”方针，推动长江经济带高质量发展，现就落实生态保护红线、环境质量底线、资源利用上线，制定生态环境准入清单（以下统称三线一单），实施生态环境分区管控，提出如下实施意见。</w:t>
      </w:r>
    </w:p>
    <w:p>
      <w:pPr>
        <w:snapToGrid w:val="0"/>
        <w:spacing w:line="579" w:lineRule="exact"/>
        <w:ind w:firstLine="640" w:firstLineChars="200"/>
        <w:rPr>
          <w:rFonts w:eastAsia="方正黑体_GBK"/>
          <w:szCs w:val="32"/>
        </w:rPr>
      </w:pPr>
      <w:r>
        <w:rPr>
          <w:rFonts w:eastAsia="方正黑体_GBK"/>
          <w:szCs w:val="32"/>
        </w:rPr>
        <w:t>一、指导思想</w:t>
      </w:r>
    </w:p>
    <w:p>
      <w:pPr>
        <w:snapToGrid w:val="0"/>
        <w:spacing w:line="579" w:lineRule="exact"/>
        <w:ind w:firstLine="640" w:firstLineChars="200"/>
        <w:rPr>
          <w:szCs w:val="32"/>
        </w:rPr>
      </w:pPr>
      <w:r>
        <w:rPr>
          <w:szCs w:val="32"/>
        </w:rPr>
        <w:t>以习近平新时代中国特色社会主义思想为指导，全面贯彻党的十九大、十九届二中</w:t>
      </w:r>
      <w:r>
        <w:rPr>
          <w:rFonts w:hint="eastAsia"/>
          <w:szCs w:val="32"/>
          <w:lang w:eastAsia="zh-CN"/>
        </w:rPr>
        <w:t>、</w:t>
      </w:r>
      <w:r>
        <w:rPr>
          <w:szCs w:val="32"/>
        </w:rPr>
        <w:t>三中</w:t>
      </w:r>
      <w:r>
        <w:rPr>
          <w:rFonts w:hint="eastAsia"/>
          <w:szCs w:val="32"/>
          <w:lang w:eastAsia="zh-CN"/>
        </w:rPr>
        <w:t>、</w:t>
      </w:r>
      <w:bookmarkStart w:id="0" w:name="_GoBack"/>
      <w:bookmarkEnd w:id="0"/>
      <w:r>
        <w:rPr>
          <w:szCs w:val="32"/>
        </w:rPr>
        <w:t>四中全会精神和中央经济工作会议精神，深化落实习近平总书记对重庆提出的“两点”定位、“两地”“两高”目标、发挥“三个作用”和营造良好政治生态的重要指示要求，深学笃用习近平生态文明思想，坚决守住发展和生态两条底线，坚定不移走“生态优先、绿色发展”之路，建立以三线一单为核心的生态环境分区管控体系，加快建设山清水秀美丽之地，筑牢长江上游重要生态屏障。</w:t>
      </w:r>
    </w:p>
    <w:p>
      <w:pPr>
        <w:tabs>
          <w:tab w:val="left" w:pos="3996"/>
        </w:tabs>
        <w:snapToGrid w:val="0"/>
        <w:spacing w:line="579" w:lineRule="exact"/>
        <w:ind w:firstLine="640" w:firstLineChars="200"/>
        <w:rPr>
          <w:rFonts w:eastAsia="方正楷体_GBK"/>
          <w:szCs w:val="32"/>
        </w:rPr>
      </w:pPr>
      <w:r>
        <w:rPr>
          <w:rFonts w:eastAsia="方正黑体_GBK"/>
          <w:szCs w:val="32"/>
        </w:rPr>
        <w:t>二、基本原则</w:t>
      </w:r>
      <w:r>
        <w:rPr>
          <w:rFonts w:eastAsia="方正楷体_GBK"/>
          <w:szCs w:val="32"/>
        </w:rPr>
        <w:tab/>
      </w:r>
    </w:p>
    <w:p>
      <w:pPr>
        <w:snapToGrid w:val="0"/>
        <w:spacing w:line="579" w:lineRule="exact"/>
        <w:ind w:firstLine="640" w:firstLineChars="200"/>
        <w:rPr>
          <w:szCs w:val="32"/>
        </w:rPr>
      </w:pPr>
      <w:r>
        <w:rPr>
          <w:szCs w:val="32"/>
        </w:rPr>
        <w:t>坚持保护优先。落实生态保护红线、环境质量底线、资源利用上线硬约束，推动形成绿色发展方式和生活方式。</w:t>
      </w:r>
    </w:p>
    <w:p>
      <w:pPr>
        <w:snapToGrid w:val="0"/>
        <w:spacing w:line="579" w:lineRule="exact"/>
        <w:ind w:firstLine="640" w:firstLineChars="200"/>
        <w:rPr>
          <w:szCs w:val="32"/>
        </w:rPr>
      </w:pPr>
      <w:r>
        <w:rPr>
          <w:szCs w:val="32"/>
        </w:rPr>
        <w:t>坚持分类施策。针对流域、区域、行业特点，聚焦问题和目标，实施生态环境分区管控。</w:t>
      </w:r>
    </w:p>
    <w:p>
      <w:pPr>
        <w:snapToGrid w:val="0"/>
        <w:spacing w:line="579" w:lineRule="exact"/>
        <w:ind w:firstLine="640" w:firstLineChars="200"/>
        <w:rPr>
          <w:szCs w:val="32"/>
        </w:rPr>
      </w:pPr>
      <w:r>
        <w:rPr>
          <w:szCs w:val="32"/>
        </w:rPr>
        <w:t>坚持稳中求进。坚持生态环境管控内容不突破、管理要求不降低，结合经济社会发展新形势和环境质量改善新要求，定期评估调整和动态更新。</w:t>
      </w:r>
    </w:p>
    <w:p>
      <w:pPr>
        <w:snapToGrid w:val="0"/>
        <w:spacing w:line="579" w:lineRule="exact"/>
        <w:ind w:firstLine="640" w:firstLineChars="200"/>
        <w:rPr>
          <w:rFonts w:eastAsia="方正黑体_GBK"/>
          <w:szCs w:val="32"/>
        </w:rPr>
      </w:pPr>
      <w:r>
        <w:rPr>
          <w:rFonts w:eastAsia="方正黑体_GBK"/>
          <w:szCs w:val="32"/>
        </w:rPr>
        <w:t>三、总体目标</w:t>
      </w:r>
    </w:p>
    <w:p>
      <w:pPr>
        <w:snapToGrid w:val="0"/>
        <w:spacing w:line="579" w:lineRule="exact"/>
        <w:ind w:firstLine="640" w:firstLineChars="200"/>
        <w:rPr>
          <w:szCs w:val="32"/>
        </w:rPr>
      </w:pPr>
      <w:r>
        <w:rPr>
          <w:szCs w:val="32"/>
        </w:rPr>
        <w:t>到2020年，主要污染物排放总量大幅减少，生态环境质量总体改善。资源节约型和环境友好型社会建设取得重大进展，推动绿色发展、高质量发展，全区生态文明建设水平与全面建成小康社会相适应，生态系统得到全面保护，绿色发展水平显著提升，共建共享的生态新格局基本形成。</w:t>
      </w:r>
    </w:p>
    <w:p>
      <w:pPr>
        <w:snapToGrid w:val="0"/>
        <w:spacing w:line="579" w:lineRule="exact"/>
        <w:ind w:firstLine="640" w:firstLineChars="200"/>
        <w:rPr>
          <w:szCs w:val="32"/>
        </w:rPr>
      </w:pPr>
      <w:r>
        <w:rPr>
          <w:szCs w:val="32"/>
        </w:rPr>
        <w:t>到2025年，绿色发展取得明显成效，突出环境问题得到有效治理，生态系统稳定性明显增强，生态环境质量进一步改善，环境风险得到有效控制，环境治理体系和治理能力现代化取得重大进展。</w:t>
      </w:r>
    </w:p>
    <w:p>
      <w:pPr>
        <w:snapToGrid w:val="0"/>
        <w:spacing w:line="579" w:lineRule="exact"/>
        <w:ind w:firstLine="640" w:firstLineChars="200"/>
        <w:rPr>
          <w:szCs w:val="32"/>
        </w:rPr>
      </w:pPr>
      <w:r>
        <w:rPr>
          <w:szCs w:val="32"/>
        </w:rPr>
        <w:t>到2035年，全区生态环境质量得到根本改善。</w:t>
      </w:r>
    </w:p>
    <w:p>
      <w:pPr>
        <w:snapToGrid w:val="0"/>
        <w:spacing w:line="579" w:lineRule="exact"/>
        <w:ind w:firstLine="640" w:firstLineChars="200"/>
        <w:rPr>
          <w:rFonts w:eastAsia="方正黑体_GBK"/>
          <w:szCs w:val="32"/>
        </w:rPr>
      </w:pPr>
      <w:r>
        <w:rPr>
          <w:rFonts w:eastAsia="方正黑体_GBK"/>
          <w:szCs w:val="32"/>
        </w:rPr>
        <w:t>四、环境管控单元划分</w:t>
      </w:r>
    </w:p>
    <w:p>
      <w:pPr>
        <w:snapToGrid w:val="0"/>
        <w:spacing w:line="579" w:lineRule="exact"/>
        <w:ind w:firstLine="640" w:firstLineChars="200"/>
        <w:rPr>
          <w:szCs w:val="32"/>
        </w:rPr>
      </w:pPr>
      <w:r>
        <w:rPr>
          <w:szCs w:val="32"/>
        </w:rPr>
        <w:t>环境管控单元包括优先保护单元、重点管控单元、一般管控单元三类。黔江区属于渝东南片区，以生态环境保护为主，主要是在优先保护区域中圈定重点管控单元，保证该区域以生态优先、绿色发展的工作重心。</w:t>
      </w:r>
    </w:p>
    <w:p>
      <w:pPr>
        <w:snapToGrid w:val="0"/>
        <w:spacing w:line="579" w:lineRule="exact"/>
        <w:ind w:firstLine="640" w:firstLineChars="200"/>
        <w:rPr>
          <w:szCs w:val="32"/>
        </w:rPr>
      </w:pPr>
      <w:r>
        <w:rPr>
          <w:szCs w:val="32"/>
        </w:rPr>
        <w:t>优先保护单元指以生态环境保护为主的区域，是生态保护红线、一般生态空间、水环境、大气环境优先保护分区的并集。重点管控单元指涉及水、大气、土壤、自然资源等资源环境要素重点管控的区域，包括人口密集的城镇规划区和产业集聚的工业园区（工业集聚区）。一般管控单元指除优先保护单元和重点管控单元之外的其他区域。</w:t>
      </w:r>
    </w:p>
    <w:p>
      <w:pPr>
        <w:snapToGrid w:val="0"/>
        <w:spacing w:line="579" w:lineRule="exact"/>
        <w:ind w:firstLine="640" w:firstLineChars="200"/>
        <w:rPr>
          <w:szCs w:val="32"/>
        </w:rPr>
      </w:pPr>
      <w:r>
        <w:rPr>
          <w:szCs w:val="32"/>
        </w:rPr>
        <w:t>全区国土空间按优先保护、重点管控、一般管控三大类划分为16个环境管控单元。其中</w:t>
      </w:r>
      <w:r>
        <w:rPr>
          <w:rFonts w:hint="eastAsia"/>
          <w:szCs w:val="32"/>
          <w:lang w:eastAsia="zh-CN"/>
        </w:rPr>
        <w:t>，</w:t>
      </w:r>
      <w:r>
        <w:rPr>
          <w:szCs w:val="32"/>
        </w:rPr>
        <w:t>优先保护单元12个，面积占比53.2%；重点管控单元2个，面积占比3.</w:t>
      </w:r>
      <w:r>
        <w:rPr>
          <w:rFonts w:hint="eastAsia"/>
          <w:szCs w:val="32"/>
          <w:lang w:val="en-US" w:eastAsia="zh-CN"/>
        </w:rPr>
        <w:t>6</w:t>
      </w:r>
      <w:r>
        <w:rPr>
          <w:szCs w:val="32"/>
        </w:rPr>
        <w:t>%；一般管控单元2个，面积占比43.2%。</w:t>
      </w:r>
    </w:p>
    <w:p>
      <w:pPr>
        <w:snapToGrid w:val="0"/>
        <w:spacing w:line="579" w:lineRule="exact"/>
        <w:ind w:firstLine="640" w:firstLineChars="200"/>
        <w:rPr>
          <w:rFonts w:eastAsia="方正黑体_GBK"/>
          <w:szCs w:val="32"/>
        </w:rPr>
      </w:pPr>
      <w:r>
        <w:rPr>
          <w:rFonts w:eastAsia="方正黑体_GBK"/>
          <w:szCs w:val="32"/>
        </w:rPr>
        <w:t>五、分区环境管控要求</w:t>
      </w:r>
    </w:p>
    <w:p>
      <w:pPr>
        <w:snapToGrid w:val="0"/>
        <w:spacing w:line="579" w:lineRule="exact"/>
        <w:ind w:firstLine="640" w:firstLineChars="200"/>
        <w:rPr>
          <w:szCs w:val="32"/>
        </w:rPr>
      </w:pPr>
      <w:r>
        <w:rPr>
          <w:szCs w:val="32"/>
        </w:rPr>
        <w:t>优先保护单元依法禁止或限制大规模、高强度的工业和城镇建设，在功能受损的优先保护单元优先开展生态保护修复活动，恢复生态系统服务功能，重点保护饮用水安全、人居安全、生态环境</w:t>
      </w:r>
      <w:r>
        <w:rPr>
          <w:rFonts w:hint="eastAsia"/>
          <w:szCs w:val="32"/>
        </w:rPr>
        <w:t>安全</w:t>
      </w:r>
      <w:r>
        <w:rPr>
          <w:szCs w:val="32"/>
        </w:rPr>
        <w:t>。重点管控单元优化空间布局，不断提升资源利用效率，有针对性地加强污染物排放控制和环境风险防控，解决生态环境质量不达标、生态环境风险高等问题。一般管控单元主要落实生态环境保护基本要求。</w:t>
      </w:r>
    </w:p>
    <w:p>
      <w:pPr>
        <w:snapToGrid w:val="0"/>
        <w:spacing w:line="579" w:lineRule="exact"/>
        <w:ind w:firstLine="640" w:firstLineChars="200"/>
        <w:rPr>
          <w:szCs w:val="32"/>
        </w:rPr>
      </w:pPr>
      <w:r>
        <w:rPr>
          <w:szCs w:val="32"/>
        </w:rPr>
        <w:t xml:space="preserve">实施差异化管理，重点推进产业升级，优化工业区、商业区、居住区布局，优化水资源配置和排污口、取水口及饮用水水源地布局，强化污染物排放控制和环境风险防控。 </w:t>
      </w:r>
    </w:p>
    <w:p>
      <w:pPr>
        <w:snapToGrid w:val="0"/>
        <w:spacing w:line="579" w:lineRule="exact"/>
        <w:ind w:firstLine="640" w:firstLineChars="200"/>
        <w:rPr>
          <w:rFonts w:eastAsia="方正黑体_GBK"/>
          <w:szCs w:val="32"/>
        </w:rPr>
      </w:pPr>
      <w:r>
        <w:rPr>
          <w:rFonts w:eastAsia="方正黑体_GBK"/>
          <w:szCs w:val="32"/>
        </w:rPr>
        <w:t>六、实施与应用</w:t>
      </w:r>
    </w:p>
    <w:p>
      <w:pPr>
        <w:snapToGrid w:val="0"/>
        <w:spacing w:line="579" w:lineRule="exact"/>
        <w:ind w:firstLine="640" w:firstLineChars="200"/>
        <w:rPr>
          <w:szCs w:val="32"/>
        </w:rPr>
      </w:pPr>
      <w:r>
        <w:rPr>
          <w:szCs w:val="32"/>
        </w:rPr>
        <w:t>执行市级总体管控要求，细化落实全区及具体单元管控要求，相应管控要求数据上传至三线一单数据应用平台。</w:t>
      </w:r>
    </w:p>
    <w:p>
      <w:pPr>
        <w:snapToGrid w:val="0"/>
        <w:spacing w:line="579" w:lineRule="exact"/>
        <w:ind w:firstLine="640" w:firstLineChars="200"/>
        <w:rPr>
          <w:szCs w:val="32"/>
        </w:rPr>
      </w:pPr>
      <w:r>
        <w:rPr>
          <w:szCs w:val="32"/>
        </w:rPr>
        <w:t>国土空间规划、相关规划应将落实到具体空间的生态、水、大气、土壤、资源利用等红线、底线和上线要求作为编制的基础。</w:t>
      </w:r>
    </w:p>
    <w:p>
      <w:pPr>
        <w:snapToGrid w:val="0"/>
        <w:spacing w:line="579" w:lineRule="exact"/>
        <w:ind w:firstLine="640" w:firstLineChars="200"/>
        <w:rPr>
          <w:szCs w:val="32"/>
        </w:rPr>
      </w:pPr>
      <w:r>
        <w:rPr>
          <w:szCs w:val="32"/>
        </w:rPr>
        <w:t>区域、流域等产业发展应将三线一单提出的要求作为产业准入负面清单编制基础，具体管控单元的管控要求作为产业准入负面清单在具体区域、园区和单元落地的支撑。</w:t>
      </w:r>
    </w:p>
    <w:p>
      <w:pPr>
        <w:snapToGrid w:val="0"/>
        <w:spacing w:line="579" w:lineRule="exact"/>
        <w:ind w:firstLine="640" w:firstLineChars="200"/>
        <w:rPr>
          <w:szCs w:val="32"/>
        </w:rPr>
      </w:pPr>
      <w:r>
        <w:rPr>
          <w:szCs w:val="32"/>
        </w:rPr>
        <w:t>监管开发建设行为和生产活动时，应将三线一单作为重要依据。优先保护单元和重点管控单元应作为生态环境监管重点区域，生态环境分区管控要求应作为生态环境监管的重点内容。</w:t>
      </w:r>
    </w:p>
    <w:p>
      <w:pPr>
        <w:snapToGrid w:val="0"/>
        <w:spacing w:line="579" w:lineRule="exact"/>
        <w:ind w:firstLine="640" w:firstLineChars="200"/>
        <w:rPr>
          <w:rFonts w:eastAsia="方正黑体_GBK"/>
          <w:szCs w:val="32"/>
        </w:rPr>
      </w:pPr>
      <w:r>
        <w:rPr>
          <w:rFonts w:eastAsia="方正黑体_GBK"/>
          <w:szCs w:val="32"/>
        </w:rPr>
        <w:t>七、更新与调整</w:t>
      </w:r>
    </w:p>
    <w:p>
      <w:pPr>
        <w:snapToGrid w:val="0"/>
        <w:spacing w:line="579" w:lineRule="exact"/>
        <w:ind w:firstLine="640" w:firstLineChars="200"/>
        <w:rPr>
          <w:spacing w:val="-7"/>
          <w:szCs w:val="32"/>
        </w:rPr>
      </w:pPr>
      <w:r>
        <w:rPr>
          <w:szCs w:val="32"/>
        </w:rPr>
        <w:t>5年内因国家和地方发展战略、生态保护红线、自然保护地</w:t>
      </w:r>
      <w:r>
        <w:rPr>
          <w:spacing w:val="-7"/>
          <w:szCs w:val="32"/>
        </w:rPr>
        <w:t>和生态环境质量目标调整，三线一单确需进行更新的，按程序审</w:t>
      </w:r>
      <w:r>
        <w:rPr>
          <w:rFonts w:hint="eastAsia"/>
          <w:spacing w:val="-7"/>
          <w:szCs w:val="32"/>
          <w:lang w:eastAsia="zh-CN"/>
        </w:rPr>
        <w:t>定</w:t>
      </w:r>
      <w:r>
        <w:rPr>
          <w:spacing w:val="-7"/>
          <w:szCs w:val="32"/>
        </w:rPr>
        <w:t>发布。</w:t>
      </w:r>
    </w:p>
    <w:p>
      <w:pPr>
        <w:snapToGrid w:val="0"/>
        <w:spacing w:line="579" w:lineRule="exact"/>
        <w:ind w:firstLine="640" w:firstLineChars="200"/>
        <w:rPr>
          <w:rFonts w:eastAsia="方正黑体_GBK"/>
          <w:szCs w:val="32"/>
        </w:rPr>
      </w:pPr>
      <w:r>
        <w:rPr>
          <w:rFonts w:eastAsia="方正黑体_GBK"/>
          <w:szCs w:val="32"/>
        </w:rPr>
        <w:t>八、保障措施</w:t>
      </w:r>
    </w:p>
    <w:p>
      <w:pPr>
        <w:snapToGrid w:val="0"/>
        <w:spacing w:line="579" w:lineRule="exact"/>
        <w:ind w:firstLine="640" w:firstLineChars="200"/>
        <w:rPr>
          <w:szCs w:val="32"/>
        </w:rPr>
      </w:pPr>
      <w:r>
        <w:rPr>
          <w:szCs w:val="32"/>
        </w:rPr>
        <w:t>区生态环境</w:t>
      </w:r>
      <w:r>
        <w:rPr>
          <w:rFonts w:hint="eastAsia"/>
          <w:szCs w:val="32"/>
        </w:rPr>
        <w:t>局</w:t>
      </w:r>
      <w:r>
        <w:rPr>
          <w:szCs w:val="32"/>
        </w:rPr>
        <w:t>组织全区三线一单实施、评估、更新调整和宣传工作，区级相关部门结合本单位职责职能作好三线一单实施工作，并积极参与评估、更新调整和宣传工作。</w:t>
      </w:r>
    </w:p>
    <w:p>
      <w:pPr>
        <w:snapToGrid w:val="0"/>
        <w:spacing w:line="579" w:lineRule="exact"/>
        <w:ind w:firstLine="640" w:firstLineChars="200"/>
        <w:rPr>
          <w:szCs w:val="32"/>
        </w:rPr>
      </w:pPr>
      <w:r>
        <w:rPr>
          <w:szCs w:val="32"/>
        </w:rPr>
        <w:t>区生态环境局负责联系专业技术团队作技术支撑，区财政局安排专项财政资金，切实保障三线一单实施、评估、更新调整、数据应用和维护等。</w:t>
      </w:r>
    </w:p>
    <w:p>
      <w:pPr>
        <w:adjustRightInd w:val="0"/>
        <w:spacing w:line="579" w:lineRule="exact"/>
        <w:ind w:firstLine="420"/>
        <w:textAlignment w:val="baseline"/>
        <w:rPr>
          <w:rFonts w:eastAsia="黑体"/>
          <w:sz w:val="36"/>
          <w:szCs w:val="32"/>
        </w:rPr>
      </w:pPr>
    </w:p>
    <w:p>
      <w:pPr>
        <w:snapToGrid w:val="0"/>
        <w:spacing w:line="579" w:lineRule="exact"/>
        <w:ind w:firstLine="640" w:firstLineChars="200"/>
        <w:jc w:val="left"/>
        <w:rPr>
          <w:szCs w:val="32"/>
        </w:rPr>
      </w:pPr>
      <w:r>
        <w:rPr>
          <w:szCs w:val="32"/>
        </w:rPr>
        <w:t>附件：1.黔江区环境管控单元统计表</w:t>
      </w:r>
    </w:p>
    <w:p>
      <w:pPr>
        <w:snapToGrid w:val="0"/>
        <w:spacing w:line="579" w:lineRule="exact"/>
        <w:ind w:firstLine="1600" w:firstLineChars="500"/>
        <w:jc w:val="left"/>
        <w:rPr>
          <w:szCs w:val="32"/>
        </w:rPr>
      </w:pPr>
      <w:r>
        <w:rPr>
          <w:szCs w:val="32"/>
        </w:rPr>
        <w:t>2.黔江区总体管控要求表</w:t>
      </w:r>
    </w:p>
    <w:p>
      <w:pPr>
        <w:snapToGrid w:val="0"/>
        <w:spacing w:line="579" w:lineRule="exact"/>
        <w:ind w:firstLine="1600" w:firstLineChars="500"/>
        <w:jc w:val="left"/>
        <w:rPr>
          <w:szCs w:val="32"/>
        </w:rPr>
      </w:pPr>
      <w:r>
        <w:rPr>
          <w:szCs w:val="32"/>
        </w:rPr>
        <w:t>3.黔江区环境管控单元图</w:t>
      </w:r>
    </w:p>
    <w:p>
      <w:pPr>
        <w:snapToGrid w:val="0"/>
        <w:spacing w:line="579" w:lineRule="exact"/>
        <w:ind w:firstLine="640" w:firstLineChars="200"/>
        <w:jc w:val="left"/>
        <w:rPr>
          <w:szCs w:val="32"/>
        </w:rPr>
      </w:pPr>
    </w:p>
    <w:p>
      <w:pPr>
        <w:pStyle w:val="3"/>
        <w:spacing w:line="579" w:lineRule="exact"/>
        <w:rPr>
          <w:rFonts w:ascii="Times New Roman" w:hAnsi="Times New Roman"/>
        </w:rPr>
      </w:pPr>
    </w:p>
    <w:p>
      <w:pPr>
        <w:spacing w:line="579" w:lineRule="exact"/>
        <w:ind w:firstLine="1600" w:firstLineChars="500"/>
        <w:jc w:val="center"/>
        <w:rPr>
          <w:szCs w:val="32"/>
        </w:rPr>
      </w:pPr>
      <w:r>
        <w:rPr>
          <w:szCs w:val="32"/>
        </w:rPr>
        <w:t xml:space="preserve">              重庆市黔江区人民政府</w:t>
      </w:r>
    </w:p>
    <w:p>
      <w:pPr>
        <w:spacing w:line="579" w:lineRule="exact"/>
        <w:ind w:firstLine="1600" w:firstLineChars="500"/>
        <w:jc w:val="center"/>
        <w:rPr>
          <w:szCs w:val="32"/>
        </w:rPr>
      </w:pPr>
      <w:r>
        <w:rPr>
          <w:szCs w:val="32"/>
        </w:rPr>
        <w:t xml:space="preserve">             2020年10月</w:t>
      </w:r>
      <w:r>
        <w:rPr>
          <w:rFonts w:hint="eastAsia"/>
          <w:szCs w:val="32"/>
          <w:lang w:val="en-US" w:eastAsia="zh-CN"/>
        </w:rPr>
        <w:t>27</w:t>
      </w:r>
      <w:r>
        <w:rPr>
          <w:szCs w:val="32"/>
        </w:rPr>
        <w:t>日</w:t>
      </w:r>
    </w:p>
    <w:p>
      <w:pPr>
        <w:tabs>
          <w:tab w:val="left" w:pos="7560"/>
        </w:tabs>
        <w:spacing w:line="579" w:lineRule="exact"/>
        <w:ind w:firstLine="640" w:firstLineChars="200"/>
        <w:jc w:val="left"/>
        <w:rPr>
          <w:szCs w:val="32"/>
        </w:rPr>
      </w:pPr>
      <w:r>
        <w:rPr>
          <w:szCs w:val="32"/>
        </w:rPr>
        <w:t>（此件公开发布）</w:t>
      </w:r>
    </w:p>
    <w:p>
      <w:pPr>
        <w:adjustRightInd w:val="0"/>
        <w:spacing w:line="579" w:lineRule="exact"/>
        <w:ind w:firstLine="420"/>
        <w:textAlignment w:val="baseline"/>
        <w:rPr>
          <w:rFonts w:eastAsia="黑体"/>
          <w:sz w:val="36"/>
          <w:szCs w:val="32"/>
        </w:rPr>
        <w:sectPr>
          <w:footerReference r:id="rId3" w:type="default"/>
          <w:footerReference r:id="rId4" w:type="even"/>
          <w:pgSz w:w="11906" w:h="16838"/>
          <w:pgMar w:top="2098" w:right="1474" w:bottom="1985" w:left="1588" w:header="851" w:footer="1474" w:gutter="0"/>
          <w:cols w:space="720" w:num="1"/>
          <w:docGrid w:linePitch="579" w:charSpace="-1024"/>
        </w:sectPr>
      </w:pPr>
    </w:p>
    <w:p>
      <w:pPr>
        <w:jc w:val="left"/>
        <w:rPr>
          <w:rFonts w:eastAsia="方正黑体_GBK"/>
          <w:sz w:val="28"/>
          <w:szCs w:val="28"/>
        </w:rPr>
      </w:pPr>
      <w:r>
        <w:rPr>
          <w:rFonts w:eastAsia="方正黑体_GBK"/>
          <w:szCs w:val="32"/>
        </w:rPr>
        <w:t>附件1</w:t>
      </w:r>
    </w:p>
    <w:p>
      <w:pPr>
        <w:jc w:val="center"/>
        <w:rPr>
          <w:rFonts w:eastAsia="方正小标宋_GBK"/>
          <w:sz w:val="44"/>
          <w:szCs w:val="28"/>
        </w:rPr>
      </w:pPr>
      <w:r>
        <w:rPr>
          <w:rFonts w:eastAsia="方正小标宋_GBK"/>
          <w:sz w:val="44"/>
          <w:szCs w:val="28"/>
        </w:rPr>
        <w:t xml:space="preserve"> 黔江区环境管控单元统计表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3339"/>
        <w:gridCol w:w="1764"/>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tblHeader/>
          <w:jc w:val="center"/>
        </w:trPr>
        <w:tc>
          <w:tcPr>
            <w:tcW w:w="1696" w:type="dxa"/>
            <w:noWrap w:val="0"/>
            <w:vAlign w:val="center"/>
          </w:tcPr>
          <w:p>
            <w:pPr>
              <w:overflowPunct w:val="0"/>
              <w:spacing w:line="480" w:lineRule="exact"/>
              <w:jc w:val="center"/>
              <w:rPr>
                <w:rFonts w:eastAsia="方正黑体_GBK"/>
                <w:bCs/>
                <w:kern w:val="0"/>
                <w:sz w:val="30"/>
                <w:szCs w:val="30"/>
                <w:lang w:bidi="en-US"/>
              </w:rPr>
            </w:pPr>
            <w:r>
              <w:rPr>
                <w:rFonts w:eastAsia="方正黑体_GBK"/>
                <w:bCs/>
                <w:kern w:val="0"/>
                <w:sz w:val="30"/>
                <w:szCs w:val="30"/>
                <w:lang w:bidi="en-US"/>
              </w:rPr>
              <w:t>环境管控</w:t>
            </w:r>
          </w:p>
          <w:p>
            <w:pPr>
              <w:overflowPunct w:val="0"/>
              <w:spacing w:line="480" w:lineRule="exact"/>
              <w:jc w:val="center"/>
              <w:rPr>
                <w:rFonts w:eastAsia="方正黑体_GBK"/>
                <w:bCs/>
                <w:kern w:val="0"/>
                <w:sz w:val="30"/>
                <w:szCs w:val="30"/>
                <w:lang w:bidi="en-US"/>
              </w:rPr>
            </w:pPr>
            <w:r>
              <w:rPr>
                <w:rFonts w:eastAsia="方正黑体_GBK"/>
                <w:bCs/>
                <w:kern w:val="0"/>
                <w:sz w:val="30"/>
                <w:szCs w:val="30"/>
                <w:lang w:bidi="en-US"/>
              </w:rPr>
              <w:t>单元编码</w:t>
            </w:r>
          </w:p>
        </w:tc>
        <w:tc>
          <w:tcPr>
            <w:tcW w:w="3339" w:type="dxa"/>
            <w:noWrap w:val="0"/>
            <w:vAlign w:val="center"/>
          </w:tcPr>
          <w:p>
            <w:pPr>
              <w:overflowPunct w:val="0"/>
              <w:spacing w:line="480" w:lineRule="exact"/>
              <w:jc w:val="center"/>
              <w:rPr>
                <w:rFonts w:eastAsia="方正黑体_GBK"/>
                <w:bCs/>
                <w:kern w:val="0"/>
                <w:sz w:val="30"/>
                <w:szCs w:val="30"/>
                <w:lang w:bidi="en-US"/>
              </w:rPr>
            </w:pPr>
            <w:r>
              <w:rPr>
                <w:rFonts w:eastAsia="方正黑体_GBK"/>
                <w:bCs/>
                <w:kern w:val="0"/>
                <w:sz w:val="30"/>
                <w:szCs w:val="30"/>
                <w:lang w:bidi="en-US"/>
              </w:rPr>
              <w:t>环境管控单元名称</w:t>
            </w:r>
          </w:p>
        </w:tc>
        <w:tc>
          <w:tcPr>
            <w:tcW w:w="1764" w:type="dxa"/>
            <w:noWrap w:val="0"/>
            <w:vAlign w:val="center"/>
          </w:tcPr>
          <w:p>
            <w:pPr>
              <w:overflowPunct w:val="0"/>
              <w:spacing w:line="480" w:lineRule="exact"/>
              <w:jc w:val="center"/>
              <w:rPr>
                <w:rFonts w:eastAsia="方正黑体_GBK"/>
                <w:bCs/>
                <w:kern w:val="0"/>
                <w:sz w:val="30"/>
                <w:szCs w:val="30"/>
                <w:lang w:bidi="en-US"/>
              </w:rPr>
            </w:pPr>
            <w:r>
              <w:rPr>
                <w:rFonts w:eastAsia="方正黑体_GBK"/>
                <w:bCs/>
                <w:kern w:val="0"/>
                <w:sz w:val="30"/>
                <w:szCs w:val="30"/>
                <w:lang w:bidi="en-US"/>
              </w:rPr>
              <w:t>环境管控</w:t>
            </w:r>
          </w:p>
          <w:p>
            <w:pPr>
              <w:overflowPunct w:val="0"/>
              <w:spacing w:line="480" w:lineRule="exact"/>
              <w:jc w:val="center"/>
              <w:rPr>
                <w:rFonts w:eastAsia="方正黑体_GBK"/>
                <w:bCs/>
                <w:kern w:val="0"/>
                <w:sz w:val="30"/>
                <w:szCs w:val="30"/>
                <w:lang w:bidi="en-US"/>
              </w:rPr>
            </w:pPr>
            <w:r>
              <w:rPr>
                <w:rFonts w:eastAsia="方正黑体_GBK"/>
                <w:bCs/>
                <w:kern w:val="0"/>
                <w:sz w:val="30"/>
                <w:szCs w:val="30"/>
                <w:lang w:bidi="en-US"/>
              </w:rPr>
              <w:t>单元分类</w:t>
            </w:r>
          </w:p>
        </w:tc>
        <w:tc>
          <w:tcPr>
            <w:tcW w:w="2035" w:type="dxa"/>
            <w:noWrap w:val="0"/>
            <w:vAlign w:val="center"/>
          </w:tcPr>
          <w:p>
            <w:pPr>
              <w:overflowPunct w:val="0"/>
              <w:spacing w:line="480" w:lineRule="exact"/>
              <w:jc w:val="center"/>
              <w:rPr>
                <w:rFonts w:eastAsia="方正黑体_GBK"/>
                <w:bCs/>
                <w:kern w:val="0"/>
                <w:sz w:val="30"/>
                <w:szCs w:val="30"/>
                <w:lang w:bidi="en-US"/>
              </w:rPr>
            </w:pPr>
            <w:r>
              <w:rPr>
                <w:rFonts w:eastAsia="方正黑体_GBK"/>
                <w:bCs/>
                <w:kern w:val="0"/>
                <w:sz w:val="30"/>
                <w:szCs w:val="30"/>
                <w:lang w:bidi="en-US"/>
              </w:rPr>
              <w:t>环境管控单元要素分区组成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ZH50011410001</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黔江区城东街道城北水库三元宫水厂饮用水水源保护区</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优先保护单元1</w:t>
            </w:r>
          </w:p>
        </w:tc>
        <w:tc>
          <w:tcPr>
            <w:tcW w:w="2035" w:type="dxa"/>
            <w:noWrap w:val="0"/>
            <w:vAlign w:val="center"/>
          </w:tcPr>
          <w:p>
            <w:pPr>
              <w:overflowPunct w:val="0"/>
              <w:spacing w:line="480" w:lineRule="exact"/>
              <w:rPr>
                <w:kern w:val="0"/>
                <w:sz w:val="30"/>
                <w:szCs w:val="30"/>
                <w:lang w:bidi="en-US"/>
              </w:rPr>
            </w:pPr>
            <w:r>
              <w:rPr>
                <w:kern w:val="0"/>
                <w:sz w:val="30"/>
                <w:szCs w:val="30"/>
                <w:lang w:bidi="en-US"/>
              </w:rPr>
              <w:t>饮用水源保护区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ZH50011410002</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黔江区城西街道洞塘水库白家湾水厂饮用水水源保护区</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优先保护单元2</w:t>
            </w:r>
          </w:p>
        </w:tc>
        <w:tc>
          <w:tcPr>
            <w:tcW w:w="2035" w:type="dxa"/>
            <w:noWrap w:val="0"/>
            <w:vAlign w:val="center"/>
          </w:tcPr>
          <w:p>
            <w:pPr>
              <w:overflowPunct w:val="0"/>
              <w:spacing w:line="480" w:lineRule="exact"/>
              <w:rPr>
                <w:kern w:val="0"/>
                <w:sz w:val="30"/>
                <w:szCs w:val="30"/>
                <w:lang w:bidi="en-US"/>
              </w:rPr>
            </w:pPr>
            <w:r>
              <w:rPr>
                <w:kern w:val="0"/>
                <w:sz w:val="30"/>
                <w:szCs w:val="30"/>
                <w:lang w:bidi="en-US"/>
              </w:rPr>
              <w:t>饮用水源保护区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ZH50011410003</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黔江区小南海水库三元宫水厂舟白水厂</w:t>
            </w:r>
            <w:r>
              <w:rPr>
                <w:rFonts w:hint="eastAsia"/>
                <w:kern w:val="0"/>
                <w:sz w:val="30"/>
                <w:szCs w:val="30"/>
                <w:lang w:bidi="en-US"/>
              </w:rPr>
              <w:t>、</w:t>
            </w:r>
            <w:r>
              <w:rPr>
                <w:kern w:val="0"/>
                <w:sz w:val="30"/>
                <w:szCs w:val="30"/>
                <w:lang w:bidi="en-US"/>
              </w:rPr>
              <w:t>正阳水厂饮用水水源保护区</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优先保护单元3</w:t>
            </w:r>
          </w:p>
        </w:tc>
        <w:tc>
          <w:tcPr>
            <w:tcW w:w="2035" w:type="dxa"/>
            <w:noWrap w:val="0"/>
            <w:vAlign w:val="center"/>
          </w:tcPr>
          <w:p>
            <w:pPr>
              <w:overflowPunct w:val="0"/>
              <w:spacing w:line="480" w:lineRule="exact"/>
              <w:rPr>
                <w:kern w:val="0"/>
                <w:sz w:val="30"/>
                <w:szCs w:val="30"/>
                <w:lang w:bidi="en-US"/>
              </w:rPr>
            </w:pPr>
            <w:r>
              <w:rPr>
                <w:kern w:val="0"/>
                <w:sz w:val="30"/>
                <w:szCs w:val="30"/>
                <w:lang w:bidi="en-US"/>
              </w:rPr>
              <w:t>饮用水源保护区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ZH50011410004</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黔江小南海市级自然保护区</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优先保护单元4</w:t>
            </w:r>
          </w:p>
        </w:tc>
        <w:tc>
          <w:tcPr>
            <w:tcW w:w="2035" w:type="dxa"/>
            <w:noWrap w:val="0"/>
            <w:vAlign w:val="center"/>
          </w:tcPr>
          <w:p>
            <w:pPr>
              <w:overflowPunct w:val="0"/>
              <w:spacing w:line="480" w:lineRule="exact"/>
              <w:rPr>
                <w:kern w:val="0"/>
                <w:sz w:val="30"/>
                <w:szCs w:val="30"/>
                <w:lang w:bidi="en-US"/>
              </w:rPr>
            </w:pPr>
            <w:r>
              <w:rPr>
                <w:kern w:val="0"/>
                <w:sz w:val="30"/>
                <w:szCs w:val="30"/>
                <w:lang w:bidi="en-US"/>
              </w:rPr>
              <w:t>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ZH50011410005</w:t>
            </w:r>
          </w:p>
        </w:tc>
        <w:tc>
          <w:tcPr>
            <w:tcW w:w="3339" w:type="dxa"/>
            <w:noWrap w:val="0"/>
            <w:vAlign w:val="center"/>
          </w:tcPr>
          <w:p>
            <w:pPr>
              <w:overflowPunct w:val="0"/>
              <w:spacing w:line="480" w:lineRule="exact"/>
              <w:rPr>
                <w:kern w:val="0"/>
                <w:sz w:val="30"/>
                <w:szCs w:val="30"/>
                <w:lang w:bidi="en-US"/>
              </w:rPr>
            </w:pPr>
            <w:r>
              <w:rPr>
                <w:kern w:val="0"/>
                <w:sz w:val="30"/>
                <w:szCs w:val="30"/>
                <w:lang w:bidi="en-US"/>
              </w:rPr>
              <w:t>武陵山市级自然保护区</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优先保护单元5</w:t>
            </w:r>
          </w:p>
        </w:tc>
        <w:tc>
          <w:tcPr>
            <w:tcW w:w="2035" w:type="dxa"/>
            <w:noWrap w:val="0"/>
            <w:vAlign w:val="center"/>
          </w:tcPr>
          <w:p>
            <w:pPr>
              <w:overflowPunct w:val="0"/>
              <w:spacing w:line="480" w:lineRule="exact"/>
              <w:rPr>
                <w:kern w:val="0"/>
                <w:sz w:val="30"/>
                <w:szCs w:val="30"/>
                <w:lang w:bidi="en-US"/>
              </w:rPr>
            </w:pPr>
            <w:r>
              <w:rPr>
                <w:kern w:val="0"/>
                <w:sz w:val="30"/>
                <w:szCs w:val="30"/>
                <w:lang w:bidi="en-US"/>
              </w:rPr>
              <w:t>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36"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ZH50011410006</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黔江小南海湿地县级自然保护区</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优先保护单元6</w:t>
            </w:r>
          </w:p>
        </w:tc>
        <w:tc>
          <w:tcPr>
            <w:tcW w:w="2035" w:type="dxa"/>
            <w:noWrap w:val="0"/>
            <w:vAlign w:val="center"/>
          </w:tcPr>
          <w:p>
            <w:pPr>
              <w:overflowPunct w:val="0"/>
              <w:spacing w:line="480" w:lineRule="exact"/>
              <w:rPr>
                <w:kern w:val="0"/>
                <w:sz w:val="30"/>
                <w:szCs w:val="30"/>
                <w:lang w:bidi="en-US"/>
              </w:rPr>
            </w:pPr>
            <w:r>
              <w:rPr>
                <w:kern w:val="0"/>
                <w:sz w:val="30"/>
                <w:szCs w:val="30"/>
                <w:lang w:bidi="en-US"/>
              </w:rPr>
              <w:t>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ZH50011410007</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重庆黔江国家森林公园</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优先保护单元7</w:t>
            </w:r>
          </w:p>
        </w:tc>
        <w:tc>
          <w:tcPr>
            <w:tcW w:w="2035" w:type="dxa"/>
            <w:noWrap w:val="0"/>
            <w:vAlign w:val="center"/>
          </w:tcPr>
          <w:p>
            <w:pPr>
              <w:overflowPunct w:val="0"/>
              <w:spacing w:line="480" w:lineRule="exact"/>
              <w:rPr>
                <w:kern w:val="0"/>
                <w:sz w:val="30"/>
                <w:szCs w:val="30"/>
                <w:lang w:bidi="en-US"/>
              </w:rPr>
            </w:pPr>
            <w:r>
              <w:rPr>
                <w:kern w:val="0"/>
                <w:sz w:val="30"/>
                <w:szCs w:val="30"/>
                <w:lang w:bidi="en-US"/>
              </w:rPr>
              <w:t>森林公园保护区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ZH50011410008</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重庆市仰头山森林公园</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优先保护单元8</w:t>
            </w:r>
          </w:p>
        </w:tc>
        <w:tc>
          <w:tcPr>
            <w:tcW w:w="2035" w:type="dxa"/>
            <w:noWrap w:val="0"/>
            <w:vAlign w:val="center"/>
          </w:tcPr>
          <w:p>
            <w:pPr>
              <w:overflowPunct w:val="0"/>
              <w:spacing w:line="480" w:lineRule="exact"/>
              <w:rPr>
                <w:kern w:val="0"/>
                <w:sz w:val="30"/>
                <w:szCs w:val="30"/>
                <w:lang w:bidi="en-US"/>
              </w:rPr>
            </w:pPr>
            <w:r>
              <w:rPr>
                <w:kern w:val="0"/>
                <w:sz w:val="30"/>
                <w:szCs w:val="30"/>
                <w:lang w:bidi="en-US"/>
              </w:rPr>
              <w:t>森林公园保护区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ZH50011410009</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重庆阿蓬江国家湿地公园</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优先保护单元9</w:t>
            </w:r>
          </w:p>
        </w:tc>
        <w:tc>
          <w:tcPr>
            <w:tcW w:w="2035" w:type="dxa"/>
            <w:noWrap w:val="0"/>
            <w:vAlign w:val="center"/>
          </w:tcPr>
          <w:p>
            <w:pPr>
              <w:overflowPunct w:val="0"/>
              <w:spacing w:line="480" w:lineRule="exact"/>
              <w:rPr>
                <w:kern w:val="0"/>
                <w:sz w:val="30"/>
                <w:szCs w:val="30"/>
                <w:lang w:bidi="en-US"/>
              </w:rPr>
            </w:pPr>
            <w:r>
              <w:rPr>
                <w:kern w:val="0"/>
                <w:sz w:val="30"/>
                <w:szCs w:val="30"/>
                <w:lang w:bidi="en-US"/>
              </w:rPr>
              <w:t>湿地公园保护区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ZH500114100010</w:t>
            </w:r>
          </w:p>
        </w:tc>
        <w:tc>
          <w:tcPr>
            <w:tcW w:w="3339" w:type="dxa"/>
            <w:noWrap w:val="0"/>
            <w:vAlign w:val="center"/>
          </w:tcPr>
          <w:p>
            <w:pPr>
              <w:overflowPunct w:val="0"/>
              <w:spacing w:line="480" w:lineRule="exact"/>
              <w:rPr>
                <w:kern w:val="0"/>
                <w:sz w:val="30"/>
                <w:szCs w:val="30"/>
                <w:lang w:bidi="en-US"/>
              </w:rPr>
            </w:pPr>
            <w:r>
              <w:rPr>
                <w:kern w:val="0"/>
                <w:sz w:val="30"/>
                <w:szCs w:val="30"/>
                <w:lang w:bidi="en-US"/>
              </w:rPr>
              <w:t>小南海国家地质公园</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优先保护单元10</w:t>
            </w:r>
          </w:p>
        </w:tc>
        <w:tc>
          <w:tcPr>
            <w:tcW w:w="2035" w:type="dxa"/>
            <w:noWrap w:val="0"/>
            <w:vAlign w:val="center"/>
          </w:tcPr>
          <w:p>
            <w:pPr>
              <w:overflowPunct w:val="0"/>
              <w:spacing w:line="480" w:lineRule="exact"/>
              <w:rPr>
                <w:kern w:val="0"/>
                <w:sz w:val="30"/>
                <w:szCs w:val="30"/>
                <w:lang w:bidi="en-US"/>
              </w:rPr>
            </w:pPr>
            <w:r>
              <w:rPr>
                <w:kern w:val="0"/>
                <w:sz w:val="30"/>
                <w:szCs w:val="30"/>
                <w:lang w:bidi="en-US"/>
              </w:rPr>
              <w:t>地质公园保护区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ZH50011410011</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黔江区生物多样性维护功能区</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优先保护单元11</w:t>
            </w:r>
          </w:p>
        </w:tc>
        <w:tc>
          <w:tcPr>
            <w:tcW w:w="2035" w:type="dxa"/>
            <w:noWrap w:val="0"/>
            <w:vAlign w:val="center"/>
          </w:tcPr>
          <w:p>
            <w:pPr>
              <w:overflowPunct w:val="0"/>
              <w:spacing w:line="480" w:lineRule="exact"/>
              <w:rPr>
                <w:kern w:val="0"/>
                <w:sz w:val="30"/>
                <w:szCs w:val="30"/>
                <w:lang w:bidi="en-US"/>
              </w:rPr>
            </w:pPr>
            <w:r>
              <w:rPr>
                <w:kern w:val="0"/>
                <w:sz w:val="30"/>
                <w:szCs w:val="30"/>
                <w:lang w:bidi="en-US"/>
              </w:rPr>
              <w:t>生态保护红线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ZH50011410012</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黔江区一般生态空间-生物多样性维护功能区</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优先保护单元12</w:t>
            </w:r>
          </w:p>
        </w:tc>
        <w:tc>
          <w:tcPr>
            <w:tcW w:w="2035" w:type="dxa"/>
            <w:noWrap w:val="0"/>
            <w:vAlign w:val="center"/>
          </w:tcPr>
          <w:p>
            <w:pPr>
              <w:overflowPunct w:val="0"/>
              <w:spacing w:line="480" w:lineRule="exact"/>
              <w:rPr>
                <w:kern w:val="0"/>
                <w:sz w:val="30"/>
                <w:szCs w:val="30"/>
                <w:lang w:bidi="en-US"/>
              </w:rPr>
            </w:pPr>
            <w:r>
              <w:rPr>
                <w:kern w:val="0"/>
                <w:sz w:val="30"/>
                <w:szCs w:val="30"/>
                <w:lang w:bidi="en-US"/>
              </w:rPr>
              <w:t>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ZH50011420001</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黔江区城镇开发边界</w:t>
            </w:r>
          </w:p>
        </w:tc>
        <w:tc>
          <w:tcPr>
            <w:tcW w:w="1764" w:type="dxa"/>
            <w:noWrap w:val="0"/>
            <w:vAlign w:val="center"/>
          </w:tcPr>
          <w:p>
            <w:pPr>
              <w:overflowPunct w:val="0"/>
              <w:spacing w:line="480" w:lineRule="exact"/>
              <w:rPr>
                <w:kern w:val="0"/>
                <w:sz w:val="30"/>
                <w:szCs w:val="30"/>
                <w:lang w:bidi="en-US"/>
              </w:rPr>
            </w:pPr>
            <w:r>
              <w:rPr>
                <w:kern w:val="0"/>
                <w:sz w:val="30"/>
                <w:szCs w:val="30"/>
                <w:lang w:bidi="en-US"/>
              </w:rPr>
              <w:t>重点管控单元1</w:t>
            </w:r>
          </w:p>
        </w:tc>
        <w:tc>
          <w:tcPr>
            <w:tcW w:w="2035" w:type="dxa"/>
            <w:noWrap w:val="0"/>
            <w:vAlign w:val="center"/>
          </w:tcPr>
          <w:p>
            <w:pPr>
              <w:overflowPunct w:val="0"/>
              <w:spacing w:line="480" w:lineRule="exact"/>
              <w:rPr>
                <w:kern w:val="0"/>
                <w:sz w:val="30"/>
                <w:szCs w:val="30"/>
                <w:lang w:bidi="en-US"/>
              </w:rPr>
            </w:pPr>
            <w:r>
              <w:rPr>
                <w:kern w:val="0"/>
                <w:sz w:val="30"/>
                <w:szCs w:val="30"/>
                <w:lang w:bidi="en-US"/>
              </w:rPr>
              <w:t>大气环境受体敏感区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ZH50011420002</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重庆市正阳工业园区</w:t>
            </w:r>
          </w:p>
        </w:tc>
        <w:tc>
          <w:tcPr>
            <w:tcW w:w="1764" w:type="dxa"/>
            <w:noWrap w:val="0"/>
            <w:vAlign w:val="center"/>
          </w:tcPr>
          <w:p>
            <w:pPr>
              <w:overflowPunct w:val="0"/>
              <w:spacing w:line="480" w:lineRule="exact"/>
              <w:rPr>
                <w:kern w:val="0"/>
                <w:sz w:val="30"/>
                <w:szCs w:val="30"/>
                <w:lang w:bidi="en-US"/>
              </w:rPr>
            </w:pPr>
            <w:r>
              <w:rPr>
                <w:kern w:val="0"/>
                <w:sz w:val="30"/>
                <w:szCs w:val="30"/>
                <w:lang w:bidi="en-US"/>
              </w:rPr>
              <w:t>重点管控单元2</w:t>
            </w:r>
          </w:p>
        </w:tc>
        <w:tc>
          <w:tcPr>
            <w:tcW w:w="2035" w:type="dxa"/>
            <w:noWrap w:val="0"/>
            <w:vAlign w:val="center"/>
          </w:tcPr>
          <w:p>
            <w:pPr>
              <w:overflowPunct w:val="0"/>
              <w:spacing w:line="480" w:lineRule="exact"/>
              <w:rPr>
                <w:kern w:val="0"/>
                <w:sz w:val="30"/>
                <w:szCs w:val="30"/>
                <w:lang w:bidi="en-US"/>
              </w:rPr>
            </w:pPr>
            <w:r>
              <w:rPr>
                <w:kern w:val="0"/>
                <w:sz w:val="30"/>
                <w:szCs w:val="30"/>
                <w:lang w:bidi="en-US"/>
              </w:rPr>
              <w:t>大气环境高排放区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ZH50011430001</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黔江区一般管控单元-阿蓬江黔江段</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一般管控单元1</w:t>
            </w:r>
          </w:p>
        </w:tc>
        <w:tc>
          <w:tcPr>
            <w:tcW w:w="2035" w:type="dxa"/>
            <w:noWrap w:val="0"/>
            <w:vAlign w:val="center"/>
          </w:tcPr>
          <w:p>
            <w:pPr>
              <w:overflowPunct w:val="0"/>
              <w:spacing w:line="480" w:lineRule="exact"/>
              <w:rPr>
                <w:kern w:val="0"/>
                <w:sz w:val="30"/>
                <w:szCs w:val="30"/>
                <w:lang w:bidi="en-US"/>
              </w:rPr>
            </w:pPr>
            <w:r>
              <w:rPr>
                <w:kern w:val="0"/>
                <w:sz w:val="30"/>
                <w:szCs w:val="30"/>
                <w:lang w:bidi="en-US"/>
              </w:rPr>
              <w:t>农用地优先保护区、大气弱扩散区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2" w:hRule="atLeast"/>
          <w:jc w:val="center"/>
        </w:trPr>
        <w:tc>
          <w:tcPr>
            <w:tcW w:w="1696" w:type="dxa"/>
            <w:noWrap w:val="0"/>
            <w:vAlign w:val="center"/>
          </w:tcPr>
          <w:p>
            <w:pPr>
              <w:overflowPunct w:val="0"/>
              <w:spacing w:line="480" w:lineRule="exact"/>
              <w:rPr>
                <w:kern w:val="0"/>
                <w:sz w:val="30"/>
                <w:szCs w:val="30"/>
                <w:lang w:bidi="en-US"/>
              </w:rPr>
            </w:pPr>
            <w:r>
              <w:rPr>
                <w:kern w:val="0"/>
                <w:sz w:val="30"/>
                <w:szCs w:val="30"/>
                <w:lang w:bidi="en-US"/>
              </w:rPr>
              <w:t>ZH50011430002</w:t>
            </w:r>
          </w:p>
        </w:tc>
        <w:tc>
          <w:tcPr>
            <w:tcW w:w="3339" w:type="dxa"/>
            <w:noWrap w:val="0"/>
            <w:vAlign w:val="center"/>
          </w:tcPr>
          <w:p>
            <w:pPr>
              <w:overflowPunct w:val="0"/>
              <w:spacing w:line="480" w:lineRule="exact"/>
              <w:rPr>
                <w:kern w:val="0"/>
                <w:sz w:val="30"/>
                <w:szCs w:val="30"/>
                <w:lang w:bidi="en-US"/>
              </w:rPr>
            </w:pPr>
            <w:r>
              <w:rPr>
                <w:kern w:val="0"/>
                <w:sz w:val="30"/>
                <w:szCs w:val="30"/>
                <w:lang w:bidi="en-US"/>
              </w:rPr>
              <w:t>黔江区一般管控单元-郁江河黔江段</w:t>
            </w:r>
          </w:p>
        </w:tc>
        <w:tc>
          <w:tcPr>
            <w:tcW w:w="1764" w:type="dxa"/>
            <w:noWrap w:val="0"/>
            <w:vAlign w:val="center"/>
          </w:tcPr>
          <w:p>
            <w:pPr>
              <w:overflowPunct w:val="0"/>
              <w:spacing w:line="480" w:lineRule="exact"/>
              <w:rPr>
                <w:kern w:val="0"/>
                <w:sz w:val="30"/>
                <w:szCs w:val="30"/>
                <w:lang w:bidi="en-US"/>
              </w:rPr>
            </w:pPr>
            <w:r>
              <w:rPr>
                <w:kern w:val="0"/>
                <w:sz w:val="30"/>
                <w:szCs w:val="30"/>
                <w:lang w:bidi="en-US"/>
              </w:rPr>
              <w:t>一般管控单元2</w:t>
            </w:r>
          </w:p>
        </w:tc>
        <w:tc>
          <w:tcPr>
            <w:tcW w:w="2035" w:type="dxa"/>
            <w:noWrap w:val="0"/>
            <w:vAlign w:val="center"/>
          </w:tcPr>
          <w:p>
            <w:pPr>
              <w:overflowPunct w:val="0"/>
              <w:spacing w:line="480" w:lineRule="exact"/>
              <w:rPr>
                <w:kern w:val="0"/>
                <w:sz w:val="30"/>
                <w:szCs w:val="30"/>
                <w:lang w:bidi="en-US"/>
              </w:rPr>
            </w:pPr>
            <w:r>
              <w:rPr>
                <w:kern w:val="0"/>
                <w:sz w:val="30"/>
                <w:szCs w:val="30"/>
                <w:lang w:bidi="en-US"/>
              </w:rPr>
              <w:t>农用地优先保护、大气弱扩散区</w:t>
            </w:r>
          </w:p>
        </w:tc>
      </w:tr>
    </w:tbl>
    <w:p>
      <w:pPr>
        <w:overflowPunct w:val="0"/>
        <w:spacing w:line="480" w:lineRule="exact"/>
        <w:ind w:firstLine="420"/>
        <w:textAlignment w:val="baseline"/>
        <w:rPr>
          <w:rFonts w:eastAsia="黑体"/>
          <w:sz w:val="30"/>
          <w:szCs w:val="30"/>
        </w:rPr>
      </w:pPr>
    </w:p>
    <w:p>
      <w:pPr>
        <w:adjustRightInd w:val="0"/>
        <w:spacing w:before="360" w:beforeLines="150" w:after="480" w:afterLines="200" w:line="275" w:lineRule="atLeast"/>
        <w:ind w:firstLine="420"/>
        <w:textAlignment w:val="baseline"/>
        <w:rPr>
          <w:rFonts w:eastAsia="黑体"/>
          <w:sz w:val="36"/>
          <w:szCs w:val="32"/>
        </w:rPr>
        <w:sectPr>
          <w:pgSz w:w="11906" w:h="16838"/>
          <w:pgMar w:top="2098" w:right="1474" w:bottom="1985" w:left="1588" w:header="851" w:footer="1474" w:gutter="0"/>
          <w:cols w:space="720" w:num="1"/>
          <w:docGrid w:linePitch="579" w:charSpace="-1024"/>
        </w:sectPr>
      </w:pPr>
    </w:p>
    <w:p>
      <w:pPr>
        <w:jc w:val="left"/>
        <w:rPr>
          <w:rFonts w:eastAsia="方正黑体_GBK"/>
          <w:szCs w:val="32"/>
        </w:rPr>
      </w:pPr>
      <w:r>
        <w:rPr>
          <w:rFonts w:eastAsia="方正黑体_GBK"/>
          <w:szCs w:val="32"/>
        </w:rPr>
        <w:t>附件2</w:t>
      </w:r>
    </w:p>
    <w:p>
      <w:pPr>
        <w:jc w:val="center"/>
        <w:rPr>
          <w:rFonts w:eastAsia="方正小标宋_GBK"/>
          <w:sz w:val="44"/>
          <w:szCs w:val="28"/>
        </w:rPr>
      </w:pPr>
      <w:r>
        <w:rPr>
          <w:rFonts w:eastAsia="方正小标宋_GBK"/>
          <w:sz w:val="44"/>
          <w:szCs w:val="28"/>
        </w:rPr>
        <w:t>黔江区总体管控要求表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sz w:val="30"/>
                <w:szCs w:val="30"/>
                <w:lang w:bidi="en-US"/>
              </w:rPr>
            </w:pPr>
            <w:r>
              <w:rPr>
                <w:kern w:val="0"/>
                <w:sz w:val="30"/>
                <w:szCs w:val="30"/>
                <w:lang w:bidi="en-US"/>
              </w:rPr>
              <w:t>管控类别</w:t>
            </w:r>
          </w:p>
        </w:tc>
        <w:tc>
          <w:tcPr>
            <w:tcW w:w="80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sz w:val="30"/>
                <w:szCs w:val="30"/>
                <w:lang w:bidi="en-US"/>
              </w:rPr>
            </w:pPr>
            <w:r>
              <w:rPr>
                <w:kern w:val="0"/>
                <w:sz w:val="30"/>
                <w:szCs w:val="30"/>
                <w:lang w:bidi="en-US"/>
              </w:rPr>
              <w:t>总体管控要求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7" w:hRule="atLeast"/>
          <w:jc w:val="center"/>
        </w:trPr>
        <w:tc>
          <w:tcPr>
            <w:tcW w:w="818" w:type="dxa"/>
            <w:tcBorders>
              <w:left w:val="single" w:color="auto" w:sz="4" w:space="0"/>
              <w:right w:val="single" w:color="auto" w:sz="4" w:space="0"/>
            </w:tcBorders>
            <w:noWrap w:val="0"/>
            <w:vAlign w:val="center"/>
          </w:tcPr>
          <w:p>
            <w:pPr>
              <w:adjustRightInd w:val="0"/>
              <w:snapToGrid w:val="0"/>
              <w:jc w:val="center"/>
              <w:rPr>
                <w:kern w:val="0"/>
                <w:sz w:val="30"/>
                <w:szCs w:val="30"/>
                <w:lang w:bidi="en-US"/>
              </w:rPr>
            </w:pPr>
            <w:r>
              <w:rPr>
                <w:kern w:val="0"/>
                <w:sz w:val="30"/>
                <w:szCs w:val="30"/>
                <w:lang w:bidi="en-US"/>
              </w:rPr>
              <w:t>空间布局约束</w:t>
            </w:r>
          </w:p>
        </w:tc>
        <w:tc>
          <w:tcPr>
            <w:tcW w:w="8016" w:type="dxa"/>
            <w:tcBorders>
              <w:top w:val="single" w:color="auto" w:sz="4" w:space="0"/>
              <w:left w:val="single" w:color="auto" w:sz="4" w:space="0"/>
              <w:right w:val="single" w:color="auto" w:sz="4" w:space="0"/>
            </w:tcBorders>
            <w:noWrap w:val="0"/>
            <w:vAlign w:val="center"/>
          </w:tcPr>
          <w:p>
            <w:pPr>
              <w:widowControl/>
              <w:adjustRightInd w:val="0"/>
              <w:snapToGrid w:val="0"/>
              <w:ind w:firstLine="600" w:firstLineChars="200"/>
              <w:rPr>
                <w:bCs/>
                <w:color w:val="000000"/>
                <w:sz w:val="30"/>
                <w:szCs w:val="30"/>
              </w:rPr>
            </w:pPr>
            <w:r>
              <w:rPr>
                <w:rFonts w:eastAsia="方正黑体_GBK"/>
                <w:bCs/>
                <w:color w:val="000000"/>
                <w:sz w:val="30"/>
                <w:szCs w:val="30"/>
              </w:rPr>
              <w:t>第一条</w:t>
            </w:r>
            <w:r>
              <w:rPr>
                <w:bCs/>
                <w:color w:val="000000"/>
                <w:sz w:val="30"/>
                <w:szCs w:val="30"/>
              </w:rPr>
              <w:t xml:space="preserve"> 除在安全或产业布局等方面有特殊要求的项目外，原则上新建有污染物排放的工业项目，应当进入工业园区/工业集聚区；正阳工业园区整体镶嵌于中心城区，入驻企业与居民区应保持一定的防护距离；合理布局工业园区中的工业项目，进入园区的生产单位应符合园区的产业规划及环保管理要求。</w:t>
            </w:r>
          </w:p>
          <w:p>
            <w:pPr>
              <w:widowControl/>
              <w:adjustRightInd w:val="0"/>
              <w:snapToGrid w:val="0"/>
              <w:ind w:firstLine="600" w:firstLineChars="200"/>
              <w:rPr>
                <w:bCs/>
                <w:color w:val="000000"/>
                <w:sz w:val="30"/>
                <w:szCs w:val="30"/>
              </w:rPr>
            </w:pPr>
            <w:r>
              <w:rPr>
                <w:rFonts w:eastAsia="方正黑体_GBK"/>
                <w:bCs/>
                <w:color w:val="000000"/>
                <w:sz w:val="30"/>
                <w:szCs w:val="30"/>
              </w:rPr>
              <w:t xml:space="preserve">第二条 </w:t>
            </w:r>
            <w:r>
              <w:rPr>
                <w:bCs/>
                <w:color w:val="000000"/>
                <w:sz w:val="30"/>
                <w:szCs w:val="30"/>
              </w:rPr>
              <w:t xml:space="preserve"> 整治武陵山自然保护区历史遗留问题，严格控制核心区域生产经营活动。</w:t>
            </w:r>
          </w:p>
          <w:p>
            <w:pPr>
              <w:widowControl/>
              <w:adjustRightInd w:val="0"/>
              <w:snapToGrid w:val="0"/>
              <w:ind w:firstLine="600" w:firstLineChars="200"/>
              <w:rPr>
                <w:color w:val="000000"/>
                <w:kern w:val="0"/>
                <w:sz w:val="30"/>
                <w:szCs w:val="30"/>
              </w:rPr>
            </w:pPr>
            <w:r>
              <w:rPr>
                <w:rFonts w:eastAsia="方正黑体_GBK"/>
                <w:bCs/>
                <w:color w:val="000000"/>
                <w:sz w:val="30"/>
                <w:szCs w:val="30"/>
              </w:rPr>
              <w:t>第三条</w:t>
            </w:r>
            <w:r>
              <w:rPr>
                <w:bCs/>
                <w:color w:val="000000"/>
                <w:sz w:val="30"/>
                <w:szCs w:val="30"/>
              </w:rPr>
              <w:t xml:space="preserve">  </w:t>
            </w:r>
            <w:r>
              <w:rPr>
                <w:color w:val="000000"/>
                <w:kern w:val="0"/>
                <w:sz w:val="30"/>
                <w:szCs w:val="30"/>
              </w:rPr>
              <w:t>武陵山区石漠化山地生态恢复区的“主导生态功能是石漠化防治、水土保持。生态环境保护建设的主要方向和重点是突出石漠化防治和水土保持建设，加强退化山地的植被恢复与重建。”对涉及矿山开发的区域、采石场等区域，加强自然生态恢复工作。</w:t>
            </w:r>
          </w:p>
          <w:p>
            <w:pPr>
              <w:widowControl/>
              <w:adjustRightInd w:val="0"/>
              <w:snapToGrid w:val="0"/>
              <w:ind w:firstLine="600" w:firstLineChars="200"/>
              <w:rPr>
                <w:sz w:val="30"/>
                <w:szCs w:val="30"/>
                <w:lang w:bidi="en-US"/>
              </w:rPr>
            </w:pPr>
            <w:r>
              <w:rPr>
                <w:rFonts w:eastAsia="方正黑体_GBK"/>
                <w:sz w:val="30"/>
                <w:szCs w:val="30"/>
              </w:rPr>
              <w:t>第四条</w:t>
            </w:r>
            <w:r>
              <w:rPr>
                <w:sz w:val="30"/>
                <w:szCs w:val="30"/>
              </w:rPr>
              <w:t xml:space="preserve">  加强对外来物种入侵的控制，禁止在生物多样性保护功能区引进外来物种；实施国家生物多样性保护重大工程，以生物多样性重要功能区为基础，完善自然保护区体系与保护区群的建设。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11" w:hRule="atLeast"/>
          <w:jc w:val="center"/>
        </w:trPr>
        <w:tc>
          <w:tcPr>
            <w:tcW w:w="818" w:type="dxa"/>
            <w:tcBorders>
              <w:left w:val="single" w:color="auto" w:sz="4" w:space="0"/>
              <w:right w:val="single" w:color="auto" w:sz="4" w:space="0"/>
            </w:tcBorders>
            <w:noWrap w:val="0"/>
            <w:vAlign w:val="center"/>
          </w:tcPr>
          <w:p>
            <w:pPr>
              <w:adjustRightInd w:val="0"/>
              <w:snapToGrid w:val="0"/>
              <w:jc w:val="center"/>
              <w:rPr>
                <w:kern w:val="0"/>
                <w:sz w:val="30"/>
                <w:szCs w:val="30"/>
                <w:lang w:bidi="en-US"/>
              </w:rPr>
            </w:pPr>
            <w:r>
              <w:rPr>
                <w:kern w:val="0"/>
                <w:sz w:val="30"/>
                <w:szCs w:val="30"/>
                <w:lang w:bidi="en-US"/>
              </w:rPr>
              <w:t>污染物排放管控</w:t>
            </w:r>
          </w:p>
        </w:tc>
        <w:tc>
          <w:tcPr>
            <w:tcW w:w="8016" w:type="dxa"/>
            <w:tcBorders>
              <w:top w:val="single" w:color="auto" w:sz="4" w:space="0"/>
              <w:left w:val="single" w:color="auto" w:sz="4" w:space="0"/>
              <w:right w:val="single" w:color="auto" w:sz="4" w:space="0"/>
            </w:tcBorders>
            <w:noWrap w:val="0"/>
            <w:vAlign w:val="center"/>
          </w:tcPr>
          <w:p>
            <w:pPr>
              <w:widowControl/>
              <w:adjustRightInd w:val="0"/>
              <w:snapToGrid w:val="0"/>
              <w:ind w:firstLine="600" w:firstLineChars="200"/>
              <w:rPr>
                <w:bCs/>
                <w:color w:val="000000"/>
                <w:sz w:val="30"/>
                <w:szCs w:val="30"/>
              </w:rPr>
            </w:pPr>
            <w:r>
              <w:rPr>
                <w:rFonts w:eastAsia="方正黑体_GBK"/>
                <w:bCs/>
                <w:color w:val="000000"/>
                <w:sz w:val="30"/>
                <w:szCs w:val="30"/>
              </w:rPr>
              <w:t>第五条</w:t>
            </w:r>
            <w:r>
              <w:rPr>
                <w:bCs/>
                <w:color w:val="000000"/>
                <w:sz w:val="30"/>
                <w:szCs w:val="30"/>
              </w:rPr>
              <w:t xml:space="preserve">  完成城</w:t>
            </w:r>
            <w:r>
              <w:rPr>
                <w:rFonts w:hint="eastAsia"/>
                <w:bCs/>
                <w:color w:val="000000"/>
                <w:sz w:val="30"/>
                <w:szCs w:val="30"/>
              </w:rPr>
              <w:t>镇</w:t>
            </w:r>
            <w:r>
              <w:rPr>
                <w:bCs/>
                <w:color w:val="000000"/>
                <w:sz w:val="30"/>
                <w:szCs w:val="30"/>
              </w:rPr>
              <w:t>污水处理设施建设与改造，加快完成城市及乡镇污水处理厂的提标改造工作，加强乡镇污水处理设施技术改造及运行管理，完善城乡管网配套建设和运行维护，进一步提高污泥无害化处置能力。</w:t>
            </w:r>
          </w:p>
          <w:p>
            <w:pPr>
              <w:widowControl/>
              <w:adjustRightInd w:val="0"/>
              <w:snapToGrid w:val="0"/>
              <w:ind w:firstLine="600" w:firstLineChars="200"/>
              <w:rPr>
                <w:bCs/>
                <w:color w:val="000000"/>
                <w:sz w:val="30"/>
                <w:szCs w:val="30"/>
              </w:rPr>
            </w:pPr>
            <w:r>
              <w:rPr>
                <w:rFonts w:eastAsia="方正黑体_GBK"/>
                <w:bCs/>
                <w:color w:val="000000"/>
                <w:sz w:val="30"/>
                <w:szCs w:val="30"/>
              </w:rPr>
              <w:t>第六条</w:t>
            </w:r>
            <w:r>
              <w:rPr>
                <w:bCs/>
                <w:color w:val="000000"/>
                <w:sz w:val="30"/>
                <w:szCs w:val="30"/>
              </w:rPr>
              <w:t xml:space="preserve">  严格城镇生活污染源的排放要求，三塘盖、濯水古镇、水市乡、正阳山等度假小镇应做好污水排放管道、污水处理设施的建设工作及生态保护工作，减少对自然景观产生的影响。</w:t>
            </w:r>
          </w:p>
          <w:p>
            <w:pPr>
              <w:widowControl/>
              <w:adjustRightInd w:val="0"/>
              <w:snapToGrid w:val="0"/>
              <w:ind w:firstLine="600" w:firstLineChars="200"/>
              <w:rPr>
                <w:sz w:val="30"/>
                <w:szCs w:val="30"/>
                <w:lang w:bidi="en-US"/>
              </w:rPr>
            </w:pPr>
            <w:r>
              <w:rPr>
                <w:rFonts w:eastAsia="方正黑体_GBK"/>
                <w:bCs/>
                <w:color w:val="000000"/>
                <w:sz w:val="30"/>
                <w:szCs w:val="30"/>
              </w:rPr>
              <w:t>第</w:t>
            </w:r>
            <w:r>
              <w:rPr>
                <w:rFonts w:hint="eastAsia" w:eastAsia="方正黑体_GBK"/>
                <w:bCs/>
                <w:color w:val="000000"/>
                <w:sz w:val="30"/>
                <w:szCs w:val="30"/>
              </w:rPr>
              <w:t>七</w:t>
            </w:r>
            <w:r>
              <w:rPr>
                <w:rFonts w:eastAsia="方正黑体_GBK"/>
                <w:bCs/>
                <w:color w:val="000000"/>
                <w:sz w:val="30"/>
                <w:szCs w:val="30"/>
              </w:rPr>
              <w:t>条</w:t>
            </w:r>
            <w:r>
              <w:rPr>
                <w:bCs/>
                <w:color w:val="000000"/>
                <w:sz w:val="30"/>
                <w:szCs w:val="30"/>
              </w:rPr>
              <w:t xml:space="preserve">  </w:t>
            </w:r>
            <w:r>
              <w:rPr>
                <w:bCs/>
                <w:sz w:val="30"/>
                <w:szCs w:val="30"/>
              </w:rPr>
              <w:t>加强排水设施维护，定期开展排查，对发生病害的管网及时修补更换，对雨污水错接的管网进行改造，及时修补更换有问题的污水处理设施，确保污水处理设施正常运行。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2" w:hRule="atLeast"/>
          <w:jc w:val="center"/>
        </w:trPr>
        <w:tc>
          <w:tcPr>
            <w:tcW w:w="818" w:type="dxa"/>
            <w:tcBorders>
              <w:left w:val="single" w:color="auto" w:sz="4" w:space="0"/>
              <w:right w:val="single" w:color="auto" w:sz="4" w:space="0"/>
            </w:tcBorders>
            <w:noWrap w:val="0"/>
            <w:vAlign w:val="center"/>
          </w:tcPr>
          <w:p>
            <w:pPr>
              <w:adjustRightInd w:val="0"/>
              <w:snapToGrid w:val="0"/>
              <w:jc w:val="center"/>
              <w:rPr>
                <w:kern w:val="0"/>
                <w:sz w:val="30"/>
                <w:szCs w:val="30"/>
                <w:lang w:bidi="en-US"/>
              </w:rPr>
            </w:pPr>
            <w:r>
              <w:rPr>
                <w:kern w:val="0"/>
                <w:sz w:val="30"/>
                <w:szCs w:val="30"/>
                <w:lang w:bidi="en-US"/>
              </w:rPr>
              <w:t>环境风险防控</w:t>
            </w:r>
          </w:p>
        </w:tc>
        <w:tc>
          <w:tcPr>
            <w:tcW w:w="8016" w:type="dxa"/>
            <w:tcBorders>
              <w:top w:val="single" w:color="auto" w:sz="4" w:space="0"/>
              <w:left w:val="single" w:color="auto" w:sz="4" w:space="0"/>
              <w:right w:val="single" w:color="auto" w:sz="4" w:space="0"/>
            </w:tcBorders>
            <w:noWrap w:val="0"/>
            <w:vAlign w:val="center"/>
          </w:tcPr>
          <w:p>
            <w:pPr>
              <w:widowControl/>
              <w:adjustRightInd w:val="0"/>
              <w:snapToGrid w:val="0"/>
              <w:ind w:firstLine="600" w:firstLineChars="200"/>
              <w:rPr>
                <w:bCs/>
                <w:color w:val="000000"/>
                <w:sz w:val="30"/>
                <w:szCs w:val="30"/>
              </w:rPr>
            </w:pPr>
            <w:r>
              <w:rPr>
                <w:rFonts w:eastAsia="方正黑体_GBK"/>
                <w:bCs/>
                <w:color w:val="000000"/>
                <w:sz w:val="30"/>
                <w:szCs w:val="30"/>
              </w:rPr>
              <w:t>第</w:t>
            </w:r>
            <w:r>
              <w:rPr>
                <w:rFonts w:hint="eastAsia" w:eastAsia="方正黑体_GBK"/>
                <w:bCs/>
                <w:color w:val="000000"/>
                <w:sz w:val="30"/>
                <w:szCs w:val="30"/>
              </w:rPr>
              <w:t>八</w:t>
            </w:r>
            <w:r>
              <w:rPr>
                <w:rFonts w:eastAsia="方正黑体_GBK"/>
                <w:bCs/>
                <w:color w:val="000000"/>
                <w:sz w:val="30"/>
                <w:szCs w:val="30"/>
              </w:rPr>
              <w:t>条</w:t>
            </w:r>
            <w:r>
              <w:rPr>
                <w:bCs/>
                <w:color w:val="000000"/>
                <w:sz w:val="30"/>
                <w:szCs w:val="30"/>
              </w:rPr>
              <w:t xml:space="preserve">  定期维护市政工程中涉及大量污染物的工程，市政工程建设过程中做好防污工作；园区内企业严格按照国家、市级、地区及园区的要求完善环境污染风险防范措施，并定期维护，建立运维记录。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96" w:hRule="atLeast"/>
          <w:jc w:val="center"/>
        </w:trPr>
        <w:tc>
          <w:tcPr>
            <w:tcW w:w="818" w:type="dxa"/>
            <w:tcBorders>
              <w:left w:val="single" w:color="auto" w:sz="4" w:space="0"/>
              <w:right w:val="single" w:color="auto" w:sz="4" w:space="0"/>
            </w:tcBorders>
            <w:noWrap w:val="0"/>
            <w:vAlign w:val="center"/>
          </w:tcPr>
          <w:p>
            <w:pPr>
              <w:adjustRightInd w:val="0"/>
              <w:snapToGrid w:val="0"/>
              <w:jc w:val="center"/>
              <w:rPr>
                <w:kern w:val="0"/>
                <w:sz w:val="30"/>
                <w:szCs w:val="30"/>
                <w:lang w:bidi="en-US"/>
              </w:rPr>
            </w:pPr>
            <w:r>
              <w:rPr>
                <w:kern w:val="0"/>
                <w:sz w:val="30"/>
                <w:szCs w:val="30"/>
                <w:lang w:bidi="en-US"/>
              </w:rPr>
              <w:t>资源利用效率</w:t>
            </w:r>
          </w:p>
        </w:tc>
        <w:tc>
          <w:tcPr>
            <w:tcW w:w="8016" w:type="dxa"/>
            <w:tcBorders>
              <w:top w:val="single" w:color="auto" w:sz="4" w:space="0"/>
              <w:left w:val="single" w:color="auto" w:sz="4" w:space="0"/>
              <w:right w:val="single" w:color="auto" w:sz="4" w:space="0"/>
            </w:tcBorders>
            <w:noWrap w:val="0"/>
            <w:vAlign w:val="center"/>
          </w:tcPr>
          <w:p>
            <w:pPr>
              <w:widowControl/>
              <w:adjustRightInd w:val="0"/>
              <w:snapToGrid w:val="0"/>
              <w:ind w:firstLine="600" w:firstLineChars="200"/>
              <w:rPr>
                <w:bCs/>
                <w:color w:val="000000"/>
                <w:sz w:val="30"/>
                <w:szCs w:val="30"/>
              </w:rPr>
            </w:pPr>
            <w:r>
              <w:rPr>
                <w:rFonts w:eastAsia="方正黑体_GBK"/>
                <w:bCs/>
                <w:color w:val="000000"/>
                <w:sz w:val="30"/>
                <w:szCs w:val="30"/>
              </w:rPr>
              <w:t>第</w:t>
            </w:r>
            <w:r>
              <w:rPr>
                <w:rFonts w:hint="eastAsia" w:eastAsia="方正黑体_GBK"/>
                <w:bCs/>
                <w:color w:val="000000"/>
                <w:sz w:val="30"/>
                <w:szCs w:val="30"/>
              </w:rPr>
              <w:t>九</w:t>
            </w:r>
            <w:r>
              <w:rPr>
                <w:rFonts w:eastAsia="方正黑体_GBK"/>
                <w:bCs/>
                <w:color w:val="000000"/>
                <w:sz w:val="30"/>
                <w:szCs w:val="30"/>
              </w:rPr>
              <w:t>条</w:t>
            </w:r>
            <w:r>
              <w:rPr>
                <w:bCs/>
                <w:color w:val="000000"/>
                <w:sz w:val="30"/>
                <w:szCs w:val="30"/>
              </w:rPr>
              <w:t xml:space="preserve">  阿蓬江流域采取闸坝联合调度、生态补水等措施，合理安排闸坝下泄水量和泄流时段，维持河湖基本生态用水需求，重点保障枯水期生态基流；按重庆市长江经济带小水电清理整顿工作等相关要求，对不符合要求的小水电进行清理、整顿。</w:t>
            </w:r>
          </w:p>
          <w:p>
            <w:pPr>
              <w:widowControl/>
              <w:adjustRightInd w:val="0"/>
              <w:snapToGrid w:val="0"/>
              <w:ind w:firstLine="600" w:firstLineChars="200"/>
              <w:rPr>
                <w:bCs/>
                <w:color w:val="000000"/>
                <w:sz w:val="30"/>
                <w:szCs w:val="30"/>
              </w:rPr>
            </w:pPr>
            <w:r>
              <w:rPr>
                <w:rFonts w:eastAsia="方正黑体_GBK"/>
                <w:bCs/>
                <w:color w:val="000000"/>
                <w:sz w:val="30"/>
                <w:szCs w:val="30"/>
              </w:rPr>
              <w:t>第十条</w:t>
            </w:r>
            <w:r>
              <w:rPr>
                <w:bCs/>
                <w:color w:val="000000"/>
                <w:sz w:val="30"/>
                <w:szCs w:val="30"/>
              </w:rPr>
              <w:t xml:space="preserve"> 禁止乱砍滥伐、滥垦滥耕，禁止烧秸秆等落后耕种方式，防止石漠化问题加剧。</w:t>
            </w:r>
          </w:p>
          <w:p>
            <w:pPr>
              <w:widowControl/>
              <w:adjustRightInd w:val="0"/>
              <w:snapToGrid w:val="0"/>
              <w:ind w:firstLine="600" w:firstLineChars="200"/>
              <w:rPr>
                <w:bCs/>
                <w:color w:val="000000"/>
                <w:sz w:val="30"/>
                <w:szCs w:val="30"/>
              </w:rPr>
            </w:pPr>
            <w:r>
              <w:rPr>
                <w:rFonts w:eastAsia="方正黑体_GBK"/>
                <w:bCs/>
                <w:color w:val="000000"/>
                <w:sz w:val="30"/>
                <w:szCs w:val="30"/>
              </w:rPr>
              <w:t>第十</w:t>
            </w:r>
            <w:r>
              <w:rPr>
                <w:rFonts w:hint="eastAsia" w:eastAsia="方正黑体_GBK"/>
                <w:bCs/>
                <w:color w:val="000000"/>
                <w:sz w:val="30"/>
                <w:szCs w:val="30"/>
              </w:rPr>
              <w:t>一</w:t>
            </w:r>
            <w:r>
              <w:rPr>
                <w:rFonts w:eastAsia="方正黑体_GBK"/>
                <w:bCs/>
                <w:color w:val="000000"/>
                <w:sz w:val="30"/>
                <w:szCs w:val="30"/>
              </w:rPr>
              <w:t>条</w:t>
            </w:r>
            <w:r>
              <w:rPr>
                <w:bCs/>
                <w:color w:val="000000"/>
                <w:sz w:val="30"/>
                <w:szCs w:val="30"/>
              </w:rPr>
              <w:t xml:space="preserve"> 禁止新建、改建、扩建任何燃用高污染燃料的项目和设备；已建成使用高污染燃料的各类设备应当拆除或者改用天然气、液化石油气、电等清洁能源；在不具备使用清洁能源条件的区域，可使用配备专用锅炉和除尘装置的生物质成型燃料；限制：高能耗、高污染企业，不符合国家相关产业政策、达不到规模经济的项目进入园区。</w:t>
            </w:r>
          </w:p>
        </w:tc>
      </w:tr>
    </w:tbl>
    <w:p>
      <w:pPr>
        <w:adjustRightInd w:val="0"/>
        <w:snapToGrid w:val="0"/>
        <w:spacing w:before="360" w:beforeLines="150" w:after="480" w:afterLines="200" w:line="340" w:lineRule="exact"/>
        <w:ind w:firstLine="420"/>
        <w:textAlignment w:val="baseline"/>
        <w:rPr>
          <w:sz w:val="30"/>
          <w:szCs w:val="30"/>
        </w:rPr>
        <w:sectPr>
          <w:pgSz w:w="11906" w:h="16838"/>
          <w:pgMar w:top="2098" w:right="1474" w:bottom="1985" w:left="1588" w:header="851" w:footer="1474" w:gutter="0"/>
          <w:cols w:space="720" w:num="1"/>
          <w:docGrid w:linePitch="579" w:charSpace="-1024"/>
        </w:sectPr>
      </w:pPr>
    </w:p>
    <w:p>
      <w:pPr>
        <w:snapToGrid w:val="0"/>
        <w:spacing w:line="560" w:lineRule="exact"/>
        <w:rPr>
          <w:rFonts w:hint="eastAsia" w:eastAsia="方正黑体_GBK"/>
          <w:szCs w:val="32"/>
        </w:rPr>
      </w:pPr>
      <w:r>
        <w:rPr>
          <w:rFonts w:eastAsia="方正黑体_GBK"/>
          <w:szCs w:val="32"/>
        </w:rPr>
        <w:t>附件3</w:t>
      </w:r>
    </w:p>
    <w:p>
      <w:pPr>
        <w:snapToGrid w:val="0"/>
        <w:rPr>
          <w:rFonts w:eastAsia="方正黑体_GBK"/>
          <w:szCs w:val="32"/>
        </w:rPr>
      </w:pPr>
      <w:r>
        <w:rPr>
          <w:rFonts w:eastAsia="方正黑体_GBK"/>
          <w:szCs w:val="32"/>
        </w:rPr>
        <w:drawing>
          <wp:inline distT="0" distB="0" distL="114300" distR="114300">
            <wp:extent cx="8460740" cy="4695825"/>
            <wp:effectExtent l="0" t="0" r="16510" b="9525"/>
            <wp:docPr id="1" name="图片 1" descr="9CE7NA{QL9AI(]AQ@OCJBV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9CE7NA{QL9AI(]AQ@OCJBV2"/>
                    <pic:cNvPicPr>
                      <a:picLocks noChangeAspect="true"/>
                    </pic:cNvPicPr>
                  </pic:nvPicPr>
                  <pic:blipFill>
                    <a:blip r:embed="rId8"/>
                    <a:stretch>
                      <a:fillRect/>
                    </a:stretch>
                  </pic:blipFill>
                  <pic:spPr>
                    <a:xfrm>
                      <a:off x="0" y="0"/>
                      <a:ext cx="8460740" cy="4695825"/>
                    </a:xfrm>
                    <a:prstGeom prst="rect">
                      <a:avLst/>
                    </a:prstGeom>
                    <a:noFill/>
                    <a:ln>
                      <a:noFill/>
                    </a:ln>
                  </pic:spPr>
                </pic:pic>
              </a:graphicData>
            </a:graphic>
          </wp:inline>
        </w:drawing>
      </w:r>
    </w:p>
    <w:p>
      <w:pPr>
        <w:adjustRightInd w:val="0"/>
        <w:ind w:firstLine="420"/>
        <w:jc w:val="center"/>
        <w:textAlignment w:val="baseline"/>
        <w:rPr>
          <w:rFonts w:eastAsia="黑体"/>
          <w:sz w:val="36"/>
          <w:szCs w:val="32"/>
        </w:rPr>
      </w:pPr>
    </w:p>
    <w:p>
      <w:pPr>
        <w:adjustRightInd w:val="0"/>
        <w:snapToGrid w:val="0"/>
        <w:spacing w:before="360" w:beforeLines="150" w:after="480" w:afterLines="200" w:line="560" w:lineRule="exact"/>
        <w:ind w:firstLine="420"/>
        <w:textAlignment w:val="baseline"/>
        <w:rPr>
          <w:rFonts w:eastAsia="黑体"/>
          <w:sz w:val="36"/>
          <w:szCs w:val="32"/>
        </w:rPr>
        <w:sectPr>
          <w:pgSz w:w="16838" w:h="11906" w:orient="landscape"/>
          <w:pgMar w:top="1588" w:right="2098" w:bottom="1474" w:left="1985" w:header="851" w:footer="1474" w:gutter="0"/>
          <w:cols w:space="720" w:num="1"/>
          <w:docGrid w:linePitch="579" w:charSpace="-1024"/>
        </w:sect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before="471" w:beforeLines="150" w:after="628" w:afterLines="200" w:line="56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adjustRightInd w:val="0"/>
        <w:snapToGrid w:val="0"/>
        <w:spacing w:line="100" w:lineRule="exact"/>
        <w:ind w:firstLine="420"/>
        <w:textAlignment w:val="baseline"/>
        <w:rPr>
          <w:rFonts w:eastAsia="黑体"/>
          <w:sz w:val="36"/>
          <w:szCs w:val="32"/>
        </w:rPr>
      </w:pPr>
    </w:p>
    <w:p>
      <w:pPr>
        <w:tabs>
          <w:tab w:val="left" w:pos="7560"/>
        </w:tabs>
        <w:snapToGrid w:val="0"/>
        <w:spacing w:line="560" w:lineRule="exact"/>
        <w:ind w:firstLine="360" w:firstLineChars="100"/>
      </w:pPr>
      <w:r>
        <w:rPr>
          <w:sz w:val="36"/>
          <w:szCs w:val="32"/>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397510</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5600700" cy="635"/>
                        </a:xfrm>
                        <a:prstGeom prst="line">
                          <a:avLst/>
                        </a:prstGeom>
                        <a:noFill/>
                        <a:ln w="4445">
                          <a:solidFill>
                            <a:srgbClr val="000000"/>
                          </a:solidFill>
                          <a:round/>
                        </a:ln>
                        <a:effectLst/>
                      </wps:spPr>
                      <wps:bodyPr/>
                    </wps:wsp>
                  </a:graphicData>
                </a:graphic>
              </wp:anchor>
            </w:drawing>
          </mc:Choice>
          <mc:Fallback>
            <w:pict>
              <v:line id="_x0000_s1026" o:spid="_x0000_s1026" o:spt="20" style="position:absolute;left:0pt;margin-left:-0.7pt;margin-top:31.3pt;height:0.05pt;width:441pt;z-index:251658240;mso-width-relative:page;mso-height-relative:page;" filled="f" stroked="t" coordsize="21600,21600" o:gfxdata="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OERHYTY&#10;AAAACAEAAA8AAAAAAAAAAQAgAAAAOAAAAGRycy9kb3ducmV2LnhtbFBLAQIUABQAAAAIAIdO4kCF&#10;IUB30QEAAG8DAAAOAAAAAAAAAAEAIAAAAD0BAABkcnMvZTJvRG9jLnhtbFBLBQYAAAAABgAGAFkB&#10;AACABQAAAAA=&#10;">
                <v:fill on="f" focussize="0,0"/>
                <v:stroke weight="0.3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41910</wp:posOffset>
                </wp:positionV>
                <wp:extent cx="5600700" cy="635"/>
                <wp:effectExtent l="0" t="0" r="0" b="0"/>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5600700" cy="635"/>
                        </a:xfrm>
                        <a:prstGeom prst="line">
                          <a:avLst/>
                        </a:prstGeom>
                        <a:noFill/>
                        <a:ln w="3175">
                          <a:solidFill>
                            <a:srgbClr val="000000"/>
                          </a:solidFill>
                          <a:round/>
                        </a:ln>
                        <a:effectLst/>
                      </wps:spPr>
                      <wps:bodyPr/>
                    </wps:wsp>
                  </a:graphicData>
                </a:graphic>
              </wp:anchor>
            </w:drawing>
          </mc:Choice>
          <mc:Fallback>
            <w:pict>
              <v:line id="_x0000_s1026" o:spid="_x0000_s1026" o:spt="20" style="position:absolute;left:0pt;margin-left:0pt;margin-top:3.3pt;height:0.05pt;width:441pt;z-index:251659264;mso-width-relative:page;mso-height-relative:page;" filled="f" stroked="t" coordsize="21600,21600" o:gfxdata="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3Q37z0wAAAAQB&#10;AAAPAAAAAAAAAAEAIAAAADgAAABkcnMvZG93bnJldi54bWxQSwECFAAUAAAACACHTuJAOKijqtEB&#10;AABvAwAADgAAAAAAAAABACAAAAA4AQAAZHJzL2Uyb0RvYy54bWxQSwUGAAAAAAYABgBZAQAAewUA&#10;AAAA&#10;">
                <v:fill on="f" focussize="0,0"/>
                <v:stroke weight="0.25pt" color="#000000" joinstyle="round"/>
                <v:imagedata o:title=""/>
                <o:lock v:ext="edit" aspectratio="f"/>
              </v:line>
            </w:pict>
          </mc:Fallback>
        </mc:AlternateContent>
      </w:r>
      <w:r>
        <w:rPr>
          <w:color w:val="000000"/>
          <w:sz w:val="28"/>
          <w:szCs w:val="28"/>
        </w:rPr>
        <w:t>重庆市黔江区人民政府办公室</w:t>
      </w:r>
      <w:r>
        <w:rPr>
          <w:sz w:val="28"/>
          <w:szCs w:val="28"/>
        </w:rPr>
        <w:t xml:space="preserve">           </w:t>
      </w:r>
      <w:r>
        <w:rPr>
          <w:rFonts w:hint="eastAsia"/>
          <w:sz w:val="28"/>
          <w:szCs w:val="28"/>
          <w:lang w:val="en-US" w:eastAsia="zh-CN"/>
        </w:rPr>
        <w:t xml:space="preserve"> </w:t>
      </w:r>
      <w:r>
        <w:rPr>
          <w:sz w:val="28"/>
          <w:szCs w:val="28"/>
        </w:rPr>
        <w:t>2020年10月</w:t>
      </w:r>
      <w:r>
        <w:rPr>
          <w:rFonts w:hint="eastAsia"/>
          <w:sz w:val="28"/>
          <w:szCs w:val="28"/>
          <w:lang w:val="en-US" w:eastAsia="zh-CN"/>
        </w:rPr>
        <w:t>27</w:t>
      </w:r>
      <w:r>
        <w:rPr>
          <w:sz w:val="28"/>
          <w:szCs w:val="28"/>
        </w:rPr>
        <w:t>日印发</w:t>
      </w:r>
    </w:p>
    <w:sectPr>
      <w:footerReference r:id="rId5" w:type="default"/>
      <w:footerReference r:id="rId6" w:type="even"/>
      <w:pgSz w:w="11906" w:h="16838"/>
      <w:pgMar w:top="2098" w:right="1531" w:bottom="1985" w:left="1531" w:header="851" w:footer="1474" w:gutter="0"/>
      <w:cols w:space="720" w:num="1"/>
      <w:docGrid w:type="linesAndChar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ourier New">
    <w:altName w:val="DejaVu Sans"/>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80" w:firstLine="360"/>
      <w:jc w:val="right"/>
      <w:rPr>
        <w:rFonts w:ascii="宋体" w:hAnsi="宋体"/>
        <w:sz w:val="28"/>
      </w:rPr>
    </w:pPr>
    <w:r>
      <w:rPr>
        <w:rFonts w:hint="eastAsia" w:ascii="仿宋_GB2312"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lang/>
      </w:rPr>
      <w:t>9</w:t>
    </w:r>
    <w:r>
      <w:rPr>
        <w:rFonts w:ascii="宋体" w:hAnsi="宋体"/>
        <w:kern w:val="0"/>
        <w:sz w:val="28"/>
        <w:szCs w:val="21"/>
      </w:rPr>
      <w:fldChar w:fldCharType="end"/>
    </w:r>
    <w:r>
      <w:rPr>
        <w:rFonts w:ascii="宋体" w:hAnsi="宋体"/>
        <w:kern w:val="0"/>
        <w:sz w:val="28"/>
        <w:szCs w:val="21"/>
      </w:rPr>
      <w:t xml:space="preserve"> </w:t>
    </w:r>
    <w:r>
      <w:rPr>
        <w:rFonts w:hint="eastAsia" w:ascii="仿宋_GB2312"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宋体" w:hAnsi="宋体"/>
        <w:sz w:val="28"/>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lang/>
      </w:rPr>
      <w:t>10</w:t>
    </w:r>
    <w:r>
      <w:rPr>
        <w:rFonts w:ascii="宋体" w:hAnsi="宋体"/>
        <w:kern w:val="0"/>
        <w:sz w:val="28"/>
        <w:szCs w:val="21"/>
      </w:rPr>
      <w:fldChar w:fldCharType="end"/>
    </w:r>
    <w:r>
      <w:rPr>
        <w:rFonts w:ascii="宋体" w:hAnsi="宋体"/>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true"/>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0F13"/>
    <w:rsid w:val="0002225C"/>
    <w:rsid w:val="0002331B"/>
    <w:rsid w:val="0002417D"/>
    <w:rsid w:val="00024B01"/>
    <w:rsid w:val="00024FC8"/>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778B"/>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B90"/>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346A4"/>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58B7"/>
    <w:rsid w:val="00166911"/>
    <w:rsid w:val="00166EAB"/>
    <w:rsid w:val="00170182"/>
    <w:rsid w:val="00171FC6"/>
    <w:rsid w:val="00175C23"/>
    <w:rsid w:val="0017677B"/>
    <w:rsid w:val="00180B55"/>
    <w:rsid w:val="00181320"/>
    <w:rsid w:val="00182365"/>
    <w:rsid w:val="00190910"/>
    <w:rsid w:val="00190B5C"/>
    <w:rsid w:val="00192BD7"/>
    <w:rsid w:val="0019633C"/>
    <w:rsid w:val="0019739A"/>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2CF3"/>
    <w:rsid w:val="001D328C"/>
    <w:rsid w:val="001D6275"/>
    <w:rsid w:val="001D735E"/>
    <w:rsid w:val="001D75CD"/>
    <w:rsid w:val="001D7777"/>
    <w:rsid w:val="001E14DC"/>
    <w:rsid w:val="001E1567"/>
    <w:rsid w:val="001E3E01"/>
    <w:rsid w:val="001E5DD4"/>
    <w:rsid w:val="001E6849"/>
    <w:rsid w:val="001E7EA3"/>
    <w:rsid w:val="001F345D"/>
    <w:rsid w:val="001F4FEF"/>
    <w:rsid w:val="001F5290"/>
    <w:rsid w:val="001F5A35"/>
    <w:rsid w:val="001F6064"/>
    <w:rsid w:val="001F6855"/>
    <w:rsid w:val="001F6DA4"/>
    <w:rsid w:val="001F76DB"/>
    <w:rsid w:val="00200EFD"/>
    <w:rsid w:val="002010BC"/>
    <w:rsid w:val="0020136C"/>
    <w:rsid w:val="002016EA"/>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6851"/>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2A6D"/>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0A8"/>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1EE5"/>
    <w:rsid w:val="0070368B"/>
    <w:rsid w:val="007069BB"/>
    <w:rsid w:val="00711FF0"/>
    <w:rsid w:val="00712141"/>
    <w:rsid w:val="007144F4"/>
    <w:rsid w:val="007164B9"/>
    <w:rsid w:val="007164FB"/>
    <w:rsid w:val="00716E3A"/>
    <w:rsid w:val="00721D23"/>
    <w:rsid w:val="00721FD5"/>
    <w:rsid w:val="0072376D"/>
    <w:rsid w:val="00724B34"/>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3753"/>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370F"/>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6A8"/>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AF70CB"/>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5A87"/>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38DC"/>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02F6"/>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6ACA"/>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57599"/>
    <w:rsid w:val="00E60B2E"/>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522C"/>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0B2"/>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8DF"/>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87DBE"/>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634366"/>
    <w:rsid w:val="1286457F"/>
    <w:rsid w:val="2619096E"/>
    <w:rsid w:val="3F760C65"/>
    <w:rsid w:val="4E6E2730"/>
    <w:rsid w:val="522B36E6"/>
    <w:rsid w:val="63231A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Plain Text"/>
    <w:basedOn w:val="1"/>
    <w:qFormat/>
    <w:uiPriority w:val="0"/>
    <w:rPr>
      <w:rFonts w:ascii="宋体" w:hAnsi="Courier New"/>
      <w:szCs w:val="22"/>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618</Words>
  <Characters>3528</Characters>
  <Lines>29</Lines>
  <Paragraphs>8</Paragraphs>
  <TotalTime>9</TotalTime>
  <ScaleCrop>false</ScaleCrop>
  <LinksUpToDate>false</LinksUpToDate>
  <CharactersWithSpaces>4138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2020-10-26T16:09:00Z</dcterms:created>
  <dc:creator>Lenovo User</dc:creator>
  <cp:lastModifiedBy> </cp:lastModifiedBy>
  <cp:lastPrinted>2020-10-26T20:20:45Z</cp:lastPrinted>
  <dcterms:modified xsi:type="dcterms:W3CDTF">2023-12-27T14:38:54Z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