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792"/>
        </w:tabs>
        <w:ind w:right="320" w:rightChars="100"/>
        <w:jc w:val="center"/>
        <w:rPr>
          <w:rFonts w:ascii="方正小标宋_GBK" w:eastAsia="方正小标宋_GBK"/>
          <w:b/>
          <w:w w:val="53"/>
          <w:sz w:val="28"/>
        </w:rPr>
      </w:pPr>
      <w:r>
        <w:rPr>
          <w:rFonts w:hint="eastAsia" w:ascii="方正仿宋_GBK"/>
        </w:rPr>
        <w:t xml:space="preserve"> </w:t>
      </w:r>
      <w:r>
        <w:rPr>
          <w:rFonts w:hint="eastAsia" w:ascii="方正小标宋_GBK" w:eastAsia="方正小标宋_GBK"/>
          <w:b/>
          <w:bCs/>
          <w:color w:val="FF0000"/>
          <w:w w:val="53"/>
          <w:sz w:val="90"/>
          <w:szCs w:val="100"/>
        </w:rPr>
        <w:t>重庆市黔江区人民政府办公室电子公文</w:t>
      </w:r>
    </w:p>
    <w:p>
      <w:pPr>
        <w:ind w:right="640" w:firstLine="320" w:firstLineChars="100"/>
        <w:rPr>
          <w:rFonts w:hint="default" w:ascii="Times New Roman" w:hAnsi="Times New Roman" w:cs="Times New Roman"/>
          <w:lang w:eastAsia="zh-CN"/>
        </w:rPr>
      </w:pPr>
    </w:p>
    <w:p>
      <w:pPr>
        <w:ind w:right="640" w:firstLine="320" w:firstLineChars="100"/>
        <w:rPr>
          <w:rFonts w:hint="default" w:ascii="Times New Roman" w:hAnsi="Times New Roman" w:cs="Times New Roman"/>
          <w:lang w:eastAsia="zh-CN"/>
        </w:rPr>
      </w:pPr>
    </w:p>
    <w:p>
      <w:pPr>
        <w:ind w:right="640" w:firstLine="320" w:firstLineChars="100"/>
        <w:rPr>
          <w:rFonts w:hint="eastAsia" w:ascii="方正仿宋_GBK" w:eastAsia="方正仿宋_GBK"/>
          <w:color w:val="000000"/>
          <w:sz w:val="32"/>
          <w:szCs w:val="32"/>
        </w:rPr>
      </w:pPr>
      <w:bookmarkStart w:id="1" w:name="_GoBack"/>
      <w:bookmarkEnd w:id="1"/>
      <w:r>
        <w:rPr>
          <w:rFonts w:hint="default" w:ascii="Times New Roman" w:hAnsi="Times New Roman" w:cs="Times New Roman"/>
          <w:lang w:eastAsia="zh-CN"/>
        </w:rPr>
        <w:t>黔江府</w:t>
      </w:r>
      <w:r>
        <w:rPr>
          <w:rFonts w:hint="eastAsia" w:ascii="Times New Roman" w:hAnsi="Times New Roman" w:cs="Times New Roman"/>
          <w:lang w:eastAsia="zh-CN"/>
        </w:rPr>
        <w:t>办</w:t>
      </w:r>
      <w:r>
        <w:rPr>
          <w:rFonts w:hint="default" w:ascii="Times New Roman" w:hAnsi="Times New Roman" w:cs="Times New Roman"/>
          <w:lang w:eastAsia="zh-CN"/>
        </w:rPr>
        <w:t>发</w:t>
      </w:r>
      <w:r>
        <w:rPr>
          <w:rFonts w:hint="default" w:ascii="Times New Roman" w:hAnsi="Times New Roman" w:cs="Times New Roman"/>
        </w:rPr>
        <w:t>〔2021〕</w:t>
      </w:r>
      <w:r>
        <w:rPr>
          <w:rFonts w:hint="eastAsia" w:cs="Times New Roman"/>
          <w:lang w:val="en-US" w:eastAsia="zh-CN"/>
        </w:rPr>
        <w:t>92</w:t>
      </w:r>
      <w:r>
        <w:rPr>
          <w:rFonts w:hint="default" w:ascii="Times New Roman" w:hAnsi="Times New Roman" w:cs="Times New Roman"/>
        </w:rPr>
        <w:t>号</w:t>
      </w:r>
      <w:r>
        <w:rPr>
          <w:rFonts w:hint="eastAsia" w:ascii="方正仿宋_GBK" w:eastAsia="方正仿宋_GBK"/>
          <w:color w:val="000000"/>
          <w:sz w:val="32"/>
          <w:szCs w:val="32"/>
        </w:rPr>
        <w:t xml:space="preserve">      </w:t>
      </w:r>
      <w:r>
        <w:rPr>
          <w:rFonts w:hint="eastAsia" w:ascii="方正仿宋_GBK" w:eastAsia="方正仿宋_GBK"/>
          <w:color w:val="000000"/>
          <w:sz w:val="32"/>
          <w:szCs w:val="32"/>
          <w:lang w:val="en-US" w:eastAsia="zh-CN"/>
        </w:rPr>
        <w:t xml:space="preserve">     </w:t>
      </w:r>
      <w:r>
        <w:rPr>
          <w:rFonts w:hint="eastAsia" w:ascii="方正仿宋_GBK" w:eastAsia="方正仿宋_GBK"/>
          <w:color w:val="000000"/>
          <w:sz w:val="32"/>
          <w:szCs w:val="32"/>
        </w:rPr>
        <w:t>电子公文专用章</w:t>
      </w:r>
    </w:p>
    <w:p>
      <w:pPr>
        <w:rPr>
          <w:rFonts w:hint="eastAsia" w:ascii="方正仿宋_GBK" w:eastAsia="方正仿宋_GBK"/>
          <w:sz w:val="32"/>
          <w:szCs w:val="32"/>
        </w:rPr>
      </w:pPr>
      <w:r>
        <w:rPr>
          <w:rFonts w:hint="eastAsia" w:ascii="方正仿宋_GBK" w:eastAsia="方正仿宋_GBK"/>
          <w:color w:val="000000"/>
          <w:sz w:val="32"/>
          <w:szCs w:val="32"/>
        </w:rPr>
        <w:tab/>
      </w:r>
      <w:r>
        <w:rPr>
          <w:rFonts w:hint="eastAsia" w:ascii="方正仿宋_GBK" w:eastAsia="方正仿宋_GBK"/>
          <w:color w:val="000000"/>
          <w:sz w:val="32"/>
          <w:szCs w:val="32"/>
        </w:rPr>
        <w:tab/>
      </w:r>
      <w:r>
        <w:rPr>
          <w:rFonts w:hint="eastAsia" w:ascii="方正仿宋_GBK" w:eastAsia="方正仿宋_GBK"/>
          <w:color w:val="000000"/>
          <w:sz w:val="32"/>
          <w:szCs w:val="32"/>
        </w:rPr>
        <w:tab/>
      </w:r>
      <w:r>
        <w:rPr>
          <w:rFonts w:hint="eastAsia" w:ascii="方正仿宋_GBK" w:eastAsia="方正仿宋_GBK"/>
          <w:color w:val="000000"/>
          <w:sz w:val="32"/>
          <w:szCs w:val="32"/>
        </w:rPr>
        <w:t xml:space="preserve"> </w:t>
      </w:r>
      <w:r>
        <w:rPr>
          <w:rFonts w:hint="eastAsia" w:ascii="方正仿宋_GBK" w:eastAsia="方正仿宋_GBK"/>
          <w:color w:val="000000"/>
          <w:sz w:val="32"/>
          <w:szCs w:val="32"/>
        </w:rPr>
        <w:tab/>
      </w:r>
      <w:r>
        <w:rPr>
          <w:rFonts w:hint="eastAsia" w:ascii="方正仿宋_GBK" w:eastAsia="方正仿宋_GBK"/>
          <w:color w:val="000000"/>
          <w:sz w:val="32"/>
          <w:szCs w:val="32"/>
        </w:rPr>
        <w:tab/>
      </w:r>
      <w:r>
        <w:rPr>
          <w:rFonts w:hint="eastAsia" w:ascii="方正仿宋_GBK" w:eastAsia="方正仿宋_GBK"/>
          <w:color w:val="000000"/>
          <w:sz w:val="32"/>
          <w:szCs w:val="32"/>
        </w:rPr>
        <w:t xml:space="preserve">                     </w:t>
      </w:r>
      <w:r>
        <w:rPr>
          <w:rFonts w:hint="eastAsia" w:ascii="方正仿宋_GBK" w:eastAsia="方正仿宋_GBK"/>
          <w:color w:val="000000"/>
          <w:sz w:val="32"/>
          <w:szCs w:val="32"/>
          <w:lang w:val="en-US" w:eastAsia="zh-CN"/>
        </w:rPr>
        <w:t xml:space="preserve"> </w:t>
      </w:r>
      <w:r>
        <w:rPr>
          <w:rFonts w:hint="eastAsia" w:ascii="方正仿宋_GBK" w:eastAsia="方正仿宋_GBK"/>
          <w:color w:val="000000"/>
          <w:sz w:val="32"/>
          <w:szCs w:val="32"/>
        </w:rPr>
        <w:t xml:space="preserve"> 核收：</w:t>
      </w:r>
    </w:p>
    <w:p>
      <w:pPr>
        <w:pageBreakBefore w:val="0"/>
        <w:kinsoku/>
        <w:wordWrap/>
        <w:overflowPunct/>
        <w:topLinePunct w:val="0"/>
        <w:bidi w:val="0"/>
        <w:spacing w:line="579" w:lineRule="exact"/>
        <w:rPr>
          <w:rFonts w:hint="default" w:ascii="Times New Roman" w:hAnsi="Times New Roman" w:eastAsia="方正仿宋_GBK" w:cs="Times New Roman"/>
          <w:kern w:val="2"/>
          <w:sz w:val="32"/>
          <w:lang w:bidi="ar-SA"/>
        </w:rPr>
      </w:pPr>
    </w:p>
    <w:p>
      <w:pPr>
        <w:pageBreakBefore w:val="0"/>
        <w:kinsoku/>
        <w:wordWrap/>
        <w:overflowPunct/>
        <w:topLinePunct w:val="0"/>
        <w:bidi w:val="0"/>
        <w:spacing w:line="579" w:lineRule="exact"/>
        <w:jc w:val="center"/>
        <w:rPr>
          <w:rFonts w:hint="default" w:ascii="Times New Roman" w:hAnsi="Times New Roman" w:cs="Times New Roman"/>
        </w:rPr>
      </w:pPr>
    </w:p>
    <w:p>
      <w:pPr>
        <w:pageBreakBefore w:val="0"/>
        <w:kinsoku/>
        <w:wordWrap/>
        <w:overflowPunct/>
        <w:topLinePunct w:val="0"/>
        <w:bidi w:val="0"/>
        <w:spacing w:line="579" w:lineRule="exact"/>
        <w:rPr>
          <w:rFonts w:hint="default" w:ascii="Times New Roman" w:hAnsi="Times New Roman" w:cs="Times New Roman"/>
        </w:rPr>
      </w:pPr>
    </w:p>
    <w:p>
      <w:pPr>
        <w:pageBreakBefore w:val="0"/>
        <w:kinsoku/>
        <w:wordWrap/>
        <w:overflowPunct/>
        <w:topLinePunct w:val="0"/>
        <w:bidi w:val="0"/>
        <w:snapToGrid w:val="0"/>
        <w:spacing w:line="579" w:lineRule="exact"/>
        <w:jc w:val="center"/>
        <w:rPr>
          <w:rFonts w:hint="default" w:ascii="Times New Roman" w:hAnsi="Times New Roman" w:eastAsia="方正小标宋_GBK" w:cs="Times New Roman"/>
          <w:sz w:val="44"/>
          <w:szCs w:val="44"/>
        </w:rPr>
      </w:pPr>
    </w:p>
    <w:p>
      <w:pPr>
        <w:pageBreakBefore w:val="0"/>
        <w:kinsoku/>
        <w:wordWrap/>
        <w:overflowPunct/>
        <w:topLinePunct w:val="0"/>
        <w:bidi w:val="0"/>
        <w:snapToGrid w:val="0"/>
        <w:spacing w:line="579" w:lineRule="exact"/>
        <w:jc w:val="center"/>
        <w:rPr>
          <w:rFonts w:hint="default" w:ascii="Times New Roman" w:hAnsi="Times New Roman" w:eastAsia="方正小标宋_GBK" w:cs="Times New Roman"/>
          <w:spacing w:val="0"/>
          <w:sz w:val="44"/>
          <w:szCs w:val="44"/>
          <w:lang w:eastAsia="zh-CN"/>
        </w:rPr>
      </w:pPr>
      <w:r>
        <w:rPr>
          <w:rFonts w:hint="default" w:ascii="Times New Roman" w:hAnsi="Times New Roman" w:eastAsia="方正小标宋_GBK" w:cs="Times New Roman"/>
          <w:spacing w:val="0"/>
          <w:sz w:val="44"/>
          <w:szCs w:val="44"/>
        </w:rPr>
        <w:t>重庆市黔江区</w:t>
      </w:r>
      <w:r>
        <w:rPr>
          <w:rFonts w:hint="default" w:ascii="Times New Roman" w:hAnsi="Times New Roman" w:eastAsia="方正小标宋_GBK" w:cs="Times New Roman"/>
          <w:spacing w:val="0"/>
          <w:sz w:val="44"/>
          <w:szCs w:val="44"/>
          <w:lang w:eastAsia="zh-CN"/>
        </w:rPr>
        <w:t>人民政府</w:t>
      </w:r>
      <w:r>
        <w:rPr>
          <w:rFonts w:hint="eastAsia" w:ascii="Times New Roman" w:hAnsi="Times New Roman" w:eastAsia="方正小标宋_GBK" w:cs="Times New Roman"/>
          <w:spacing w:val="0"/>
          <w:sz w:val="44"/>
          <w:szCs w:val="44"/>
          <w:lang w:eastAsia="zh-CN"/>
        </w:rPr>
        <w:t>办公室</w:t>
      </w:r>
    </w:p>
    <w:p>
      <w:pPr>
        <w:pageBreakBefore w:val="0"/>
        <w:kinsoku/>
        <w:wordWrap/>
        <w:overflowPunct/>
        <w:topLinePunct w:val="0"/>
        <w:bidi w:val="0"/>
        <w:snapToGrid w:val="0"/>
        <w:spacing w:line="579" w:lineRule="exact"/>
        <w:jc w:val="center"/>
        <w:rPr>
          <w:rFonts w:hint="default" w:ascii="Times New Roman" w:hAnsi="Times New Roman" w:eastAsia="方正小标宋_GBK" w:cs="Times New Roman"/>
          <w:spacing w:val="0"/>
          <w:sz w:val="44"/>
          <w:szCs w:val="44"/>
        </w:rPr>
      </w:pPr>
      <w:r>
        <w:rPr>
          <w:rFonts w:hint="default" w:ascii="Times New Roman" w:hAnsi="Times New Roman" w:eastAsia="方正小标宋_GBK" w:cs="Times New Roman"/>
          <w:spacing w:val="0"/>
          <w:sz w:val="44"/>
          <w:szCs w:val="44"/>
        </w:rPr>
        <w:t>关于印发黔江区</w:t>
      </w:r>
      <w:r>
        <w:rPr>
          <w:rFonts w:hint="eastAsia" w:ascii="Times New Roman" w:hAnsi="Times New Roman" w:eastAsia="方正小标宋_GBK" w:cs="Times New Roman"/>
          <w:spacing w:val="0"/>
          <w:sz w:val="44"/>
          <w:szCs w:val="44"/>
          <w:lang w:eastAsia="zh-CN"/>
        </w:rPr>
        <w:t>卫生健康</w:t>
      </w:r>
      <w:r>
        <w:rPr>
          <w:rFonts w:hint="default" w:ascii="Times New Roman" w:hAnsi="Times New Roman" w:eastAsia="方正小标宋_GBK" w:cs="Times New Roman"/>
          <w:spacing w:val="0"/>
          <w:sz w:val="44"/>
          <w:szCs w:val="44"/>
        </w:rPr>
        <w:t>发展“十四五”规划的</w:t>
      </w:r>
    </w:p>
    <w:p>
      <w:pPr>
        <w:pageBreakBefore w:val="0"/>
        <w:kinsoku/>
        <w:wordWrap/>
        <w:overflowPunct/>
        <w:topLinePunct w:val="0"/>
        <w:bidi w:val="0"/>
        <w:snapToGrid w:val="0"/>
        <w:spacing w:line="579" w:lineRule="exact"/>
        <w:jc w:val="center"/>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pacing w:val="0"/>
          <w:sz w:val="44"/>
          <w:szCs w:val="44"/>
          <w:lang w:eastAsia="zh-CN"/>
        </w:rPr>
        <w:t>通</w:t>
      </w:r>
      <w:r>
        <w:rPr>
          <w:rFonts w:hint="eastAsia" w:eastAsia="方正小标宋_GBK" w:cs="Times New Roman"/>
          <w:spacing w:val="0"/>
          <w:sz w:val="44"/>
          <w:szCs w:val="44"/>
          <w:lang w:val="en-US" w:eastAsia="zh-CN"/>
        </w:rPr>
        <w:t xml:space="preserve">  </w:t>
      </w:r>
      <w:r>
        <w:rPr>
          <w:rFonts w:hint="default" w:ascii="Times New Roman" w:hAnsi="Times New Roman" w:eastAsia="方正小标宋_GBK" w:cs="Times New Roman"/>
          <w:spacing w:val="0"/>
          <w:sz w:val="44"/>
          <w:szCs w:val="44"/>
          <w:lang w:eastAsia="zh-CN"/>
        </w:rPr>
        <w:t>知</w:t>
      </w:r>
    </w:p>
    <w:p>
      <w:pPr>
        <w:pageBreakBefore w:val="0"/>
        <w:kinsoku/>
        <w:wordWrap/>
        <w:overflowPunct/>
        <w:topLinePunct w:val="0"/>
        <w:bidi w:val="0"/>
        <w:spacing w:line="579" w:lineRule="exact"/>
        <w:rPr>
          <w:rFonts w:hint="default" w:ascii="Times New Roman" w:hAnsi="Times New Roman" w:cs="Times New Roman"/>
        </w:rPr>
      </w:pPr>
    </w:p>
    <w:p>
      <w:pPr>
        <w:keepNext w:val="0"/>
        <w:keepLines w:val="0"/>
        <w:pageBreakBefore w:val="0"/>
        <w:widowControl w:val="0"/>
        <w:shd w:val="clear" w:color="auto" w:fill="FFFFFF"/>
        <w:kinsoku/>
        <w:wordWrap/>
        <w:overflowPunct/>
        <w:topLinePunct w:val="0"/>
        <w:autoSpaceDE/>
        <w:autoSpaceDN/>
        <w:bidi w:val="0"/>
        <w:adjustRightInd/>
        <w:snapToGrid/>
        <w:spacing w:line="579" w:lineRule="exact"/>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kern w:val="0"/>
          <w:sz w:val="32"/>
          <w:szCs w:val="32"/>
          <w:shd w:val="clear" w:color="auto" w:fill="FFFFFF"/>
          <w:lang w:bidi="ar"/>
        </w:rPr>
        <w:t>各乡</w:t>
      </w:r>
      <w:r>
        <w:rPr>
          <w:rFonts w:hint="default" w:ascii="Times New Roman" w:hAnsi="Times New Roman" w:cs="Times New Roman"/>
          <w:color w:val="000000"/>
          <w:kern w:val="0"/>
          <w:sz w:val="32"/>
          <w:szCs w:val="32"/>
          <w:shd w:val="clear" w:color="auto" w:fill="FFFFFF"/>
          <w:lang w:eastAsia="zh-CN" w:bidi="ar"/>
        </w:rPr>
        <w:t>、</w:t>
      </w:r>
      <w:r>
        <w:rPr>
          <w:rFonts w:hint="default" w:ascii="Times New Roman" w:hAnsi="Times New Roman" w:eastAsia="方正仿宋_GBK" w:cs="Times New Roman"/>
          <w:color w:val="000000"/>
          <w:kern w:val="0"/>
          <w:sz w:val="32"/>
          <w:szCs w:val="32"/>
          <w:shd w:val="clear" w:color="auto" w:fill="FFFFFF"/>
          <w:lang w:bidi="ar"/>
        </w:rPr>
        <w:t>镇人民政府，各街道办事处，区政府各部门，有关单位：</w:t>
      </w:r>
    </w:p>
    <w:p>
      <w:pPr>
        <w:pageBreakBefore w:val="0"/>
        <w:kinsoku/>
        <w:wordWrap/>
        <w:overflowPunct/>
        <w:topLinePunct w:val="0"/>
        <w:bidi w:val="0"/>
        <w:spacing w:line="579" w:lineRule="exact"/>
        <w:ind w:firstLine="640" w:firstLineChars="200"/>
        <w:rPr>
          <w:rFonts w:hint="default" w:ascii="Times New Roman" w:hAnsi="Times New Roman" w:eastAsia="方正仿宋_GBK" w:cs="Times New Roman"/>
          <w:sz w:val="32"/>
          <w:szCs w:val="32"/>
          <w:lang w:eastAsia="zh-CN"/>
        </w:rPr>
      </w:pPr>
      <w:r>
        <w:rPr>
          <w:rFonts w:hint="default" w:ascii="Times New Roman" w:hAnsi="Times New Roman" w:cs="Times New Roman"/>
          <w:color w:val="000000"/>
          <w:szCs w:val="32"/>
          <w:lang w:eastAsia="zh-CN"/>
        </w:rPr>
        <w:t>《</w:t>
      </w:r>
      <w:r>
        <w:rPr>
          <w:rFonts w:hint="default" w:ascii="Times New Roman" w:hAnsi="Times New Roman" w:eastAsia="方正仿宋_GBK" w:cs="Times New Roman"/>
          <w:sz w:val="32"/>
          <w:szCs w:val="32"/>
        </w:rPr>
        <w:t>黔江区</w:t>
      </w:r>
      <w:r>
        <w:rPr>
          <w:rFonts w:hint="eastAsia" w:cs="Times New Roman"/>
          <w:sz w:val="32"/>
          <w:szCs w:val="32"/>
          <w:lang w:eastAsia="zh-CN"/>
        </w:rPr>
        <w:t>卫生健康</w:t>
      </w:r>
      <w:r>
        <w:rPr>
          <w:rFonts w:hint="default" w:ascii="Times New Roman" w:hAnsi="Times New Roman" w:eastAsia="方正仿宋_GBK" w:cs="Times New Roman"/>
          <w:sz w:val="32"/>
          <w:szCs w:val="32"/>
        </w:rPr>
        <w:t>发展“十四五”规划</w:t>
      </w:r>
      <w:r>
        <w:rPr>
          <w:rFonts w:hint="default" w:ascii="Times New Roman" w:hAnsi="Times New Roman" w:eastAsia="方正仿宋_GBK" w:cs="Times New Roman"/>
          <w:sz w:val="32"/>
          <w:szCs w:val="32"/>
          <w:lang w:eastAsia="zh-CN"/>
        </w:rPr>
        <w:t>》</w:t>
      </w:r>
      <w:r>
        <w:rPr>
          <w:rFonts w:ascii="Times New Roman" w:hAnsi="Times New Roman" w:eastAsia="方正仿宋_GBK"/>
          <w:sz w:val="32"/>
          <w:szCs w:val="32"/>
        </w:rPr>
        <w:t>已经区政府同意，</w:t>
      </w:r>
      <w:r>
        <w:rPr>
          <w:rFonts w:hint="eastAsia" w:ascii="Times New Roman" w:hAnsi="Times New Roman"/>
          <w:sz w:val="32"/>
          <w:szCs w:val="32"/>
          <w:lang w:eastAsia="zh-CN"/>
        </w:rPr>
        <w:t>现</w:t>
      </w:r>
      <w:r>
        <w:rPr>
          <w:rFonts w:hint="default" w:ascii="Times New Roman" w:hAnsi="Times New Roman" w:cs="Times New Roman"/>
          <w:sz w:val="32"/>
          <w:szCs w:val="32"/>
          <w:lang w:eastAsia="zh-CN"/>
        </w:rPr>
        <w:t>印发给你们，请认真贯彻执行。</w:t>
      </w:r>
    </w:p>
    <w:p>
      <w:pPr>
        <w:pageBreakBefore w:val="0"/>
        <w:kinsoku/>
        <w:wordWrap/>
        <w:overflowPunct/>
        <w:topLinePunct w:val="0"/>
        <w:bidi w:val="0"/>
        <w:spacing w:line="579" w:lineRule="exact"/>
        <w:rPr>
          <w:rFonts w:hint="default" w:ascii="Times New Roman" w:hAnsi="Times New Roman" w:cs="Times New Roman"/>
        </w:rPr>
      </w:pPr>
    </w:p>
    <w:p>
      <w:pPr>
        <w:pageBreakBefore w:val="0"/>
        <w:kinsoku/>
        <w:wordWrap/>
        <w:overflowPunct/>
        <w:topLinePunct w:val="0"/>
        <w:bidi w:val="0"/>
        <w:spacing w:line="579" w:lineRule="exact"/>
        <w:jc w:val="both"/>
        <w:rPr>
          <w:rFonts w:hint="default" w:ascii="Times New Roman" w:hAnsi="Times New Roman" w:eastAsia="方正仿宋_GBK" w:cs="Times New Roman"/>
          <w:lang w:eastAsia="zh-CN"/>
        </w:rPr>
      </w:pPr>
      <w:r>
        <w:rPr>
          <w:rFonts w:hint="default" w:ascii="Times New Roman" w:hAnsi="Times New Roman" w:cs="Times New Roman"/>
        </w:rPr>
        <w:t xml:space="preserve">                          重庆市黔江区</w:t>
      </w:r>
      <w:r>
        <w:rPr>
          <w:rFonts w:hint="default" w:ascii="Times New Roman" w:hAnsi="Times New Roman" w:cs="Times New Roman"/>
          <w:lang w:eastAsia="zh-CN"/>
        </w:rPr>
        <w:t>人民政府</w:t>
      </w:r>
      <w:r>
        <w:rPr>
          <w:rFonts w:hint="eastAsia" w:ascii="Times New Roman" w:hAnsi="Times New Roman" w:cs="Times New Roman"/>
          <w:lang w:eastAsia="zh-CN"/>
        </w:rPr>
        <w:t>办公室</w:t>
      </w:r>
    </w:p>
    <w:p>
      <w:pPr>
        <w:pageBreakBefore w:val="0"/>
        <w:kinsoku/>
        <w:wordWrap/>
        <w:overflowPunct/>
        <w:topLinePunct w:val="0"/>
        <w:bidi w:val="0"/>
        <w:spacing w:line="579" w:lineRule="exact"/>
        <w:ind w:right="1280" w:rightChars="400" w:firstLine="640" w:firstLineChars="200"/>
        <w:jc w:val="center"/>
        <w:rPr>
          <w:rFonts w:hint="eastAsia"/>
        </w:rPr>
      </w:pPr>
      <w:r>
        <w:rPr>
          <w:rFonts w:hint="default" w:ascii="Times New Roman" w:hAnsi="Times New Roman" w:cs="Times New Roman"/>
        </w:rPr>
        <w:t xml:space="preserve">                         2021年</w:t>
      </w:r>
      <w:r>
        <w:rPr>
          <w:rFonts w:hint="eastAsia" w:ascii="Times New Roman" w:hAnsi="Times New Roman" w:cs="Times New Roman"/>
          <w:lang w:val="en-US" w:eastAsia="zh-CN"/>
        </w:rPr>
        <w:t>12</w:t>
      </w:r>
      <w:r>
        <w:rPr>
          <w:rFonts w:hint="default" w:ascii="Times New Roman" w:hAnsi="Times New Roman" w:cs="Times New Roman"/>
        </w:rPr>
        <w:t>月</w:t>
      </w:r>
      <w:r>
        <w:rPr>
          <w:rFonts w:hint="eastAsia" w:cs="Times New Roman"/>
          <w:lang w:val="en-US" w:eastAsia="zh-CN"/>
        </w:rPr>
        <w:t>29</w:t>
      </w:r>
      <w:r>
        <w:rPr>
          <w:rFonts w:hint="default" w:ascii="Times New Roman" w:hAnsi="Times New Roman" w:cs="Times New Roman"/>
        </w:rPr>
        <w:t>日</w:t>
      </w:r>
    </w:p>
    <w:p>
      <w:pPr>
        <w:pageBreakBefore w:val="0"/>
        <w:kinsoku/>
        <w:wordWrap/>
        <w:overflowPunct/>
        <w:topLinePunct w:val="0"/>
        <w:bidi w:val="0"/>
        <w:spacing w:line="579" w:lineRule="exact"/>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cs="Times New Roman"/>
          <w:sz w:val="32"/>
          <w:szCs w:val="32"/>
          <w:lang w:val="en-US" w:eastAsia="zh-CN"/>
        </w:rPr>
        <w:t>（</w:t>
      </w:r>
      <w:r>
        <w:rPr>
          <w:rFonts w:hint="eastAsia" w:ascii="Times New Roman" w:hAnsi="Times New Roman" w:eastAsia="方正仿宋_GBK" w:cs="Times New Roman"/>
          <w:sz w:val="32"/>
          <w:szCs w:val="32"/>
          <w:lang w:val="en-US" w:eastAsia="zh-CN"/>
        </w:rPr>
        <w:t>此件公开发布</w:t>
      </w:r>
      <w:r>
        <w:rPr>
          <w:rFonts w:hint="eastAsia" w:ascii="Times New Roman" w:hAnsi="Times New Roman" w:cs="Times New Roman"/>
          <w:sz w:val="32"/>
          <w:szCs w:val="32"/>
          <w:lang w:val="en-US" w:eastAsia="zh-CN"/>
        </w:rPr>
        <w:t>）</w:t>
      </w:r>
    </w:p>
    <w:p>
      <w:pPr>
        <w:spacing w:line="594" w:lineRule="exact"/>
        <w:jc w:val="center"/>
        <w:rPr>
          <w:rFonts w:eastAsia="方正小标宋_GBK"/>
          <w:color w:val="000000"/>
          <w:sz w:val="44"/>
          <w:szCs w:val="44"/>
        </w:rPr>
      </w:pPr>
    </w:p>
    <w:p>
      <w:pPr>
        <w:spacing w:line="594" w:lineRule="exact"/>
        <w:jc w:val="center"/>
        <w:rPr>
          <w:rFonts w:eastAsia="方正小标宋_GBK"/>
          <w:color w:val="000000"/>
          <w:sz w:val="44"/>
          <w:szCs w:val="44"/>
        </w:rPr>
      </w:pPr>
      <w:r>
        <w:rPr>
          <w:rFonts w:eastAsia="方正小标宋_GBK"/>
          <w:color w:val="000000"/>
          <w:sz w:val="44"/>
          <w:szCs w:val="44"/>
        </w:rPr>
        <w:t>目  录</w:t>
      </w:r>
    </w:p>
    <w:p>
      <w:pPr>
        <w:pStyle w:val="9"/>
        <w:tabs>
          <w:tab w:val="right" w:leader="dot" w:pos="8960"/>
          <w:tab w:val="clear" w:pos="8296"/>
        </w:tabs>
        <w:spacing w:line="594" w:lineRule="exact"/>
        <w:jc w:val="center"/>
        <w:rPr>
          <w:rFonts w:ascii="Times New Roman" w:eastAsia="方正楷体_GBK"/>
          <w:color w:val="000000"/>
          <w:sz w:val="32"/>
          <w:szCs w:val="32"/>
        </w:rPr>
      </w:pPr>
    </w:p>
    <w:p>
      <w:pPr>
        <w:pStyle w:val="9"/>
        <w:tabs>
          <w:tab w:val="right" w:leader="dot" w:pos="8640"/>
          <w:tab w:val="clear" w:pos="8296"/>
        </w:tabs>
        <w:spacing w:line="594" w:lineRule="exact"/>
        <w:rPr>
          <w:rFonts w:ascii="Times New Roman" w:eastAsia="方正黑体_GBK"/>
          <w:b w:val="0"/>
          <w:bCs w:val="0"/>
          <w:color w:val="000000"/>
          <w:sz w:val="32"/>
          <w:szCs w:val="32"/>
        </w:rPr>
      </w:pPr>
      <w:r>
        <w:rPr>
          <w:rFonts w:ascii="Times New Roman"/>
          <w:b w:val="0"/>
          <w:color w:val="000000"/>
          <w:sz w:val="32"/>
          <w:szCs w:val="32"/>
        </w:rPr>
        <w:fldChar w:fldCharType="begin"/>
      </w:r>
      <w:r>
        <w:rPr>
          <w:rFonts w:ascii="Times New Roman"/>
          <w:b w:val="0"/>
          <w:color w:val="000000"/>
          <w:sz w:val="32"/>
          <w:szCs w:val="32"/>
        </w:rPr>
        <w:instrText xml:space="preserve"> TOC \o "1-3" \h \z \u </w:instrText>
      </w:r>
      <w:r>
        <w:rPr>
          <w:rFonts w:ascii="Times New Roman"/>
          <w:b w:val="0"/>
          <w:color w:val="000000"/>
          <w:sz w:val="32"/>
          <w:szCs w:val="32"/>
        </w:rPr>
        <w:fldChar w:fldCharType="separate"/>
      </w:r>
      <w:r>
        <w:fldChar w:fldCharType="begin"/>
      </w:r>
      <w:r>
        <w:instrText xml:space="preserve"> HYPERLINK \l "_Toc71045080" </w:instrText>
      </w:r>
      <w:r>
        <w:fldChar w:fldCharType="separate"/>
      </w:r>
      <w:r>
        <w:rPr>
          <w:rStyle w:val="17"/>
          <w:rFonts w:ascii="Times New Roman" w:eastAsia="方正黑体_GBK"/>
          <w:b w:val="0"/>
          <w:color w:val="000000"/>
          <w:spacing w:val="20"/>
          <w:kern w:val="0"/>
          <w:sz w:val="32"/>
          <w:szCs w:val="32"/>
        </w:rPr>
        <w:t>一、规划背景</w:t>
      </w:r>
      <w:r>
        <w:rPr>
          <w:rFonts w:ascii="Times New Roman" w:eastAsia="方正黑体_GBK"/>
          <w:b w:val="0"/>
          <w:color w:val="000000"/>
          <w:sz w:val="32"/>
          <w:szCs w:val="32"/>
        </w:rPr>
        <w:tab/>
      </w:r>
      <w:r>
        <w:rPr>
          <w:rFonts w:hint="eastAsia" w:ascii="Times New Roman" w:eastAsia="方正黑体_GBK"/>
          <w:b w:val="0"/>
          <w:color w:val="000000"/>
          <w:sz w:val="32"/>
          <w:szCs w:val="32"/>
          <w:lang w:val="en-US" w:eastAsia="zh-CN"/>
        </w:rPr>
        <w:t>4</w:t>
      </w:r>
      <w:r>
        <w:rPr>
          <w:rFonts w:hint="eastAsia" w:ascii="Times New Roman" w:eastAsia="方正黑体_GBK"/>
          <w:b w:val="0"/>
          <w:color w:val="000000"/>
          <w:sz w:val="32"/>
          <w:szCs w:val="32"/>
        </w:rPr>
        <w:fldChar w:fldCharType="end"/>
      </w:r>
    </w:p>
    <w:p>
      <w:pPr>
        <w:pStyle w:val="11"/>
        <w:tabs>
          <w:tab w:val="right" w:leader="dot" w:pos="8640"/>
          <w:tab w:val="clear" w:pos="8296"/>
        </w:tabs>
        <w:spacing w:line="594" w:lineRule="exact"/>
        <w:ind w:firstLine="640" w:firstLineChars="200"/>
        <w:rPr>
          <w:rFonts w:hint="eastAsia" w:eastAsia="方正仿宋_GBK"/>
          <w:color w:val="000000"/>
          <w:szCs w:val="32"/>
          <w:lang w:eastAsia="zh-CN"/>
        </w:rPr>
      </w:pPr>
      <w:r>
        <w:fldChar w:fldCharType="begin"/>
      </w:r>
      <w:r>
        <w:instrText xml:space="preserve"> HYPERLINK \l "_Toc71045081" </w:instrText>
      </w:r>
      <w:r>
        <w:fldChar w:fldCharType="separate"/>
      </w:r>
      <w:r>
        <w:rPr>
          <w:rStyle w:val="17"/>
          <w:bCs/>
          <w:color w:val="000000"/>
          <w:kern w:val="0"/>
          <w:szCs w:val="32"/>
        </w:rPr>
        <w:t>（一）“十三五”时期发展成效</w:t>
      </w:r>
      <w:r>
        <w:rPr>
          <w:color w:val="000000"/>
          <w:szCs w:val="32"/>
        </w:rPr>
        <w:tab/>
      </w:r>
      <w:r>
        <w:rPr>
          <w:color w:val="000000"/>
          <w:szCs w:val="32"/>
        </w:rPr>
        <w:fldChar w:fldCharType="end"/>
      </w:r>
      <w:r>
        <w:rPr>
          <w:rFonts w:hint="eastAsia"/>
          <w:color w:val="000000"/>
          <w:szCs w:val="32"/>
          <w:lang w:val="en-US" w:eastAsia="zh-CN"/>
        </w:rPr>
        <w:t>4</w:t>
      </w:r>
    </w:p>
    <w:p>
      <w:pPr>
        <w:pStyle w:val="11"/>
        <w:tabs>
          <w:tab w:val="right" w:leader="dot" w:pos="8640"/>
          <w:tab w:val="clear" w:pos="8296"/>
        </w:tabs>
        <w:spacing w:line="594" w:lineRule="exact"/>
        <w:ind w:firstLine="640" w:firstLineChars="200"/>
        <w:rPr>
          <w:color w:val="000000"/>
          <w:szCs w:val="32"/>
        </w:rPr>
      </w:pPr>
      <w:r>
        <w:fldChar w:fldCharType="begin"/>
      </w:r>
      <w:r>
        <w:instrText xml:space="preserve"> HYPERLINK \l "_Toc71045082" </w:instrText>
      </w:r>
      <w:r>
        <w:fldChar w:fldCharType="separate"/>
      </w:r>
      <w:r>
        <w:rPr>
          <w:rStyle w:val="17"/>
          <w:bCs/>
          <w:color w:val="000000"/>
          <w:kern w:val="0"/>
          <w:szCs w:val="32"/>
        </w:rPr>
        <w:t>（二）“十四五”时期面临机遇挑战</w:t>
      </w:r>
      <w:r>
        <w:rPr>
          <w:color w:val="000000"/>
          <w:szCs w:val="32"/>
        </w:rPr>
        <w:tab/>
      </w:r>
      <w:r>
        <w:rPr>
          <w:rFonts w:hint="eastAsia"/>
          <w:color w:val="000000"/>
          <w:szCs w:val="32"/>
          <w:lang w:val="en-US" w:eastAsia="zh-CN"/>
        </w:rPr>
        <w:t>9</w:t>
      </w:r>
      <w:r>
        <w:rPr>
          <w:rFonts w:hint="eastAsia"/>
          <w:color w:val="000000"/>
          <w:szCs w:val="32"/>
        </w:rPr>
        <w:fldChar w:fldCharType="end"/>
      </w:r>
    </w:p>
    <w:p>
      <w:pPr>
        <w:pStyle w:val="9"/>
        <w:tabs>
          <w:tab w:val="right" w:leader="dot" w:pos="8640"/>
          <w:tab w:val="clear" w:pos="8296"/>
        </w:tabs>
        <w:spacing w:line="594" w:lineRule="exact"/>
        <w:rPr>
          <w:rFonts w:hint="eastAsia" w:ascii="Times New Roman" w:eastAsia="方正黑体_GBK"/>
          <w:b w:val="0"/>
          <w:bCs w:val="0"/>
          <w:color w:val="000000"/>
          <w:sz w:val="32"/>
          <w:szCs w:val="32"/>
          <w:lang w:val="en-US" w:eastAsia="zh-CN"/>
        </w:rPr>
      </w:pPr>
      <w:r>
        <w:fldChar w:fldCharType="begin"/>
      </w:r>
      <w:r>
        <w:instrText xml:space="preserve"> HYPERLINK \l "_Toc71045083" </w:instrText>
      </w:r>
      <w:r>
        <w:fldChar w:fldCharType="separate"/>
      </w:r>
      <w:r>
        <w:rPr>
          <w:rStyle w:val="17"/>
          <w:rFonts w:ascii="Times New Roman" w:eastAsia="方正黑体_GBK"/>
          <w:b w:val="0"/>
          <w:color w:val="000000"/>
          <w:spacing w:val="20"/>
          <w:kern w:val="0"/>
          <w:sz w:val="32"/>
          <w:szCs w:val="32"/>
        </w:rPr>
        <w:t>二、发展思路</w:t>
      </w:r>
      <w:r>
        <w:rPr>
          <w:rFonts w:ascii="Times New Roman" w:eastAsia="方正黑体_GBK"/>
          <w:b w:val="0"/>
          <w:color w:val="000000"/>
          <w:sz w:val="32"/>
          <w:szCs w:val="32"/>
        </w:rPr>
        <w:tab/>
      </w:r>
      <w:r>
        <w:rPr>
          <w:rFonts w:ascii="Times New Roman" w:eastAsia="方正黑体_GBK"/>
          <w:b w:val="0"/>
          <w:color w:val="000000"/>
          <w:sz w:val="32"/>
          <w:szCs w:val="32"/>
        </w:rPr>
        <w:fldChar w:fldCharType="end"/>
      </w:r>
      <w:r>
        <w:rPr>
          <w:rFonts w:hint="eastAsia" w:ascii="Times New Roman" w:eastAsia="方正黑体_GBK"/>
          <w:b w:val="0"/>
          <w:color w:val="000000"/>
          <w:sz w:val="32"/>
          <w:szCs w:val="32"/>
          <w:lang w:val="en-US" w:eastAsia="zh-CN"/>
        </w:rPr>
        <w:t>10</w:t>
      </w:r>
    </w:p>
    <w:p>
      <w:pPr>
        <w:pStyle w:val="11"/>
        <w:tabs>
          <w:tab w:val="right" w:leader="dot" w:pos="8640"/>
          <w:tab w:val="clear" w:pos="8296"/>
        </w:tabs>
        <w:spacing w:line="594" w:lineRule="exact"/>
        <w:ind w:firstLine="640" w:firstLineChars="200"/>
        <w:rPr>
          <w:rFonts w:hint="eastAsia" w:eastAsia="方正仿宋_GBK"/>
          <w:color w:val="000000"/>
          <w:szCs w:val="32"/>
          <w:lang w:val="en-US" w:eastAsia="zh-CN"/>
        </w:rPr>
      </w:pPr>
      <w:r>
        <w:fldChar w:fldCharType="begin"/>
      </w:r>
      <w:r>
        <w:instrText xml:space="preserve"> HYPERLINK \l "_Toc71045084" </w:instrText>
      </w:r>
      <w:r>
        <w:fldChar w:fldCharType="separate"/>
      </w:r>
      <w:r>
        <w:rPr>
          <w:rStyle w:val="17"/>
          <w:bCs/>
          <w:color w:val="000000"/>
          <w:kern w:val="0"/>
          <w:szCs w:val="32"/>
        </w:rPr>
        <w:t>（一）指导思想</w:t>
      </w:r>
      <w:r>
        <w:rPr>
          <w:color w:val="000000"/>
          <w:szCs w:val="32"/>
        </w:rPr>
        <w:tab/>
      </w:r>
      <w:r>
        <w:rPr>
          <w:color w:val="000000"/>
          <w:szCs w:val="32"/>
        </w:rPr>
        <w:fldChar w:fldCharType="end"/>
      </w:r>
      <w:r>
        <w:rPr>
          <w:rFonts w:hint="eastAsia"/>
          <w:color w:val="000000"/>
          <w:szCs w:val="32"/>
          <w:lang w:val="en-US" w:eastAsia="zh-CN"/>
        </w:rPr>
        <w:t>10</w:t>
      </w:r>
    </w:p>
    <w:p>
      <w:pPr>
        <w:pStyle w:val="11"/>
        <w:tabs>
          <w:tab w:val="right" w:leader="dot" w:pos="8640"/>
          <w:tab w:val="clear" w:pos="8296"/>
        </w:tabs>
        <w:spacing w:line="594" w:lineRule="exact"/>
        <w:ind w:firstLine="640" w:firstLineChars="200"/>
        <w:rPr>
          <w:rFonts w:hint="eastAsia" w:eastAsia="方正仿宋_GBK"/>
          <w:color w:val="000000"/>
          <w:szCs w:val="32"/>
          <w:lang w:val="en-US" w:eastAsia="zh-CN"/>
        </w:rPr>
      </w:pPr>
      <w:r>
        <w:fldChar w:fldCharType="begin"/>
      </w:r>
      <w:r>
        <w:instrText xml:space="preserve"> HYPERLINK \l "_Toc71045085" </w:instrText>
      </w:r>
      <w:r>
        <w:fldChar w:fldCharType="separate"/>
      </w:r>
      <w:r>
        <w:rPr>
          <w:rStyle w:val="17"/>
          <w:bCs/>
          <w:color w:val="000000"/>
          <w:kern w:val="0"/>
          <w:szCs w:val="32"/>
        </w:rPr>
        <w:t>（二）发展原则</w:t>
      </w:r>
      <w:r>
        <w:rPr>
          <w:color w:val="000000"/>
          <w:szCs w:val="32"/>
        </w:rPr>
        <w:tab/>
      </w:r>
      <w:r>
        <w:rPr>
          <w:color w:val="000000"/>
          <w:szCs w:val="32"/>
        </w:rPr>
        <w:fldChar w:fldCharType="end"/>
      </w:r>
      <w:r>
        <w:rPr>
          <w:rFonts w:hint="eastAsia"/>
          <w:color w:val="000000"/>
          <w:szCs w:val="32"/>
          <w:lang w:val="en-US" w:eastAsia="zh-CN"/>
        </w:rPr>
        <w:t>10</w:t>
      </w:r>
    </w:p>
    <w:p>
      <w:pPr>
        <w:pStyle w:val="11"/>
        <w:tabs>
          <w:tab w:val="right" w:leader="dot" w:pos="8640"/>
          <w:tab w:val="clear" w:pos="8296"/>
        </w:tabs>
        <w:spacing w:line="594" w:lineRule="exact"/>
        <w:ind w:firstLine="640" w:firstLineChars="200"/>
        <w:rPr>
          <w:rFonts w:hint="eastAsia" w:eastAsia="方正仿宋_GBK"/>
          <w:color w:val="000000"/>
          <w:szCs w:val="32"/>
          <w:lang w:val="en-US" w:eastAsia="zh-CN"/>
        </w:rPr>
      </w:pPr>
      <w:r>
        <w:fldChar w:fldCharType="begin"/>
      </w:r>
      <w:r>
        <w:instrText xml:space="preserve"> HYPERLINK \l "_Toc71045086" </w:instrText>
      </w:r>
      <w:r>
        <w:fldChar w:fldCharType="separate"/>
      </w:r>
      <w:r>
        <w:rPr>
          <w:rStyle w:val="17"/>
          <w:bCs/>
          <w:color w:val="000000"/>
          <w:kern w:val="0"/>
          <w:szCs w:val="32"/>
        </w:rPr>
        <w:t>（三）发展目标</w:t>
      </w:r>
      <w:r>
        <w:rPr>
          <w:color w:val="000000"/>
          <w:szCs w:val="32"/>
        </w:rPr>
        <w:tab/>
      </w:r>
      <w:r>
        <w:rPr>
          <w:color w:val="000000"/>
          <w:szCs w:val="32"/>
        </w:rPr>
        <w:fldChar w:fldCharType="end"/>
      </w:r>
      <w:r>
        <w:rPr>
          <w:rFonts w:hint="eastAsia"/>
          <w:color w:val="000000"/>
          <w:szCs w:val="32"/>
          <w:lang w:val="en-US" w:eastAsia="zh-CN"/>
        </w:rPr>
        <w:t>11</w:t>
      </w:r>
    </w:p>
    <w:p>
      <w:pPr>
        <w:pStyle w:val="9"/>
        <w:tabs>
          <w:tab w:val="right" w:leader="dot" w:pos="8640"/>
          <w:tab w:val="clear" w:pos="8296"/>
        </w:tabs>
        <w:spacing w:line="594" w:lineRule="exact"/>
        <w:rPr>
          <w:rFonts w:ascii="Times New Roman" w:eastAsia="方正黑体_GBK"/>
          <w:b w:val="0"/>
          <w:bCs w:val="0"/>
          <w:color w:val="000000"/>
          <w:sz w:val="32"/>
          <w:szCs w:val="32"/>
        </w:rPr>
      </w:pPr>
      <w:r>
        <w:fldChar w:fldCharType="begin"/>
      </w:r>
      <w:r>
        <w:instrText xml:space="preserve"> HYPERLINK \l "_Toc71045087" </w:instrText>
      </w:r>
      <w:r>
        <w:fldChar w:fldCharType="separate"/>
      </w:r>
      <w:r>
        <w:rPr>
          <w:rStyle w:val="17"/>
          <w:rFonts w:ascii="Times New Roman" w:eastAsia="方正黑体_GBK"/>
          <w:b w:val="0"/>
          <w:color w:val="000000"/>
          <w:spacing w:val="20"/>
          <w:kern w:val="0"/>
          <w:sz w:val="32"/>
          <w:szCs w:val="32"/>
        </w:rPr>
        <w:t>三、重点任务</w:t>
      </w:r>
      <w:r>
        <w:rPr>
          <w:rFonts w:ascii="Times New Roman" w:eastAsia="方正黑体_GBK"/>
          <w:b w:val="0"/>
          <w:color w:val="000000"/>
          <w:sz w:val="32"/>
          <w:szCs w:val="32"/>
        </w:rPr>
        <w:tab/>
      </w:r>
      <w:r>
        <w:rPr>
          <w:rFonts w:ascii="Times New Roman" w:eastAsia="方正黑体_GBK"/>
          <w:b w:val="0"/>
          <w:color w:val="000000"/>
          <w:sz w:val="32"/>
          <w:szCs w:val="32"/>
        </w:rPr>
        <w:fldChar w:fldCharType="end"/>
      </w:r>
      <w:r>
        <w:rPr>
          <w:rFonts w:hint="eastAsia" w:ascii="Times New Roman" w:eastAsia="方正黑体_GBK"/>
          <w:b w:val="0"/>
          <w:color w:val="000000"/>
          <w:sz w:val="32"/>
          <w:szCs w:val="32"/>
        </w:rPr>
        <w:t>14</w:t>
      </w:r>
    </w:p>
    <w:p>
      <w:pPr>
        <w:pStyle w:val="11"/>
        <w:tabs>
          <w:tab w:val="right" w:leader="dot" w:pos="8640"/>
          <w:tab w:val="clear" w:pos="8296"/>
        </w:tabs>
        <w:spacing w:line="594" w:lineRule="exact"/>
        <w:ind w:firstLine="640" w:firstLineChars="200"/>
        <w:rPr>
          <w:color w:val="000000"/>
          <w:szCs w:val="32"/>
        </w:rPr>
      </w:pPr>
      <w:r>
        <w:fldChar w:fldCharType="begin"/>
      </w:r>
      <w:r>
        <w:instrText xml:space="preserve"> HYPERLINK \l "_Toc71045088" </w:instrText>
      </w:r>
      <w:r>
        <w:fldChar w:fldCharType="separate"/>
      </w:r>
      <w:r>
        <w:rPr>
          <w:rStyle w:val="17"/>
          <w:bCs/>
          <w:color w:val="000000"/>
          <w:kern w:val="0"/>
          <w:szCs w:val="32"/>
        </w:rPr>
        <w:t>（一）深入推进健康中国黔江行动</w:t>
      </w:r>
      <w:r>
        <w:rPr>
          <w:color w:val="000000"/>
          <w:szCs w:val="32"/>
        </w:rPr>
        <w:tab/>
      </w:r>
      <w:r>
        <w:rPr>
          <w:color w:val="000000"/>
          <w:szCs w:val="32"/>
        </w:rPr>
        <w:fldChar w:fldCharType="end"/>
      </w:r>
      <w:r>
        <w:rPr>
          <w:rFonts w:hint="eastAsia"/>
          <w:color w:val="000000"/>
          <w:szCs w:val="32"/>
        </w:rPr>
        <w:t>14</w:t>
      </w:r>
    </w:p>
    <w:p>
      <w:pPr>
        <w:pStyle w:val="11"/>
        <w:tabs>
          <w:tab w:val="right" w:leader="dot" w:pos="8640"/>
          <w:tab w:val="clear" w:pos="8296"/>
        </w:tabs>
        <w:spacing w:line="594" w:lineRule="exact"/>
        <w:ind w:firstLine="640" w:firstLineChars="200"/>
        <w:rPr>
          <w:rFonts w:hint="eastAsia" w:eastAsia="方正仿宋_GBK"/>
          <w:color w:val="000000"/>
          <w:szCs w:val="32"/>
          <w:lang w:val="en-US" w:eastAsia="zh-CN"/>
        </w:rPr>
      </w:pPr>
      <w:r>
        <w:fldChar w:fldCharType="begin"/>
      </w:r>
      <w:r>
        <w:instrText xml:space="preserve"> HYPERLINK \l "_Toc71045089" </w:instrText>
      </w:r>
      <w:r>
        <w:fldChar w:fldCharType="separate"/>
      </w:r>
      <w:r>
        <w:rPr>
          <w:rStyle w:val="17"/>
          <w:bCs/>
          <w:color w:val="000000"/>
          <w:kern w:val="0"/>
          <w:szCs w:val="32"/>
        </w:rPr>
        <w:t>（二）实施公共卫生促进行动</w:t>
      </w:r>
      <w:r>
        <w:rPr>
          <w:color w:val="000000"/>
          <w:szCs w:val="32"/>
        </w:rPr>
        <w:tab/>
      </w:r>
      <w:r>
        <w:rPr>
          <w:color w:val="000000"/>
          <w:szCs w:val="32"/>
        </w:rPr>
        <w:fldChar w:fldCharType="end"/>
      </w:r>
      <w:r>
        <w:rPr>
          <w:rFonts w:hint="eastAsia"/>
          <w:color w:val="000000"/>
          <w:szCs w:val="32"/>
          <w:lang w:val="en-US" w:eastAsia="zh-CN"/>
        </w:rPr>
        <w:t>17</w:t>
      </w:r>
    </w:p>
    <w:p>
      <w:pPr>
        <w:pStyle w:val="11"/>
        <w:tabs>
          <w:tab w:val="right" w:leader="dot" w:pos="8640"/>
          <w:tab w:val="clear" w:pos="8296"/>
        </w:tabs>
        <w:spacing w:line="594" w:lineRule="exact"/>
        <w:ind w:firstLine="640" w:firstLineChars="200"/>
        <w:rPr>
          <w:rFonts w:hint="eastAsia" w:eastAsia="方正仿宋_GBK"/>
          <w:color w:val="000000"/>
          <w:szCs w:val="32"/>
          <w:lang w:val="en-US" w:eastAsia="zh-CN"/>
        </w:rPr>
      </w:pPr>
      <w:r>
        <w:fldChar w:fldCharType="begin"/>
      </w:r>
      <w:r>
        <w:instrText xml:space="preserve"> HYPERLINK \l "_Toc71045090" </w:instrText>
      </w:r>
      <w:r>
        <w:fldChar w:fldCharType="separate"/>
      </w:r>
      <w:r>
        <w:rPr>
          <w:rStyle w:val="17"/>
          <w:bCs/>
          <w:color w:val="000000"/>
          <w:kern w:val="0"/>
          <w:szCs w:val="32"/>
        </w:rPr>
        <w:t>（三）实施医疗质量和服务能力提升行动</w:t>
      </w:r>
      <w:r>
        <w:rPr>
          <w:color w:val="000000"/>
          <w:szCs w:val="32"/>
        </w:rPr>
        <w:tab/>
      </w:r>
      <w:r>
        <w:rPr>
          <w:color w:val="000000"/>
          <w:szCs w:val="32"/>
        </w:rPr>
        <w:fldChar w:fldCharType="end"/>
      </w:r>
      <w:r>
        <w:rPr>
          <w:rFonts w:hint="eastAsia"/>
          <w:color w:val="000000"/>
          <w:szCs w:val="32"/>
          <w:lang w:val="en-US" w:eastAsia="zh-CN"/>
        </w:rPr>
        <w:t>21</w:t>
      </w:r>
    </w:p>
    <w:p>
      <w:pPr>
        <w:pStyle w:val="11"/>
        <w:tabs>
          <w:tab w:val="right" w:leader="dot" w:pos="8640"/>
          <w:tab w:val="clear" w:pos="8296"/>
        </w:tabs>
        <w:spacing w:line="594" w:lineRule="exact"/>
        <w:ind w:firstLine="640" w:firstLineChars="200"/>
        <w:rPr>
          <w:rFonts w:hint="eastAsia" w:eastAsia="方正仿宋_GBK"/>
          <w:color w:val="000000"/>
          <w:szCs w:val="32"/>
          <w:lang w:val="en-US" w:eastAsia="zh-CN"/>
        </w:rPr>
      </w:pPr>
      <w:r>
        <w:fldChar w:fldCharType="begin"/>
      </w:r>
      <w:r>
        <w:instrText xml:space="preserve"> HYPERLINK \l "_Toc71045091" </w:instrText>
      </w:r>
      <w:r>
        <w:fldChar w:fldCharType="separate"/>
      </w:r>
      <w:r>
        <w:rPr>
          <w:rStyle w:val="17"/>
          <w:bCs/>
          <w:color w:val="000000"/>
          <w:kern w:val="0"/>
          <w:szCs w:val="32"/>
        </w:rPr>
        <w:t>（四）实施中医药传承创新发展行动</w:t>
      </w:r>
      <w:r>
        <w:rPr>
          <w:color w:val="000000"/>
          <w:szCs w:val="32"/>
        </w:rPr>
        <w:tab/>
      </w:r>
      <w:r>
        <w:rPr>
          <w:color w:val="000000"/>
          <w:szCs w:val="32"/>
        </w:rPr>
        <w:fldChar w:fldCharType="end"/>
      </w:r>
      <w:r>
        <w:rPr>
          <w:rFonts w:hint="eastAsia"/>
          <w:color w:val="000000"/>
          <w:szCs w:val="32"/>
          <w:lang w:val="en-US" w:eastAsia="zh-CN"/>
        </w:rPr>
        <w:t>23</w:t>
      </w:r>
    </w:p>
    <w:p>
      <w:pPr>
        <w:pStyle w:val="11"/>
        <w:tabs>
          <w:tab w:val="right" w:leader="dot" w:pos="8640"/>
          <w:tab w:val="clear" w:pos="8296"/>
        </w:tabs>
        <w:spacing w:line="594" w:lineRule="exact"/>
        <w:ind w:firstLine="640" w:firstLineChars="200"/>
        <w:rPr>
          <w:rFonts w:hint="eastAsia" w:eastAsia="方正仿宋_GBK"/>
          <w:color w:val="000000"/>
          <w:szCs w:val="32"/>
          <w:lang w:val="en-US" w:eastAsia="zh-CN"/>
        </w:rPr>
      </w:pPr>
      <w:r>
        <w:fldChar w:fldCharType="begin"/>
      </w:r>
      <w:r>
        <w:instrText xml:space="preserve"> HYPERLINK \l "_Toc71045092" </w:instrText>
      </w:r>
      <w:r>
        <w:fldChar w:fldCharType="separate"/>
      </w:r>
      <w:r>
        <w:rPr>
          <w:rStyle w:val="17"/>
          <w:bCs/>
          <w:color w:val="000000"/>
          <w:kern w:val="0"/>
          <w:szCs w:val="32"/>
        </w:rPr>
        <w:t>（五）实施医药卫生体制改革深化行动</w:t>
      </w:r>
      <w:r>
        <w:rPr>
          <w:color w:val="000000"/>
          <w:szCs w:val="32"/>
        </w:rPr>
        <w:tab/>
      </w:r>
      <w:r>
        <w:rPr>
          <w:color w:val="000000"/>
          <w:szCs w:val="32"/>
        </w:rPr>
        <w:fldChar w:fldCharType="end"/>
      </w:r>
      <w:r>
        <w:rPr>
          <w:rFonts w:hint="eastAsia"/>
          <w:color w:val="000000"/>
          <w:szCs w:val="32"/>
          <w:lang w:val="en-US" w:eastAsia="zh-CN"/>
        </w:rPr>
        <w:t>25</w:t>
      </w:r>
    </w:p>
    <w:p>
      <w:pPr>
        <w:pStyle w:val="11"/>
        <w:tabs>
          <w:tab w:val="right" w:leader="dot" w:pos="8640"/>
          <w:tab w:val="clear" w:pos="8296"/>
        </w:tabs>
        <w:spacing w:line="594" w:lineRule="exact"/>
        <w:ind w:firstLine="640" w:firstLineChars="200"/>
        <w:rPr>
          <w:rFonts w:hint="eastAsia" w:eastAsia="方正仿宋_GBK"/>
          <w:color w:val="000000"/>
          <w:szCs w:val="32"/>
          <w:lang w:val="en-US" w:eastAsia="zh-CN"/>
        </w:rPr>
      </w:pPr>
      <w:r>
        <w:fldChar w:fldCharType="begin"/>
      </w:r>
      <w:r>
        <w:instrText xml:space="preserve"> HYPERLINK \l "_Toc71045093" </w:instrText>
      </w:r>
      <w:r>
        <w:fldChar w:fldCharType="separate"/>
      </w:r>
      <w:r>
        <w:rPr>
          <w:rStyle w:val="17"/>
          <w:bCs/>
          <w:color w:val="000000"/>
          <w:kern w:val="0"/>
          <w:szCs w:val="32"/>
        </w:rPr>
        <w:t>（六）实施医疗卫生综合监管强化行动</w:t>
      </w:r>
      <w:r>
        <w:rPr>
          <w:color w:val="000000"/>
          <w:szCs w:val="32"/>
        </w:rPr>
        <w:tab/>
      </w:r>
      <w:r>
        <w:rPr>
          <w:color w:val="000000"/>
          <w:szCs w:val="32"/>
        </w:rPr>
        <w:fldChar w:fldCharType="end"/>
      </w:r>
      <w:r>
        <w:rPr>
          <w:rFonts w:hint="eastAsia"/>
          <w:color w:val="000000"/>
          <w:szCs w:val="32"/>
          <w:lang w:val="en-US" w:eastAsia="zh-CN"/>
        </w:rPr>
        <w:t>27</w:t>
      </w:r>
    </w:p>
    <w:p>
      <w:pPr>
        <w:pStyle w:val="11"/>
        <w:tabs>
          <w:tab w:val="right" w:leader="dot" w:pos="8640"/>
          <w:tab w:val="clear" w:pos="8296"/>
        </w:tabs>
        <w:spacing w:line="594" w:lineRule="exact"/>
        <w:ind w:firstLine="640" w:firstLineChars="200"/>
        <w:rPr>
          <w:rFonts w:hint="eastAsia" w:eastAsia="方正仿宋_GBK"/>
          <w:color w:val="000000"/>
          <w:szCs w:val="32"/>
          <w:lang w:val="en-US" w:eastAsia="zh-CN"/>
        </w:rPr>
      </w:pPr>
      <w:r>
        <w:fldChar w:fldCharType="begin"/>
      </w:r>
      <w:r>
        <w:instrText xml:space="preserve"> HYPERLINK \l "_Toc71045094" </w:instrText>
      </w:r>
      <w:r>
        <w:fldChar w:fldCharType="separate"/>
      </w:r>
      <w:r>
        <w:rPr>
          <w:rStyle w:val="17"/>
          <w:bCs/>
          <w:color w:val="000000"/>
          <w:kern w:val="0"/>
          <w:szCs w:val="32"/>
        </w:rPr>
        <w:t>（七）实施大健康产业发展行动</w:t>
      </w:r>
      <w:r>
        <w:rPr>
          <w:color w:val="000000"/>
          <w:szCs w:val="32"/>
        </w:rPr>
        <w:tab/>
      </w:r>
      <w:r>
        <w:rPr>
          <w:color w:val="000000"/>
          <w:szCs w:val="32"/>
        </w:rPr>
        <w:fldChar w:fldCharType="end"/>
      </w:r>
      <w:r>
        <w:rPr>
          <w:rFonts w:hint="eastAsia"/>
          <w:color w:val="000000"/>
          <w:szCs w:val="32"/>
          <w:lang w:val="en-US" w:eastAsia="zh-CN"/>
        </w:rPr>
        <w:t>28</w:t>
      </w:r>
    </w:p>
    <w:p>
      <w:pPr>
        <w:pStyle w:val="11"/>
        <w:tabs>
          <w:tab w:val="right" w:leader="dot" w:pos="8640"/>
          <w:tab w:val="clear" w:pos="8296"/>
        </w:tabs>
        <w:spacing w:line="594" w:lineRule="exact"/>
        <w:ind w:firstLine="640" w:firstLineChars="200"/>
        <w:rPr>
          <w:rFonts w:hint="eastAsia" w:eastAsia="方正仿宋_GBK"/>
          <w:color w:val="000000"/>
          <w:szCs w:val="32"/>
          <w:lang w:val="en-US" w:eastAsia="zh-CN"/>
        </w:rPr>
      </w:pPr>
      <w:r>
        <w:fldChar w:fldCharType="begin"/>
      </w:r>
      <w:r>
        <w:instrText xml:space="preserve"> HYPERLINK \l "_Toc71045095" </w:instrText>
      </w:r>
      <w:r>
        <w:fldChar w:fldCharType="separate"/>
      </w:r>
      <w:r>
        <w:rPr>
          <w:rStyle w:val="17"/>
          <w:bCs/>
          <w:color w:val="000000"/>
          <w:kern w:val="0"/>
          <w:szCs w:val="32"/>
        </w:rPr>
        <w:t>（八）实施医疗卫生机构布局优化工程</w:t>
      </w:r>
      <w:r>
        <w:rPr>
          <w:color w:val="000000"/>
          <w:szCs w:val="32"/>
        </w:rPr>
        <w:tab/>
      </w:r>
      <w:r>
        <w:rPr>
          <w:color w:val="000000"/>
          <w:szCs w:val="32"/>
        </w:rPr>
        <w:fldChar w:fldCharType="end"/>
      </w:r>
      <w:r>
        <w:rPr>
          <w:rFonts w:hint="eastAsia"/>
          <w:color w:val="000000"/>
          <w:szCs w:val="32"/>
          <w:lang w:val="en-US" w:eastAsia="zh-CN"/>
        </w:rPr>
        <w:t>29</w:t>
      </w:r>
    </w:p>
    <w:p>
      <w:pPr>
        <w:pStyle w:val="11"/>
        <w:tabs>
          <w:tab w:val="right" w:leader="dot" w:pos="8640"/>
          <w:tab w:val="clear" w:pos="8296"/>
        </w:tabs>
        <w:spacing w:line="594" w:lineRule="exact"/>
        <w:ind w:firstLine="640" w:firstLineChars="200"/>
        <w:rPr>
          <w:rFonts w:hint="eastAsia" w:eastAsia="方正仿宋_GBK"/>
          <w:color w:val="000000"/>
          <w:szCs w:val="32"/>
          <w:lang w:val="en-US" w:eastAsia="zh-CN"/>
        </w:rPr>
      </w:pPr>
      <w:r>
        <w:fldChar w:fldCharType="begin"/>
      </w:r>
      <w:r>
        <w:instrText xml:space="preserve"> HYPERLINK \l "_Toc71045096" </w:instrText>
      </w:r>
      <w:r>
        <w:fldChar w:fldCharType="separate"/>
      </w:r>
      <w:r>
        <w:rPr>
          <w:rStyle w:val="17"/>
          <w:bCs/>
          <w:color w:val="000000"/>
          <w:kern w:val="0"/>
          <w:szCs w:val="32"/>
        </w:rPr>
        <w:t>（九）实施优质资源扩容工程</w:t>
      </w:r>
      <w:r>
        <w:rPr>
          <w:color w:val="000000"/>
          <w:szCs w:val="32"/>
        </w:rPr>
        <w:tab/>
      </w:r>
      <w:r>
        <w:rPr>
          <w:color w:val="000000"/>
          <w:szCs w:val="32"/>
        </w:rPr>
        <w:fldChar w:fldCharType="end"/>
      </w:r>
      <w:r>
        <w:rPr>
          <w:rFonts w:hint="eastAsia"/>
          <w:color w:val="000000"/>
          <w:szCs w:val="32"/>
          <w:lang w:val="en-US" w:eastAsia="zh-CN"/>
        </w:rPr>
        <w:t>31</w:t>
      </w:r>
    </w:p>
    <w:p>
      <w:pPr>
        <w:pStyle w:val="11"/>
        <w:tabs>
          <w:tab w:val="right" w:leader="dot" w:pos="8640"/>
          <w:tab w:val="clear" w:pos="8296"/>
        </w:tabs>
        <w:spacing w:line="594" w:lineRule="exact"/>
        <w:ind w:firstLine="640" w:firstLineChars="200"/>
        <w:rPr>
          <w:rFonts w:hint="eastAsia" w:eastAsia="方正仿宋_GBK"/>
          <w:color w:val="000000"/>
          <w:szCs w:val="32"/>
          <w:lang w:val="en-US" w:eastAsia="zh-CN"/>
        </w:rPr>
      </w:pPr>
      <w:r>
        <w:fldChar w:fldCharType="begin"/>
      </w:r>
      <w:r>
        <w:instrText xml:space="preserve"> HYPERLINK \l "_Toc71045097" </w:instrText>
      </w:r>
      <w:r>
        <w:fldChar w:fldCharType="separate"/>
      </w:r>
      <w:r>
        <w:rPr>
          <w:rStyle w:val="17"/>
          <w:bCs/>
          <w:color w:val="000000"/>
          <w:kern w:val="0"/>
          <w:szCs w:val="32"/>
        </w:rPr>
        <w:t>（十）实施疾控和传染病医疗救治能力提升工程</w:t>
      </w:r>
      <w:r>
        <w:rPr>
          <w:color w:val="000000"/>
          <w:szCs w:val="32"/>
        </w:rPr>
        <w:tab/>
      </w:r>
      <w:r>
        <w:rPr>
          <w:color w:val="000000"/>
          <w:szCs w:val="32"/>
        </w:rPr>
        <w:fldChar w:fldCharType="end"/>
      </w:r>
      <w:r>
        <w:rPr>
          <w:rFonts w:hint="eastAsia"/>
          <w:color w:val="000000"/>
          <w:szCs w:val="32"/>
          <w:lang w:val="en-US" w:eastAsia="zh-CN"/>
        </w:rPr>
        <w:t>33</w:t>
      </w:r>
    </w:p>
    <w:p>
      <w:pPr>
        <w:pStyle w:val="11"/>
        <w:tabs>
          <w:tab w:val="right" w:leader="dot" w:pos="8640"/>
          <w:tab w:val="clear" w:pos="8296"/>
        </w:tabs>
        <w:spacing w:line="594" w:lineRule="exact"/>
        <w:ind w:firstLine="640" w:firstLineChars="200"/>
        <w:rPr>
          <w:rFonts w:hint="eastAsia" w:eastAsia="方正仿宋_GBK"/>
          <w:color w:val="000000"/>
          <w:szCs w:val="32"/>
          <w:lang w:val="en-US" w:eastAsia="zh-CN"/>
        </w:rPr>
      </w:pPr>
      <w:r>
        <w:fldChar w:fldCharType="begin"/>
      </w:r>
      <w:r>
        <w:instrText xml:space="preserve"> HYPERLINK \l "_Toc71045098" </w:instrText>
      </w:r>
      <w:r>
        <w:fldChar w:fldCharType="separate"/>
      </w:r>
      <w:r>
        <w:rPr>
          <w:rStyle w:val="17"/>
          <w:bCs/>
          <w:color w:val="000000"/>
          <w:kern w:val="0"/>
          <w:szCs w:val="32"/>
        </w:rPr>
        <w:t>（十一）实施事业发展保障工程</w:t>
      </w:r>
      <w:r>
        <w:rPr>
          <w:color w:val="000000"/>
          <w:szCs w:val="32"/>
        </w:rPr>
        <w:tab/>
      </w:r>
      <w:r>
        <w:rPr>
          <w:color w:val="000000"/>
          <w:szCs w:val="32"/>
        </w:rPr>
        <w:fldChar w:fldCharType="end"/>
      </w:r>
      <w:r>
        <w:rPr>
          <w:rFonts w:hint="eastAsia"/>
          <w:color w:val="000000"/>
          <w:szCs w:val="32"/>
          <w:lang w:val="en-US" w:eastAsia="zh-CN"/>
        </w:rPr>
        <w:t>35</w:t>
      </w:r>
    </w:p>
    <w:p>
      <w:pPr>
        <w:pStyle w:val="9"/>
        <w:tabs>
          <w:tab w:val="right" w:leader="dot" w:pos="8640"/>
          <w:tab w:val="clear" w:pos="8296"/>
        </w:tabs>
        <w:spacing w:line="594" w:lineRule="exact"/>
        <w:rPr>
          <w:rFonts w:hint="eastAsia" w:ascii="Times New Roman" w:eastAsia="方正黑体_GBK"/>
          <w:b w:val="0"/>
          <w:bCs w:val="0"/>
          <w:color w:val="000000"/>
          <w:sz w:val="32"/>
          <w:szCs w:val="32"/>
          <w:lang w:val="en-US" w:eastAsia="zh-CN"/>
        </w:rPr>
      </w:pPr>
      <w:r>
        <w:fldChar w:fldCharType="begin"/>
      </w:r>
      <w:r>
        <w:instrText xml:space="preserve"> HYPERLINK \l "_Toc71045099" </w:instrText>
      </w:r>
      <w:r>
        <w:fldChar w:fldCharType="separate"/>
      </w:r>
      <w:r>
        <w:rPr>
          <w:rStyle w:val="17"/>
          <w:rFonts w:ascii="Times New Roman" w:eastAsia="方正黑体_GBK"/>
          <w:b w:val="0"/>
          <w:color w:val="000000"/>
          <w:spacing w:val="20"/>
          <w:kern w:val="0"/>
          <w:sz w:val="32"/>
          <w:szCs w:val="32"/>
        </w:rPr>
        <w:t>四、保障措施</w:t>
      </w:r>
      <w:r>
        <w:rPr>
          <w:rFonts w:ascii="Times New Roman" w:eastAsia="方正黑体_GBK"/>
          <w:b w:val="0"/>
          <w:color w:val="000000"/>
          <w:sz w:val="32"/>
          <w:szCs w:val="32"/>
        </w:rPr>
        <w:tab/>
      </w:r>
      <w:r>
        <w:rPr>
          <w:rFonts w:ascii="Times New Roman" w:eastAsia="方正黑体_GBK"/>
          <w:b w:val="0"/>
          <w:color w:val="000000"/>
          <w:sz w:val="32"/>
          <w:szCs w:val="32"/>
        </w:rPr>
        <w:fldChar w:fldCharType="end"/>
      </w:r>
      <w:r>
        <w:rPr>
          <w:rFonts w:hint="eastAsia" w:ascii="Times New Roman" w:eastAsia="方正黑体_GBK"/>
          <w:b w:val="0"/>
          <w:color w:val="000000"/>
          <w:sz w:val="32"/>
          <w:szCs w:val="32"/>
          <w:lang w:val="en-US" w:eastAsia="zh-CN"/>
        </w:rPr>
        <w:t>37</w:t>
      </w:r>
    </w:p>
    <w:p>
      <w:pPr>
        <w:pStyle w:val="11"/>
        <w:tabs>
          <w:tab w:val="right" w:leader="dot" w:pos="8640"/>
          <w:tab w:val="clear" w:pos="8296"/>
        </w:tabs>
        <w:spacing w:line="594" w:lineRule="exact"/>
        <w:ind w:firstLine="640" w:firstLineChars="200"/>
        <w:rPr>
          <w:rFonts w:hint="eastAsia" w:eastAsia="方正仿宋_GBK"/>
          <w:color w:val="000000"/>
          <w:szCs w:val="32"/>
          <w:lang w:val="en-US" w:eastAsia="zh-CN"/>
        </w:rPr>
      </w:pPr>
      <w:r>
        <w:fldChar w:fldCharType="begin"/>
      </w:r>
      <w:r>
        <w:instrText xml:space="preserve"> HYPERLINK \l "_Toc71045100" </w:instrText>
      </w:r>
      <w:r>
        <w:fldChar w:fldCharType="separate"/>
      </w:r>
      <w:r>
        <w:rPr>
          <w:rStyle w:val="17"/>
          <w:bCs/>
          <w:color w:val="000000"/>
          <w:kern w:val="0"/>
          <w:szCs w:val="32"/>
        </w:rPr>
        <w:t>（一）强化组织领导</w:t>
      </w:r>
      <w:r>
        <w:rPr>
          <w:color w:val="000000"/>
          <w:szCs w:val="32"/>
        </w:rPr>
        <w:tab/>
      </w:r>
      <w:r>
        <w:rPr>
          <w:color w:val="000000"/>
          <w:szCs w:val="32"/>
        </w:rPr>
        <w:fldChar w:fldCharType="end"/>
      </w:r>
      <w:r>
        <w:rPr>
          <w:rFonts w:hint="eastAsia"/>
          <w:color w:val="000000"/>
          <w:szCs w:val="32"/>
          <w:lang w:val="en-US" w:eastAsia="zh-CN"/>
        </w:rPr>
        <w:t>37</w:t>
      </w:r>
    </w:p>
    <w:p>
      <w:pPr>
        <w:pStyle w:val="11"/>
        <w:tabs>
          <w:tab w:val="right" w:leader="dot" w:pos="8640"/>
          <w:tab w:val="clear" w:pos="8296"/>
        </w:tabs>
        <w:spacing w:line="594" w:lineRule="exact"/>
        <w:ind w:firstLine="640" w:firstLineChars="200"/>
        <w:rPr>
          <w:rFonts w:hint="eastAsia" w:eastAsia="方正仿宋_GBK"/>
          <w:color w:val="000000"/>
          <w:szCs w:val="32"/>
          <w:lang w:val="en-US" w:eastAsia="zh-CN"/>
        </w:rPr>
      </w:pPr>
      <w:r>
        <w:fldChar w:fldCharType="begin"/>
      </w:r>
      <w:r>
        <w:instrText xml:space="preserve"> HYPERLINK \l "_Toc71045101" </w:instrText>
      </w:r>
      <w:r>
        <w:fldChar w:fldCharType="separate"/>
      </w:r>
      <w:r>
        <w:rPr>
          <w:rStyle w:val="17"/>
          <w:bCs/>
          <w:color w:val="000000"/>
          <w:kern w:val="0"/>
          <w:szCs w:val="32"/>
        </w:rPr>
        <w:t>（二）完善投入机制</w:t>
      </w:r>
      <w:r>
        <w:rPr>
          <w:color w:val="000000"/>
          <w:szCs w:val="32"/>
        </w:rPr>
        <w:tab/>
      </w:r>
      <w:r>
        <w:rPr>
          <w:color w:val="000000"/>
          <w:szCs w:val="32"/>
        </w:rPr>
        <w:fldChar w:fldCharType="end"/>
      </w:r>
      <w:r>
        <w:rPr>
          <w:rFonts w:hint="eastAsia"/>
          <w:color w:val="000000"/>
          <w:szCs w:val="32"/>
          <w:lang w:val="en-US" w:eastAsia="zh-CN"/>
        </w:rPr>
        <w:t>38</w:t>
      </w:r>
    </w:p>
    <w:p>
      <w:pPr>
        <w:pStyle w:val="11"/>
        <w:tabs>
          <w:tab w:val="right" w:leader="dot" w:pos="8640"/>
          <w:tab w:val="clear" w:pos="8296"/>
        </w:tabs>
        <w:spacing w:line="594" w:lineRule="exact"/>
        <w:ind w:firstLine="640" w:firstLineChars="200"/>
        <w:rPr>
          <w:rFonts w:hint="eastAsia" w:eastAsia="方正仿宋_GBK"/>
          <w:color w:val="000000"/>
          <w:szCs w:val="32"/>
          <w:lang w:val="en-US" w:eastAsia="zh-CN"/>
        </w:rPr>
      </w:pPr>
      <w:r>
        <w:fldChar w:fldCharType="begin"/>
      </w:r>
      <w:r>
        <w:instrText xml:space="preserve"> HYPERLINK \l "_Toc71045102" </w:instrText>
      </w:r>
      <w:r>
        <w:fldChar w:fldCharType="separate"/>
      </w:r>
      <w:r>
        <w:rPr>
          <w:rStyle w:val="17"/>
          <w:bCs/>
          <w:color w:val="000000"/>
          <w:kern w:val="0"/>
          <w:szCs w:val="32"/>
        </w:rPr>
        <w:t>（三）加强监测评估</w:t>
      </w:r>
      <w:bookmarkStart w:id="0" w:name="_Hlt79487074"/>
      <w:bookmarkEnd w:id="0"/>
      <w:r>
        <w:rPr>
          <w:color w:val="000000"/>
          <w:szCs w:val="32"/>
        </w:rPr>
        <w:tab/>
      </w:r>
      <w:r>
        <w:rPr>
          <w:color w:val="000000"/>
          <w:szCs w:val="32"/>
        </w:rPr>
        <w:fldChar w:fldCharType="end"/>
      </w:r>
      <w:r>
        <w:rPr>
          <w:rFonts w:hint="eastAsia"/>
          <w:color w:val="000000"/>
          <w:szCs w:val="32"/>
          <w:lang w:val="en-US" w:eastAsia="zh-CN"/>
        </w:rPr>
        <w:t>38</w:t>
      </w:r>
    </w:p>
    <w:p>
      <w:pPr>
        <w:spacing w:line="594" w:lineRule="exact"/>
        <w:ind w:firstLine="640" w:firstLineChars="200"/>
        <w:rPr>
          <w:color w:val="000000"/>
          <w:szCs w:val="32"/>
        </w:rPr>
      </w:pPr>
      <w:r>
        <w:rPr>
          <w:bCs/>
          <w:color w:val="000000"/>
          <w:szCs w:val="32"/>
          <w:lang w:val="zh-CN"/>
        </w:rPr>
        <w:fldChar w:fldCharType="end"/>
      </w:r>
    </w:p>
    <w:p>
      <w:pPr>
        <w:spacing w:line="594" w:lineRule="exact"/>
        <w:ind w:firstLine="640" w:firstLineChars="200"/>
        <w:rPr>
          <w:color w:val="000000"/>
          <w:szCs w:val="32"/>
        </w:rPr>
      </w:pPr>
    </w:p>
    <w:p>
      <w:pPr>
        <w:spacing w:line="594" w:lineRule="exact"/>
        <w:ind w:firstLine="640" w:firstLineChars="200"/>
        <w:rPr>
          <w:color w:val="000000"/>
          <w:szCs w:val="32"/>
        </w:rPr>
      </w:pPr>
    </w:p>
    <w:p>
      <w:pPr>
        <w:spacing w:line="594" w:lineRule="exact"/>
        <w:ind w:firstLine="640" w:firstLineChars="200"/>
        <w:rPr>
          <w:color w:val="000000"/>
          <w:szCs w:val="32"/>
        </w:rPr>
      </w:pPr>
    </w:p>
    <w:p>
      <w:pPr>
        <w:spacing w:line="594" w:lineRule="exact"/>
        <w:ind w:firstLine="640" w:firstLineChars="200"/>
        <w:rPr>
          <w:color w:val="000000"/>
          <w:szCs w:val="32"/>
        </w:rPr>
      </w:pPr>
    </w:p>
    <w:p>
      <w:pPr>
        <w:spacing w:line="594" w:lineRule="exact"/>
        <w:ind w:firstLine="640" w:firstLineChars="200"/>
        <w:rPr>
          <w:color w:val="000000"/>
          <w:szCs w:val="32"/>
        </w:rPr>
      </w:pPr>
    </w:p>
    <w:p>
      <w:pPr>
        <w:spacing w:line="594" w:lineRule="exact"/>
        <w:ind w:firstLine="640" w:firstLineChars="200"/>
        <w:rPr>
          <w:color w:val="000000"/>
          <w:szCs w:val="32"/>
        </w:rPr>
      </w:pPr>
    </w:p>
    <w:p>
      <w:pPr>
        <w:spacing w:line="594" w:lineRule="exact"/>
        <w:ind w:firstLine="640" w:firstLineChars="200"/>
        <w:rPr>
          <w:color w:val="000000"/>
          <w:szCs w:val="32"/>
        </w:rPr>
      </w:pPr>
    </w:p>
    <w:p>
      <w:pPr>
        <w:spacing w:line="594" w:lineRule="exact"/>
        <w:ind w:firstLine="640" w:firstLineChars="200"/>
        <w:rPr>
          <w:color w:val="000000"/>
          <w:szCs w:val="32"/>
        </w:rPr>
      </w:pPr>
    </w:p>
    <w:p>
      <w:pPr>
        <w:spacing w:line="594" w:lineRule="exact"/>
        <w:ind w:firstLine="640" w:firstLineChars="200"/>
        <w:rPr>
          <w:color w:val="000000"/>
          <w:szCs w:val="32"/>
        </w:rPr>
      </w:pPr>
    </w:p>
    <w:p>
      <w:pPr>
        <w:spacing w:line="594" w:lineRule="exact"/>
        <w:ind w:firstLine="640" w:firstLineChars="200"/>
        <w:rPr>
          <w:color w:val="000000"/>
          <w:szCs w:val="32"/>
        </w:rPr>
      </w:pPr>
    </w:p>
    <w:p>
      <w:pPr>
        <w:spacing w:line="594" w:lineRule="exact"/>
        <w:ind w:firstLine="640" w:firstLineChars="200"/>
        <w:rPr>
          <w:color w:val="000000"/>
          <w:szCs w:val="32"/>
        </w:rPr>
      </w:pPr>
    </w:p>
    <w:p>
      <w:pPr>
        <w:spacing w:line="594" w:lineRule="exact"/>
        <w:ind w:firstLine="640" w:firstLineChars="200"/>
        <w:rPr>
          <w:color w:val="000000"/>
          <w:szCs w:val="32"/>
        </w:rPr>
      </w:pPr>
    </w:p>
    <w:p>
      <w:pPr>
        <w:spacing w:line="594" w:lineRule="exact"/>
        <w:ind w:firstLine="640" w:firstLineChars="200"/>
        <w:rPr>
          <w:color w:val="000000"/>
          <w:szCs w:val="32"/>
        </w:rPr>
      </w:pPr>
    </w:p>
    <w:p>
      <w:pPr>
        <w:spacing w:line="594" w:lineRule="exact"/>
        <w:ind w:firstLine="640" w:firstLineChars="200"/>
        <w:rPr>
          <w:color w:val="000000"/>
          <w:szCs w:val="32"/>
        </w:rPr>
      </w:pPr>
    </w:p>
    <w:p>
      <w:pPr>
        <w:spacing w:line="594" w:lineRule="exact"/>
        <w:ind w:firstLine="640" w:firstLineChars="200"/>
        <w:rPr>
          <w:color w:val="000000"/>
          <w:szCs w:val="32"/>
        </w:rPr>
      </w:pPr>
    </w:p>
    <w:p>
      <w:pPr>
        <w:jc w:val="center"/>
        <w:rPr>
          <w:rFonts w:eastAsia="方正小标宋_GBK"/>
          <w:color w:val="000000"/>
          <w:sz w:val="48"/>
          <w:szCs w:val="48"/>
        </w:rPr>
      </w:pPr>
    </w:p>
    <w:p>
      <w:pPr>
        <w:jc w:val="center"/>
        <w:rPr>
          <w:rFonts w:eastAsia="方正小标宋_GBK"/>
          <w:color w:val="000000"/>
          <w:sz w:val="48"/>
          <w:szCs w:val="48"/>
        </w:rPr>
        <w:sectPr>
          <w:footerReference r:id="rId3" w:type="default"/>
          <w:footerReference r:id="rId4" w:type="even"/>
          <w:pgSz w:w="11906" w:h="16838"/>
          <w:pgMar w:top="2098" w:right="1474" w:bottom="1984" w:left="1588" w:header="1418" w:footer="1304" w:gutter="0"/>
          <w:pgNumType w:fmt="numberInDash" w:start="1"/>
          <w:cols w:space="720" w:num="1"/>
          <w:docGrid w:linePitch="435" w:charSpace="0"/>
        </w:sectPr>
      </w:pPr>
    </w:p>
    <w:p>
      <w:pPr>
        <w:keepNext w:val="0"/>
        <w:keepLines w:val="0"/>
        <w:pageBreakBefore w:val="0"/>
        <w:kinsoku/>
        <w:wordWrap/>
        <w:topLinePunct w:val="0"/>
        <w:bidi w:val="0"/>
        <w:snapToGrid/>
        <w:spacing w:line="579" w:lineRule="exact"/>
        <w:jc w:val="center"/>
        <w:textAlignment w:val="auto"/>
        <w:outlineLvl w:val="9"/>
        <w:rPr>
          <w:rFonts w:eastAsia="方正小标宋_GBK"/>
          <w:color w:val="000000"/>
          <w:sz w:val="48"/>
          <w:szCs w:val="48"/>
        </w:rPr>
      </w:pPr>
      <w:r>
        <w:rPr>
          <w:rFonts w:hAnsi="宋体" w:eastAsia="方正小标宋_GBK"/>
          <w:color w:val="000000"/>
          <w:sz w:val="48"/>
          <w:szCs w:val="48"/>
        </w:rPr>
        <w:t>黔江区卫生健康发展</w:t>
      </w:r>
      <w:r>
        <w:rPr>
          <w:rFonts w:eastAsia="方正小标宋_GBK"/>
          <w:color w:val="000000"/>
          <w:sz w:val="48"/>
          <w:szCs w:val="48"/>
        </w:rPr>
        <w:t>“</w:t>
      </w:r>
      <w:r>
        <w:rPr>
          <w:rFonts w:hAnsi="宋体" w:eastAsia="方正小标宋_GBK"/>
          <w:color w:val="000000"/>
          <w:sz w:val="48"/>
          <w:szCs w:val="48"/>
        </w:rPr>
        <w:t>十四五</w:t>
      </w:r>
      <w:r>
        <w:rPr>
          <w:rFonts w:eastAsia="方正小标宋_GBK"/>
          <w:color w:val="000000"/>
          <w:sz w:val="48"/>
          <w:szCs w:val="48"/>
        </w:rPr>
        <w:t>”</w:t>
      </w:r>
      <w:r>
        <w:rPr>
          <w:rFonts w:hAnsi="宋体" w:eastAsia="方正小标宋_GBK"/>
          <w:color w:val="000000"/>
          <w:sz w:val="48"/>
          <w:szCs w:val="48"/>
        </w:rPr>
        <w:t>规划</w:t>
      </w:r>
    </w:p>
    <w:p>
      <w:pPr>
        <w:keepNext w:val="0"/>
        <w:keepLines w:val="0"/>
        <w:pageBreakBefore w:val="0"/>
        <w:kinsoku/>
        <w:wordWrap/>
        <w:topLinePunct w:val="0"/>
        <w:bidi w:val="0"/>
        <w:snapToGrid/>
        <w:spacing w:line="579" w:lineRule="exact"/>
        <w:textAlignment w:val="auto"/>
        <w:outlineLvl w:val="9"/>
        <w:rPr>
          <w:color w:val="000000"/>
          <w:szCs w:val="32"/>
        </w:rPr>
      </w:pPr>
    </w:p>
    <w:p>
      <w:pPr>
        <w:keepNext w:val="0"/>
        <w:keepLines w:val="0"/>
        <w:pageBreakBefore w:val="0"/>
        <w:kinsoku/>
        <w:wordWrap/>
        <w:topLinePunct w:val="0"/>
        <w:bidi w:val="0"/>
        <w:snapToGrid/>
        <w:spacing w:line="579" w:lineRule="exact"/>
        <w:ind w:firstLine="640" w:firstLineChars="200"/>
        <w:textAlignment w:val="auto"/>
        <w:outlineLvl w:val="9"/>
        <w:rPr>
          <w:color w:val="000000"/>
          <w:szCs w:val="32"/>
        </w:rPr>
      </w:pPr>
      <w:r>
        <w:rPr>
          <w:color w:val="000000"/>
          <w:szCs w:val="32"/>
        </w:rPr>
        <w:t>“</w:t>
      </w:r>
      <w:r>
        <w:rPr>
          <w:rFonts w:hAnsi="宋体"/>
          <w:color w:val="000000"/>
          <w:szCs w:val="32"/>
        </w:rPr>
        <w:t>十四五</w:t>
      </w:r>
      <w:r>
        <w:rPr>
          <w:color w:val="000000"/>
          <w:szCs w:val="32"/>
        </w:rPr>
        <w:t>”</w:t>
      </w:r>
      <w:r>
        <w:rPr>
          <w:rFonts w:hAnsi="宋体"/>
          <w:color w:val="000000"/>
          <w:szCs w:val="32"/>
        </w:rPr>
        <w:t>时期是全区全面融入成渝地区双城经济圈建设和全市</w:t>
      </w:r>
      <w:r>
        <w:rPr>
          <w:color w:val="000000"/>
          <w:szCs w:val="32"/>
        </w:rPr>
        <w:t>“</w:t>
      </w:r>
      <w:r>
        <w:rPr>
          <w:rFonts w:hAnsi="宋体"/>
          <w:color w:val="000000"/>
          <w:szCs w:val="32"/>
        </w:rPr>
        <w:t>一区两群</w:t>
      </w:r>
      <w:r>
        <w:rPr>
          <w:color w:val="000000"/>
          <w:szCs w:val="32"/>
        </w:rPr>
        <w:t>”</w:t>
      </w:r>
      <w:r>
        <w:rPr>
          <w:rFonts w:hAnsi="宋体"/>
          <w:color w:val="000000"/>
          <w:szCs w:val="32"/>
        </w:rPr>
        <w:t>协调发展，加快建成渝东南区域中心城市，谱写高质量发展新篇章、开启社会主义现代化建设新征程的关键时期。为深入推进健康中国黔江行动，根据《中共重庆市黔江区委关于制定黔江区国民经济和社会发展第十四个五年规划和二</w:t>
      </w:r>
      <w:r>
        <w:rPr>
          <w:rFonts w:hint="eastAsia"/>
          <w:color w:val="000000"/>
          <w:szCs w:val="32"/>
          <w:lang w:eastAsia="zh-CN"/>
        </w:rPr>
        <w:t>〇</w:t>
      </w:r>
      <w:r>
        <w:rPr>
          <w:rFonts w:hAnsi="宋体"/>
          <w:color w:val="000000"/>
          <w:szCs w:val="32"/>
        </w:rPr>
        <w:t>三五年远景目标的建议》《重庆市黔江区国民经济和社会发展第十四个五年规划和二</w:t>
      </w:r>
      <w:r>
        <w:rPr>
          <w:rFonts w:hint="eastAsia"/>
          <w:color w:val="000000"/>
          <w:szCs w:val="32"/>
          <w:lang w:eastAsia="zh-CN"/>
        </w:rPr>
        <w:t>〇</w:t>
      </w:r>
      <w:r>
        <w:rPr>
          <w:rFonts w:hAnsi="宋体"/>
          <w:color w:val="000000"/>
          <w:szCs w:val="32"/>
        </w:rPr>
        <w:t>三五年远景目标纲要》《重庆市卫生健康发展</w:t>
      </w:r>
      <w:r>
        <w:rPr>
          <w:color w:val="000000"/>
          <w:szCs w:val="32"/>
        </w:rPr>
        <w:t>“</w:t>
      </w:r>
      <w:r>
        <w:rPr>
          <w:rFonts w:hAnsi="宋体"/>
          <w:color w:val="000000"/>
          <w:szCs w:val="32"/>
        </w:rPr>
        <w:t>十四五</w:t>
      </w:r>
      <w:r>
        <w:rPr>
          <w:color w:val="000000"/>
          <w:szCs w:val="32"/>
        </w:rPr>
        <w:t>”</w:t>
      </w:r>
      <w:r>
        <w:rPr>
          <w:rFonts w:hAnsi="宋体"/>
          <w:color w:val="000000"/>
          <w:szCs w:val="32"/>
        </w:rPr>
        <w:t>规划》，编制本规划。</w:t>
      </w:r>
    </w:p>
    <w:p>
      <w:pPr>
        <w:keepNext w:val="0"/>
        <w:keepLines w:val="0"/>
        <w:pageBreakBefore w:val="0"/>
        <w:kinsoku/>
        <w:wordWrap/>
        <w:topLinePunct w:val="0"/>
        <w:bidi w:val="0"/>
        <w:snapToGrid/>
        <w:spacing w:line="579" w:lineRule="exact"/>
        <w:ind w:firstLine="640" w:firstLineChars="200"/>
        <w:jc w:val="left"/>
        <w:textAlignment w:val="auto"/>
        <w:outlineLvl w:val="9"/>
        <w:rPr>
          <w:rFonts w:eastAsia="方正黑体_GBK"/>
          <w:color w:val="000000"/>
          <w:szCs w:val="32"/>
        </w:rPr>
      </w:pPr>
      <w:r>
        <w:rPr>
          <w:rFonts w:hAnsi="宋体" w:eastAsia="方正黑体_GBK"/>
          <w:color w:val="000000"/>
          <w:szCs w:val="32"/>
        </w:rPr>
        <w:t>一、规划背景</w:t>
      </w:r>
    </w:p>
    <w:p>
      <w:pPr>
        <w:keepNext w:val="0"/>
        <w:keepLines w:val="0"/>
        <w:pageBreakBefore w:val="0"/>
        <w:kinsoku/>
        <w:wordWrap/>
        <w:topLinePunct w:val="0"/>
        <w:bidi w:val="0"/>
        <w:snapToGrid/>
        <w:spacing w:line="579" w:lineRule="exact"/>
        <w:ind w:firstLine="640" w:firstLineChars="200"/>
        <w:jc w:val="left"/>
        <w:textAlignment w:val="auto"/>
        <w:outlineLvl w:val="9"/>
        <w:rPr>
          <w:rFonts w:eastAsia="方正楷体_GBK"/>
          <w:color w:val="000000"/>
          <w:szCs w:val="32"/>
        </w:rPr>
      </w:pPr>
      <w:r>
        <w:rPr>
          <w:rFonts w:hAnsi="宋体" w:eastAsia="方正楷体_GBK"/>
          <w:color w:val="000000"/>
          <w:szCs w:val="32"/>
        </w:rPr>
        <w:t>（一）</w:t>
      </w:r>
      <w:r>
        <w:rPr>
          <w:rFonts w:eastAsia="方正楷体_GBK"/>
          <w:color w:val="000000"/>
          <w:szCs w:val="32"/>
        </w:rPr>
        <w:t>“</w:t>
      </w:r>
      <w:r>
        <w:rPr>
          <w:rFonts w:hAnsi="宋体" w:eastAsia="方正楷体_GBK"/>
          <w:color w:val="000000"/>
          <w:szCs w:val="32"/>
        </w:rPr>
        <w:t>十三五</w:t>
      </w:r>
      <w:r>
        <w:rPr>
          <w:rFonts w:eastAsia="方正楷体_GBK"/>
          <w:color w:val="000000"/>
          <w:szCs w:val="32"/>
        </w:rPr>
        <w:t>”</w:t>
      </w:r>
      <w:r>
        <w:rPr>
          <w:rFonts w:hAnsi="宋体" w:eastAsia="方正楷体_GBK"/>
          <w:color w:val="000000"/>
          <w:szCs w:val="32"/>
        </w:rPr>
        <w:t>时期发展成效</w:t>
      </w:r>
    </w:p>
    <w:p>
      <w:pPr>
        <w:keepNext w:val="0"/>
        <w:keepLines w:val="0"/>
        <w:pageBreakBefore w:val="0"/>
        <w:kinsoku/>
        <w:wordWrap/>
        <w:topLinePunct w:val="0"/>
        <w:bidi w:val="0"/>
        <w:snapToGrid/>
        <w:spacing w:line="579" w:lineRule="exact"/>
        <w:ind w:firstLine="640" w:firstLineChars="200"/>
        <w:textAlignment w:val="auto"/>
        <w:outlineLvl w:val="9"/>
        <w:rPr>
          <w:color w:val="000000"/>
          <w:szCs w:val="32"/>
        </w:rPr>
      </w:pPr>
      <w:r>
        <w:rPr>
          <w:color w:val="000000"/>
          <w:szCs w:val="32"/>
        </w:rPr>
        <w:t>“</w:t>
      </w:r>
      <w:r>
        <w:rPr>
          <w:rFonts w:hAnsi="宋体"/>
          <w:color w:val="000000"/>
          <w:szCs w:val="32"/>
        </w:rPr>
        <w:t>十三五</w:t>
      </w:r>
      <w:r>
        <w:rPr>
          <w:color w:val="000000"/>
          <w:szCs w:val="32"/>
        </w:rPr>
        <w:t>”</w:t>
      </w:r>
      <w:r>
        <w:rPr>
          <w:rFonts w:hAnsi="宋体"/>
          <w:color w:val="000000"/>
          <w:szCs w:val="32"/>
        </w:rPr>
        <w:t>时期，全区深入学习贯彻习近平总书记在全国卫生与健康大会上的重要讲话精神，坚持卫生与健康工作方针、贯彻</w:t>
      </w:r>
      <w:r>
        <w:rPr>
          <w:color w:val="000000"/>
          <w:szCs w:val="32"/>
        </w:rPr>
        <w:t>“</w:t>
      </w:r>
      <w:r>
        <w:rPr>
          <w:rFonts w:hAnsi="宋体"/>
          <w:color w:val="000000"/>
          <w:szCs w:val="32"/>
        </w:rPr>
        <w:t>大卫生、大健康</w:t>
      </w:r>
      <w:r>
        <w:rPr>
          <w:color w:val="000000"/>
          <w:szCs w:val="32"/>
        </w:rPr>
        <w:t>”</w:t>
      </w:r>
      <w:r>
        <w:rPr>
          <w:rFonts w:hAnsi="宋体"/>
          <w:color w:val="000000"/>
          <w:szCs w:val="32"/>
        </w:rPr>
        <w:t>理念，</w:t>
      </w:r>
      <w:r>
        <w:rPr>
          <w:rFonts w:hAnsi="宋体"/>
          <w:color w:val="000000"/>
          <w:kern w:val="32"/>
          <w:szCs w:val="32"/>
        </w:rPr>
        <w:t>以</w:t>
      </w:r>
      <w:r>
        <w:rPr>
          <w:color w:val="000000"/>
          <w:kern w:val="32"/>
          <w:szCs w:val="32"/>
        </w:rPr>
        <w:t>“</w:t>
      </w:r>
      <w:r>
        <w:rPr>
          <w:rFonts w:hAnsi="宋体"/>
          <w:color w:val="000000"/>
          <w:kern w:val="32"/>
          <w:szCs w:val="32"/>
        </w:rPr>
        <w:t>保基本、强基层、建机制</w:t>
      </w:r>
      <w:r>
        <w:rPr>
          <w:color w:val="000000"/>
          <w:kern w:val="32"/>
          <w:szCs w:val="32"/>
        </w:rPr>
        <w:t>”</w:t>
      </w:r>
      <w:r>
        <w:rPr>
          <w:rFonts w:hAnsi="宋体"/>
          <w:color w:val="000000"/>
          <w:kern w:val="32"/>
          <w:szCs w:val="32"/>
        </w:rPr>
        <w:t>为重点</w:t>
      </w:r>
      <w:r>
        <w:rPr>
          <w:rFonts w:hAnsi="宋体"/>
          <w:color w:val="000000"/>
          <w:szCs w:val="32"/>
        </w:rPr>
        <w:t>，以全面深化医药卫生体制改革为动力，实施</w:t>
      </w:r>
      <w:r>
        <w:rPr>
          <w:rFonts w:hAnsi="宋体"/>
          <w:color w:val="000000"/>
          <w:kern w:val="32"/>
          <w:szCs w:val="32"/>
        </w:rPr>
        <w:t>健康</w:t>
      </w:r>
      <w:r>
        <w:rPr>
          <w:rFonts w:hAnsi="宋体"/>
          <w:color w:val="000000"/>
          <w:szCs w:val="32"/>
        </w:rPr>
        <w:t>中国黔江行动，卫生与健康事业长足发展，人民健康水平持续提高。</w:t>
      </w:r>
      <w:r>
        <w:rPr>
          <w:color w:val="000000"/>
          <w:szCs w:val="32"/>
        </w:rPr>
        <w:t>2020</w:t>
      </w:r>
      <w:r>
        <w:rPr>
          <w:rFonts w:hAnsi="宋体"/>
          <w:color w:val="000000"/>
          <w:szCs w:val="32"/>
        </w:rPr>
        <w:t>年，全区人均预期寿命</w:t>
      </w:r>
      <w:r>
        <w:rPr>
          <w:color w:val="000000"/>
          <w:szCs w:val="32"/>
        </w:rPr>
        <w:t>76.62</w:t>
      </w:r>
      <w:r>
        <w:rPr>
          <w:rFonts w:hAnsi="宋体"/>
          <w:color w:val="000000"/>
          <w:szCs w:val="32"/>
        </w:rPr>
        <w:t>岁，婴儿死亡率</w:t>
      </w:r>
      <w:r>
        <w:rPr>
          <w:color w:val="000000"/>
          <w:szCs w:val="32"/>
        </w:rPr>
        <w:t>3.81‰</w:t>
      </w:r>
      <w:r>
        <w:rPr>
          <w:rFonts w:hAnsi="宋体"/>
          <w:color w:val="000000"/>
          <w:szCs w:val="32"/>
        </w:rPr>
        <w:t>，孕产妇零死亡，居民健康素养水平达到</w:t>
      </w:r>
      <w:r>
        <w:rPr>
          <w:color w:val="000000"/>
          <w:szCs w:val="32"/>
        </w:rPr>
        <w:t>20.58%</w:t>
      </w:r>
      <w:r>
        <w:rPr>
          <w:rFonts w:hAnsi="宋体"/>
          <w:color w:val="000000"/>
          <w:szCs w:val="32"/>
        </w:rPr>
        <w:t>，</w:t>
      </w:r>
      <w:r>
        <w:rPr>
          <w:color w:val="000000"/>
          <w:szCs w:val="32"/>
        </w:rPr>
        <w:t>“</w:t>
      </w:r>
      <w:r>
        <w:rPr>
          <w:rFonts w:hAnsi="宋体"/>
          <w:color w:val="000000"/>
          <w:szCs w:val="32"/>
        </w:rPr>
        <w:t>十三五</w:t>
      </w:r>
      <w:r>
        <w:rPr>
          <w:color w:val="000000"/>
          <w:szCs w:val="32"/>
        </w:rPr>
        <w:t>”</w:t>
      </w:r>
      <w:r>
        <w:rPr>
          <w:rFonts w:hAnsi="宋体"/>
          <w:color w:val="000000"/>
          <w:szCs w:val="32"/>
        </w:rPr>
        <w:t>卫生与健康事业规划的主要目标和任务如期完成，居民主要健康指标总体上达到全市平均水平。</w:t>
      </w:r>
    </w:p>
    <w:p>
      <w:pPr>
        <w:keepNext w:val="0"/>
        <w:keepLines w:val="0"/>
        <w:pageBreakBefore w:val="0"/>
        <w:kinsoku/>
        <w:wordWrap/>
        <w:topLinePunct w:val="0"/>
        <w:bidi w:val="0"/>
        <w:snapToGrid/>
        <w:spacing w:line="579" w:lineRule="exact"/>
        <w:ind w:firstLine="643" w:firstLineChars="200"/>
        <w:textAlignment w:val="auto"/>
        <w:outlineLvl w:val="9"/>
        <w:rPr>
          <w:color w:val="000000"/>
          <w:szCs w:val="32"/>
        </w:rPr>
      </w:pPr>
      <w:r>
        <w:rPr>
          <w:b/>
          <w:color w:val="000000"/>
          <w:kern w:val="32"/>
          <w:szCs w:val="32"/>
        </w:rPr>
        <w:t>医疗卫生板块“中心”功能逐步显现。</w:t>
      </w:r>
      <w:r>
        <w:rPr>
          <w:rFonts w:hAnsi="宋体"/>
          <w:color w:val="000000"/>
          <w:kern w:val="32"/>
          <w:szCs w:val="32"/>
        </w:rPr>
        <w:t>围绕建设</w:t>
      </w:r>
      <w:r>
        <w:rPr>
          <w:rFonts w:hAnsi="宋体"/>
          <w:color w:val="000000"/>
          <w:szCs w:val="32"/>
        </w:rPr>
        <w:t>渝东南区域中心城市，着力优质医疗资源供给能力建设，不断增强医疗卫生在渝东南武陵山区城镇群的集散功能。启动城区医疗卫生机构布局调整，中心医院正阳院区儿童医院开诊，民族医院建成康养大楼，疾控中心迁入新城，新城区医疗资源加快布局，老城区医疗资源加快调整。加强优质医疗资源供给载体建设，巩固中心医院三级甲等综合医院创建成果，加快民族医院创建三级甲等综合医院，中医院、妇幼保健院建成二甲医院，近年来，区内就医率稳定在</w:t>
      </w:r>
      <w:r>
        <w:rPr>
          <w:color w:val="000000"/>
          <w:szCs w:val="32"/>
        </w:rPr>
        <w:t>90%</w:t>
      </w:r>
      <w:r>
        <w:rPr>
          <w:rFonts w:hAnsi="宋体"/>
          <w:color w:val="000000"/>
          <w:szCs w:val="32"/>
        </w:rPr>
        <w:t>以上，区外来黔江就诊病人占比稳定在</w:t>
      </w:r>
      <w:r>
        <w:rPr>
          <w:color w:val="000000"/>
          <w:szCs w:val="32"/>
        </w:rPr>
        <w:t>30%</w:t>
      </w:r>
      <w:r>
        <w:rPr>
          <w:rFonts w:hAnsi="宋体"/>
          <w:color w:val="000000"/>
          <w:szCs w:val="32"/>
        </w:rPr>
        <w:t>以上。保障</w:t>
      </w:r>
      <w:r>
        <w:rPr>
          <w:color w:val="000000"/>
          <w:szCs w:val="32"/>
        </w:rPr>
        <w:t>“</w:t>
      </w:r>
      <w:r>
        <w:rPr>
          <w:rFonts w:hAnsi="宋体"/>
          <w:color w:val="000000"/>
          <w:szCs w:val="32"/>
        </w:rPr>
        <w:t>一区两县</w:t>
      </w:r>
      <w:r>
        <w:rPr>
          <w:color w:val="000000"/>
          <w:szCs w:val="32"/>
        </w:rPr>
        <w:t>”</w:t>
      </w:r>
      <w:r>
        <w:rPr>
          <w:rFonts w:hAnsi="宋体"/>
          <w:color w:val="000000"/>
          <w:szCs w:val="32"/>
        </w:rPr>
        <w:t>临床用血。新冠肺炎疫情期间，发挥了流行病学调查对渝东南的业务指导作用，承担了渝东南新冠肺炎患者集中救治任务。</w:t>
      </w:r>
    </w:p>
    <w:p>
      <w:pPr>
        <w:keepNext w:val="0"/>
        <w:keepLines w:val="0"/>
        <w:pageBreakBefore w:val="0"/>
        <w:kinsoku/>
        <w:wordWrap/>
        <w:topLinePunct w:val="0"/>
        <w:bidi w:val="0"/>
        <w:snapToGrid/>
        <w:spacing w:line="579" w:lineRule="exact"/>
        <w:ind w:firstLine="643" w:firstLineChars="200"/>
        <w:textAlignment w:val="auto"/>
        <w:outlineLvl w:val="9"/>
        <w:rPr>
          <w:color w:val="000000"/>
          <w:szCs w:val="32"/>
        </w:rPr>
      </w:pPr>
      <w:r>
        <w:rPr>
          <w:b/>
          <w:color w:val="000000"/>
          <w:szCs w:val="32"/>
        </w:rPr>
        <w:t>居民健康水平持续提升。</w:t>
      </w:r>
      <w:r>
        <w:rPr>
          <w:rFonts w:hAnsi="宋体"/>
          <w:color w:val="000000"/>
          <w:szCs w:val="32"/>
        </w:rPr>
        <w:t>贯彻落实《健康黔江</w:t>
      </w:r>
      <w:r>
        <w:rPr>
          <w:color w:val="000000"/>
          <w:szCs w:val="32"/>
        </w:rPr>
        <w:t>2030</w:t>
      </w:r>
      <w:r>
        <w:rPr>
          <w:rFonts w:hAnsi="宋体"/>
          <w:color w:val="000000"/>
          <w:szCs w:val="32"/>
        </w:rPr>
        <w:t>规划》，建成国家卫生区，启动健康中国黔江行动，建成全国健康促进区。推进基本公共卫生服务均等化，基本公共卫生服务人均经费补助标准提高到</w:t>
      </w:r>
      <w:r>
        <w:rPr>
          <w:color w:val="000000"/>
          <w:szCs w:val="32"/>
        </w:rPr>
        <w:t>74</w:t>
      </w:r>
      <w:r>
        <w:rPr>
          <w:rFonts w:hAnsi="宋体"/>
          <w:color w:val="000000"/>
          <w:szCs w:val="32"/>
        </w:rPr>
        <w:t>元。重大疾病防治成效显著，因心脑血管疾病、癌症、慢性呼吸系统疾病和糖尿病导致的过早死亡率降到</w:t>
      </w:r>
      <w:r>
        <w:rPr>
          <w:color w:val="000000"/>
          <w:szCs w:val="32"/>
        </w:rPr>
        <w:t>13.22%</w:t>
      </w:r>
      <w:r>
        <w:rPr>
          <w:rFonts w:hAnsi="宋体"/>
          <w:color w:val="000000"/>
          <w:szCs w:val="32"/>
        </w:rPr>
        <w:t>，肺结核报告发病率降至</w:t>
      </w:r>
      <w:r>
        <w:rPr>
          <w:color w:val="000000"/>
          <w:szCs w:val="32"/>
        </w:rPr>
        <w:t>137.01/10</w:t>
      </w:r>
      <w:r>
        <w:rPr>
          <w:rFonts w:hAnsi="宋体"/>
          <w:color w:val="000000"/>
          <w:szCs w:val="32"/>
        </w:rPr>
        <w:t>万，</w:t>
      </w:r>
      <w:r>
        <w:rPr>
          <w:rFonts w:hAnsi="宋体"/>
          <w:color w:val="000000"/>
        </w:rPr>
        <w:t>在册严重精神障碍患者</w:t>
      </w:r>
      <w:r>
        <w:rPr>
          <w:rFonts w:hAnsi="宋体"/>
          <w:color w:val="000000"/>
          <w:szCs w:val="32"/>
        </w:rPr>
        <w:t>规范管理率达到</w:t>
      </w:r>
      <w:r>
        <w:rPr>
          <w:color w:val="000000"/>
          <w:szCs w:val="32"/>
        </w:rPr>
        <w:t>91.61%</w:t>
      </w:r>
      <w:r>
        <w:rPr>
          <w:rFonts w:hAnsi="宋体"/>
          <w:color w:val="000000"/>
          <w:szCs w:val="32"/>
        </w:rPr>
        <w:t>，启动尘肺病防治攻坚行动，建成国家慢性病综合防控示范区。爱国卫生运动深入开展，卫生健康综合监督执法进一步加强。落实生育登记服务制度，实施全面两孩政策，建立人口与家庭发展动态监测制度，生育登记服务目标人群覆盖率</w:t>
      </w:r>
      <w:r>
        <w:rPr>
          <w:color w:val="000000"/>
          <w:szCs w:val="32"/>
        </w:rPr>
        <w:t>100%</w:t>
      </w:r>
      <w:r>
        <w:rPr>
          <w:rFonts w:hAnsi="宋体"/>
          <w:color w:val="000000"/>
          <w:szCs w:val="32"/>
        </w:rPr>
        <w:t>，总常住人口性别比</w:t>
      </w:r>
      <w:r>
        <w:rPr>
          <w:color w:val="000000"/>
          <w:szCs w:val="32"/>
        </w:rPr>
        <w:t>103.81</w:t>
      </w:r>
      <w:r>
        <w:rPr>
          <w:rFonts w:hAnsi="宋体"/>
          <w:color w:val="000000"/>
          <w:szCs w:val="32"/>
        </w:rPr>
        <w:t>。</w:t>
      </w:r>
    </w:p>
    <w:p>
      <w:pPr>
        <w:keepNext w:val="0"/>
        <w:keepLines w:val="0"/>
        <w:pageBreakBefore w:val="0"/>
        <w:kinsoku/>
        <w:wordWrap/>
        <w:overflowPunct w:val="0"/>
        <w:topLinePunct w:val="0"/>
        <w:bidi w:val="0"/>
        <w:snapToGrid/>
        <w:spacing w:line="579" w:lineRule="exact"/>
        <w:ind w:firstLine="643" w:firstLineChars="200"/>
        <w:textAlignment w:val="auto"/>
        <w:outlineLvl w:val="9"/>
        <w:rPr>
          <w:color w:val="000000"/>
          <w:szCs w:val="32"/>
        </w:rPr>
      </w:pPr>
      <w:r>
        <w:rPr>
          <w:b/>
          <w:color w:val="000000"/>
          <w:szCs w:val="32"/>
        </w:rPr>
        <w:t>医疗服务能力逐步增强。</w:t>
      </w:r>
      <w:r>
        <w:rPr>
          <w:rFonts w:hAnsi="宋体"/>
          <w:color w:val="000000"/>
          <w:szCs w:val="32"/>
        </w:rPr>
        <w:t>中心医院在</w:t>
      </w:r>
      <w:r>
        <w:rPr>
          <w:color w:val="000000"/>
          <w:szCs w:val="32"/>
        </w:rPr>
        <w:t>2019</w:t>
      </w:r>
      <w:r>
        <w:rPr>
          <w:rFonts w:hAnsi="宋体"/>
          <w:color w:val="000000"/>
          <w:szCs w:val="32"/>
        </w:rPr>
        <w:t>年国家三级公立医院绩效考核全国排名</w:t>
      </w:r>
      <w:r>
        <w:rPr>
          <w:color w:val="000000"/>
          <w:szCs w:val="32"/>
        </w:rPr>
        <w:t>492</w:t>
      </w:r>
      <w:r>
        <w:rPr>
          <w:rFonts w:hAnsi="宋体"/>
          <w:color w:val="000000"/>
          <w:szCs w:val="32"/>
        </w:rPr>
        <w:t>名，在中心医院建成重庆市临床重点专科和区域医学重点学科</w:t>
      </w:r>
      <w:r>
        <w:rPr>
          <w:color w:val="000000"/>
          <w:szCs w:val="32"/>
        </w:rPr>
        <w:t>10</w:t>
      </w:r>
      <w:r>
        <w:rPr>
          <w:rFonts w:hAnsi="宋体"/>
          <w:color w:val="000000"/>
          <w:szCs w:val="32"/>
        </w:rPr>
        <w:t>个、重庆市重症医学、肿瘤医学医疗质控中心等</w:t>
      </w:r>
      <w:r>
        <w:rPr>
          <w:color w:val="000000"/>
          <w:szCs w:val="32"/>
        </w:rPr>
        <w:t>7</w:t>
      </w:r>
      <w:r>
        <w:rPr>
          <w:rFonts w:hAnsi="宋体"/>
          <w:color w:val="000000"/>
          <w:szCs w:val="32"/>
        </w:rPr>
        <w:t>个渝东南分中心，建成重庆市急救中心黔江分中心、重庆市二级传染病救治中心等</w:t>
      </w:r>
      <w:r>
        <w:rPr>
          <w:color w:val="000000"/>
          <w:szCs w:val="32"/>
        </w:rPr>
        <w:t>15</w:t>
      </w:r>
      <w:r>
        <w:rPr>
          <w:rFonts w:hAnsi="宋体"/>
          <w:color w:val="000000"/>
          <w:szCs w:val="32"/>
        </w:rPr>
        <w:t>个市级分中心。民族医院建成康养综合体，建成重庆市临床重点专科</w:t>
      </w:r>
      <w:r>
        <w:rPr>
          <w:color w:val="000000"/>
          <w:szCs w:val="32"/>
        </w:rPr>
        <w:t>2</w:t>
      </w:r>
      <w:r>
        <w:rPr>
          <w:rFonts w:hAnsi="宋体"/>
          <w:color w:val="000000"/>
          <w:szCs w:val="32"/>
        </w:rPr>
        <w:t>个、重庆市医疗特色专科</w:t>
      </w:r>
      <w:r>
        <w:rPr>
          <w:color w:val="000000"/>
          <w:szCs w:val="32"/>
        </w:rPr>
        <w:t>1</w:t>
      </w:r>
      <w:r>
        <w:rPr>
          <w:rFonts w:hAnsi="宋体"/>
          <w:color w:val="000000"/>
          <w:szCs w:val="32"/>
        </w:rPr>
        <w:t>个。加强卫生人才引进培养，依托重庆医科大学，按照</w:t>
      </w:r>
      <w:r>
        <w:rPr>
          <w:color w:val="000000"/>
          <w:szCs w:val="32"/>
        </w:rPr>
        <w:t>“5+3”</w:t>
      </w:r>
      <w:r>
        <w:rPr>
          <w:rFonts w:hAnsi="宋体"/>
          <w:color w:val="000000"/>
          <w:szCs w:val="32"/>
        </w:rPr>
        <w:t>模式为基层医疗卫生机构定向培养医学类本科生</w:t>
      </w:r>
      <w:r>
        <w:rPr>
          <w:color w:val="000000"/>
          <w:szCs w:val="32"/>
        </w:rPr>
        <w:t>45</w:t>
      </w:r>
      <w:r>
        <w:rPr>
          <w:rFonts w:hAnsi="宋体"/>
          <w:color w:val="000000"/>
          <w:szCs w:val="32"/>
        </w:rPr>
        <w:t>名，轮训基层医务人员</w:t>
      </w:r>
      <w:r>
        <w:rPr>
          <w:color w:val="000000"/>
          <w:szCs w:val="32"/>
        </w:rPr>
        <w:t>700</w:t>
      </w:r>
      <w:r>
        <w:rPr>
          <w:rFonts w:hAnsi="宋体"/>
          <w:color w:val="000000"/>
          <w:szCs w:val="32"/>
        </w:rPr>
        <w:t>人次，全区医疗卫生人员正高职称</w:t>
      </w:r>
      <w:r>
        <w:rPr>
          <w:color w:val="000000"/>
          <w:szCs w:val="32"/>
        </w:rPr>
        <w:t>72</w:t>
      </w:r>
      <w:r>
        <w:rPr>
          <w:rFonts w:hAnsi="宋体"/>
          <w:color w:val="000000"/>
          <w:szCs w:val="32"/>
        </w:rPr>
        <w:t>人、副高职称</w:t>
      </w:r>
      <w:r>
        <w:rPr>
          <w:color w:val="000000"/>
          <w:szCs w:val="32"/>
        </w:rPr>
        <w:t>307</w:t>
      </w:r>
      <w:r>
        <w:rPr>
          <w:rFonts w:hAnsi="宋体"/>
          <w:color w:val="000000"/>
          <w:szCs w:val="32"/>
        </w:rPr>
        <w:t>人、全科医生</w:t>
      </w:r>
      <w:r>
        <w:rPr>
          <w:color w:val="000000"/>
          <w:szCs w:val="32"/>
        </w:rPr>
        <w:t>156</w:t>
      </w:r>
      <w:r>
        <w:rPr>
          <w:rFonts w:hAnsi="宋体"/>
          <w:color w:val="000000"/>
          <w:szCs w:val="32"/>
        </w:rPr>
        <w:t>人。扎实开展医疗质量提升行动，分级分类开展医疗卫生服务质量评价，加强民营医疗机构服务质量监管，推广卫生适宜技术</w:t>
      </w:r>
      <w:r>
        <w:rPr>
          <w:color w:val="000000"/>
          <w:szCs w:val="32"/>
        </w:rPr>
        <w:t>30</w:t>
      </w:r>
      <w:r>
        <w:rPr>
          <w:rFonts w:hAnsi="宋体"/>
          <w:color w:val="000000"/>
          <w:szCs w:val="32"/>
        </w:rPr>
        <w:t>项。基层医疗卫生机构服务能力稳步提升，</w:t>
      </w:r>
      <w:r>
        <w:rPr>
          <w:color w:val="000000"/>
          <w:szCs w:val="32"/>
        </w:rPr>
        <w:t>66</w:t>
      </w:r>
      <w:r>
        <w:rPr>
          <w:rFonts w:hAnsi="宋体"/>
          <w:color w:val="000000"/>
          <w:szCs w:val="32"/>
        </w:rPr>
        <w:t>个基层首诊病种达到</w:t>
      </w:r>
      <w:r>
        <w:rPr>
          <w:color w:val="000000"/>
          <w:szCs w:val="32"/>
        </w:rPr>
        <w:t>50</w:t>
      </w:r>
      <w:r>
        <w:rPr>
          <w:rFonts w:hAnsi="宋体"/>
          <w:color w:val="000000"/>
          <w:szCs w:val="32"/>
        </w:rPr>
        <w:t>个，建成一批星级卫生室。实施中医药发展工程，加快中医院建设发展，中医院肝病科通过市级中医重点专科申报，心病科、肾病科通过市级中医特色专科申报，中心医院启动重庆市名中医传承工作室建设。加强医院中医科、中医馆建设，</w:t>
      </w:r>
      <w:r>
        <w:rPr>
          <w:color w:val="000000"/>
          <w:szCs w:val="32"/>
        </w:rPr>
        <w:t>100%</w:t>
      </w:r>
      <w:r>
        <w:rPr>
          <w:rFonts w:hAnsi="宋体"/>
          <w:color w:val="000000"/>
          <w:szCs w:val="32"/>
        </w:rPr>
        <w:t>的基层医疗卫生机构、</w:t>
      </w:r>
      <w:r>
        <w:rPr>
          <w:color w:val="000000"/>
          <w:szCs w:val="32"/>
        </w:rPr>
        <w:t>71%</w:t>
      </w:r>
      <w:r>
        <w:rPr>
          <w:rFonts w:hAnsi="宋体"/>
          <w:color w:val="000000"/>
          <w:szCs w:val="32"/>
        </w:rPr>
        <w:t>村卫生室提供中医药服务。</w:t>
      </w:r>
    </w:p>
    <w:p>
      <w:pPr>
        <w:keepNext w:val="0"/>
        <w:keepLines w:val="0"/>
        <w:pageBreakBefore w:val="0"/>
        <w:kinsoku/>
        <w:wordWrap/>
        <w:overflowPunct w:val="0"/>
        <w:topLinePunct w:val="0"/>
        <w:bidi w:val="0"/>
        <w:snapToGrid/>
        <w:spacing w:line="579" w:lineRule="exact"/>
        <w:ind w:firstLine="643" w:firstLineChars="200"/>
        <w:textAlignment w:val="auto"/>
        <w:outlineLvl w:val="9"/>
        <w:rPr>
          <w:bCs/>
          <w:color w:val="000000"/>
          <w:szCs w:val="32"/>
        </w:rPr>
      </w:pPr>
      <w:r>
        <w:rPr>
          <w:b/>
          <w:color w:val="000000"/>
          <w:szCs w:val="32"/>
        </w:rPr>
        <w:t>医药卫生体制改革深入推进。</w:t>
      </w:r>
      <w:r>
        <w:rPr>
          <w:rFonts w:hAnsi="宋体"/>
          <w:color w:val="000000"/>
          <w:szCs w:val="32"/>
        </w:rPr>
        <w:t>落实公立医院党委领导下的院长负责制。深化</w:t>
      </w:r>
      <w:r>
        <w:rPr>
          <w:rFonts w:hAnsi="宋体"/>
          <w:bCs/>
          <w:color w:val="000000"/>
          <w:szCs w:val="32"/>
        </w:rPr>
        <w:t>公立医院改革，全面落实</w:t>
      </w:r>
      <w:r>
        <w:rPr>
          <w:bCs/>
          <w:color w:val="000000"/>
          <w:szCs w:val="32"/>
        </w:rPr>
        <w:t>“</w:t>
      </w:r>
      <w:r>
        <w:rPr>
          <w:rFonts w:hAnsi="宋体"/>
          <w:bCs/>
          <w:color w:val="000000"/>
          <w:szCs w:val="32"/>
        </w:rPr>
        <w:t>两取消、一调整、六配套、一建立</w:t>
      </w:r>
      <w:r>
        <w:rPr>
          <w:bCs/>
          <w:color w:val="000000"/>
          <w:szCs w:val="32"/>
        </w:rPr>
        <w:t>”</w:t>
      </w:r>
      <w:r>
        <w:rPr>
          <w:rFonts w:hAnsi="宋体"/>
          <w:bCs/>
          <w:color w:val="000000"/>
          <w:szCs w:val="32"/>
        </w:rPr>
        <w:t>改革任务，</w:t>
      </w:r>
      <w:r>
        <w:rPr>
          <w:rFonts w:hAnsi="宋体"/>
          <w:color w:val="000000"/>
          <w:szCs w:val="32"/>
        </w:rPr>
        <w:t>分两批推进</w:t>
      </w:r>
      <w:r>
        <w:rPr>
          <w:color w:val="000000"/>
          <w:szCs w:val="32"/>
        </w:rPr>
        <w:t>439</w:t>
      </w:r>
      <w:r>
        <w:rPr>
          <w:rFonts w:hAnsi="宋体"/>
          <w:color w:val="000000"/>
          <w:szCs w:val="32"/>
        </w:rPr>
        <w:t>项、</w:t>
      </w:r>
      <w:r>
        <w:rPr>
          <w:color w:val="000000"/>
          <w:szCs w:val="32"/>
        </w:rPr>
        <w:t>1842</w:t>
      </w:r>
      <w:r>
        <w:rPr>
          <w:rFonts w:hAnsi="宋体"/>
          <w:color w:val="000000"/>
          <w:szCs w:val="32"/>
        </w:rPr>
        <w:t>项医疗服务项目价格调整，医务人员技术劳务价值导向逐步体现。深化联合办医，</w:t>
      </w:r>
      <w:r>
        <w:rPr>
          <w:rFonts w:hAnsi="宋体"/>
          <w:bCs/>
          <w:color w:val="000000"/>
          <w:szCs w:val="32"/>
        </w:rPr>
        <w:t>中心医院与区内</w:t>
      </w:r>
      <w:r>
        <w:rPr>
          <w:bCs/>
          <w:color w:val="000000"/>
          <w:szCs w:val="32"/>
        </w:rPr>
        <w:t>34</w:t>
      </w:r>
      <w:r>
        <w:rPr>
          <w:rFonts w:hAnsi="宋体"/>
          <w:bCs/>
          <w:color w:val="000000"/>
          <w:szCs w:val="32"/>
        </w:rPr>
        <w:t>家、区外</w:t>
      </w:r>
      <w:r>
        <w:rPr>
          <w:bCs/>
          <w:color w:val="000000"/>
          <w:szCs w:val="32"/>
        </w:rPr>
        <w:t>17</w:t>
      </w:r>
      <w:r>
        <w:rPr>
          <w:rFonts w:hAnsi="宋体"/>
          <w:bCs/>
          <w:color w:val="000000"/>
          <w:szCs w:val="32"/>
        </w:rPr>
        <w:t>家医疗机构建立远程心电会诊系统，</w:t>
      </w:r>
      <w:r>
        <w:rPr>
          <w:rFonts w:hAnsi="宋体"/>
          <w:color w:val="000000"/>
          <w:szCs w:val="32"/>
        </w:rPr>
        <w:t>成为吉首大学非直属附属医院、重医儿童医院集团医院、重庆市肿瘤医院黔江分院</w:t>
      </w:r>
      <w:r>
        <w:rPr>
          <w:rFonts w:hAnsi="宋体"/>
          <w:bCs/>
          <w:color w:val="000000"/>
          <w:szCs w:val="32"/>
        </w:rPr>
        <w:t>，全区</w:t>
      </w:r>
      <w:r>
        <w:rPr>
          <w:bCs/>
          <w:color w:val="000000"/>
          <w:szCs w:val="32"/>
        </w:rPr>
        <w:t>10</w:t>
      </w:r>
      <w:r>
        <w:rPr>
          <w:rFonts w:hAnsi="宋体"/>
          <w:bCs/>
          <w:color w:val="000000"/>
          <w:szCs w:val="32"/>
        </w:rPr>
        <w:t>家民营医疗机构就诊人次占全区医疗机构就诊人次的</w:t>
      </w:r>
      <w:r>
        <w:rPr>
          <w:bCs/>
          <w:color w:val="000000"/>
          <w:szCs w:val="32"/>
        </w:rPr>
        <w:t>30%</w:t>
      </w:r>
      <w:r>
        <w:rPr>
          <w:rFonts w:hAnsi="宋体"/>
          <w:bCs/>
          <w:color w:val="000000"/>
          <w:szCs w:val="32"/>
        </w:rPr>
        <w:t>。深化医防融合改革试点，在城西街道社区卫生服务中心、石会镇和杉岭乡卫生院探索基层医疗卫生机构医防融合发展机制。推进</w:t>
      </w:r>
      <w:r>
        <w:rPr>
          <w:rFonts w:hAnsi="宋体"/>
          <w:color w:val="000000"/>
          <w:szCs w:val="32"/>
        </w:rPr>
        <w:t>医保支付方式改革，实施总额预算下的总额控制付费、按病种付费、按人头付费、按床日付费等复合型医保付费方式改革，开展二级以上公立医院</w:t>
      </w:r>
      <w:r>
        <w:rPr>
          <w:color w:val="000000"/>
          <w:szCs w:val="32"/>
        </w:rPr>
        <w:t>DRGS</w:t>
      </w:r>
      <w:r>
        <w:rPr>
          <w:rFonts w:hAnsi="宋体"/>
          <w:color w:val="000000"/>
          <w:szCs w:val="32"/>
        </w:rPr>
        <w:t>医疗服务绩效评价。深化与重庆永川、山东日照对口支医合作。</w:t>
      </w:r>
      <w:r>
        <w:rPr>
          <w:rFonts w:hAnsi="宋体"/>
          <w:bCs/>
          <w:color w:val="000000"/>
          <w:szCs w:val="32"/>
        </w:rPr>
        <w:t>推进医共体</w:t>
      </w:r>
      <w:r>
        <w:rPr>
          <w:bCs/>
          <w:color w:val="000000"/>
          <w:szCs w:val="32"/>
        </w:rPr>
        <w:t>“</w:t>
      </w:r>
      <w:r>
        <w:rPr>
          <w:rFonts w:hAnsi="宋体"/>
          <w:bCs/>
          <w:color w:val="000000"/>
          <w:szCs w:val="32"/>
        </w:rPr>
        <w:t>三通</w:t>
      </w:r>
      <w:r>
        <w:rPr>
          <w:bCs/>
          <w:color w:val="000000"/>
          <w:szCs w:val="32"/>
        </w:rPr>
        <w:t>”</w:t>
      </w:r>
      <w:r>
        <w:rPr>
          <w:rFonts w:hAnsi="宋体"/>
          <w:bCs/>
          <w:color w:val="000000"/>
          <w:szCs w:val="32"/>
        </w:rPr>
        <w:t>建设，挂牌黔江中心医院金溪分院，开展上下级医疗机构用药衔接试点工作，逐步实现药械</w:t>
      </w:r>
      <w:r>
        <w:rPr>
          <w:bCs/>
          <w:color w:val="000000"/>
          <w:szCs w:val="32"/>
        </w:rPr>
        <w:t>“</w:t>
      </w:r>
      <w:r>
        <w:rPr>
          <w:rFonts w:hAnsi="宋体"/>
          <w:bCs/>
          <w:color w:val="000000"/>
          <w:szCs w:val="32"/>
        </w:rPr>
        <w:t>六统一</w:t>
      </w:r>
      <w:r>
        <w:rPr>
          <w:bCs/>
          <w:color w:val="000000"/>
          <w:szCs w:val="32"/>
        </w:rPr>
        <w:t>”</w:t>
      </w:r>
      <w:r>
        <w:rPr>
          <w:rFonts w:hAnsi="宋体"/>
          <w:bCs/>
          <w:color w:val="000000"/>
          <w:szCs w:val="32"/>
        </w:rPr>
        <w:t>管理，满足慢病患者就近看病拿药需求。</w:t>
      </w:r>
    </w:p>
    <w:p>
      <w:pPr>
        <w:keepNext w:val="0"/>
        <w:keepLines w:val="0"/>
        <w:pageBreakBefore w:val="0"/>
        <w:kinsoku/>
        <w:wordWrap/>
        <w:topLinePunct w:val="0"/>
        <w:bidi w:val="0"/>
        <w:snapToGrid/>
        <w:spacing w:line="579" w:lineRule="exact"/>
        <w:ind w:firstLine="643" w:firstLineChars="200"/>
        <w:textAlignment w:val="auto"/>
        <w:outlineLvl w:val="9"/>
        <w:rPr>
          <w:color w:val="000000"/>
          <w:szCs w:val="32"/>
        </w:rPr>
      </w:pPr>
      <w:r>
        <w:rPr>
          <w:b/>
          <w:color w:val="000000"/>
          <w:szCs w:val="32"/>
        </w:rPr>
        <w:t>健康扶贫工作成效显著。</w:t>
      </w:r>
      <w:r>
        <w:rPr>
          <w:rFonts w:hAnsi="宋体"/>
          <w:color w:val="000000"/>
          <w:szCs w:val="32"/>
        </w:rPr>
        <w:t>发挥卫生健康部门牵头作用，构建</w:t>
      </w:r>
      <w:r>
        <w:rPr>
          <w:color w:val="000000"/>
          <w:szCs w:val="32"/>
        </w:rPr>
        <w:t>“</w:t>
      </w:r>
      <w:r>
        <w:rPr>
          <w:rFonts w:hAnsi="宋体"/>
          <w:color w:val="000000"/>
          <w:szCs w:val="32"/>
        </w:rPr>
        <w:t>基本医保、大病保险、民政医疗救助、疾病应急救助、扶贫济困医疗基金、健康扶贫医疗基金、商业补充保险</w:t>
      </w:r>
      <w:r>
        <w:rPr>
          <w:color w:val="000000"/>
          <w:szCs w:val="32"/>
        </w:rPr>
        <w:t>”</w:t>
      </w:r>
      <w:r>
        <w:rPr>
          <w:rFonts w:hAnsi="宋体"/>
          <w:color w:val="000000"/>
          <w:szCs w:val="32"/>
        </w:rPr>
        <w:t>政策保障体系，贫困人口住院费用自付比例为</w:t>
      </w:r>
      <w:r>
        <w:rPr>
          <w:color w:val="000000"/>
          <w:szCs w:val="32"/>
        </w:rPr>
        <w:t>9.8%</w:t>
      </w:r>
      <w:r>
        <w:rPr>
          <w:rFonts w:hAnsi="宋体"/>
          <w:color w:val="000000"/>
          <w:szCs w:val="32"/>
        </w:rPr>
        <w:t>，特病门诊费用自付比例为</w:t>
      </w:r>
      <w:r>
        <w:rPr>
          <w:color w:val="000000"/>
          <w:szCs w:val="32"/>
        </w:rPr>
        <w:t>16.55%</w:t>
      </w:r>
      <w:r>
        <w:rPr>
          <w:rFonts w:hAnsi="宋体"/>
          <w:color w:val="000000"/>
          <w:szCs w:val="32"/>
        </w:rPr>
        <w:t>，贫困患者</w:t>
      </w:r>
      <w:r>
        <w:rPr>
          <w:color w:val="000000"/>
          <w:szCs w:val="32"/>
        </w:rPr>
        <w:t>“</w:t>
      </w:r>
      <w:r>
        <w:rPr>
          <w:rFonts w:hAnsi="宋体"/>
          <w:color w:val="000000"/>
          <w:szCs w:val="32"/>
        </w:rPr>
        <w:t>先诊疗后付费</w:t>
      </w:r>
      <w:r>
        <w:rPr>
          <w:color w:val="000000"/>
          <w:szCs w:val="32"/>
        </w:rPr>
        <w:t>”“</w:t>
      </w:r>
      <w:r>
        <w:rPr>
          <w:rFonts w:hAnsi="宋体"/>
          <w:color w:val="000000"/>
          <w:szCs w:val="32"/>
        </w:rPr>
        <w:t>一站式结算</w:t>
      </w:r>
      <w:r>
        <w:rPr>
          <w:color w:val="000000"/>
          <w:szCs w:val="32"/>
        </w:rPr>
        <w:t>”</w:t>
      </w:r>
      <w:r>
        <w:rPr>
          <w:rFonts w:hAnsi="宋体"/>
          <w:color w:val="000000"/>
          <w:szCs w:val="32"/>
        </w:rPr>
        <w:t>等制度全覆盖，慢病签约服务率、大病集中救治率、重病兜底救助率、因病致贫核实率均达</w:t>
      </w:r>
      <w:r>
        <w:rPr>
          <w:color w:val="000000"/>
          <w:szCs w:val="32"/>
        </w:rPr>
        <w:t>100%</w:t>
      </w:r>
      <w:r>
        <w:rPr>
          <w:rFonts w:hAnsi="宋体"/>
          <w:color w:val="000000"/>
          <w:szCs w:val="32"/>
        </w:rPr>
        <w:t>。建立健康扶贫基金对大病户、重病户、慢病户进行二次救助，实现应治尽治、应兜底全兜底，健康扶贫基金累计报销近</w:t>
      </w:r>
      <w:r>
        <w:rPr>
          <w:color w:val="000000"/>
          <w:szCs w:val="32"/>
        </w:rPr>
        <w:t>4700</w:t>
      </w:r>
      <w:r>
        <w:rPr>
          <w:rFonts w:hAnsi="宋体"/>
          <w:color w:val="000000"/>
          <w:szCs w:val="32"/>
        </w:rPr>
        <w:t>万元，救助</w:t>
      </w:r>
      <w:r>
        <w:rPr>
          <w:color w:val="000000"/>
          <w:szCs w:val="32"/>
        </w:rPr>
        <w:t>12</w:t>
      </w:r>
      <w:r>
        <w:rPr>
          <w:rFonts w:hAnsi="宋体"/>
          <w:color w:val="000000"/>
          <w:szCs w:val="32"/>
        </w:rPr>
        <w:t>万人次，贫困人口基本医疗有保障。持续推进农村</w:t>
      </w:r>
      <w:r>
        <w:rPr>
          <w:color w:val="000000"/>
          <w:szCs w:val="32"/>
        </w:rPr>
        <w:t>“</w:t>
      </w:r>
      <w:r>
        <w:rPr>
          <w:rFonts w:hAnsi="宋体"/>
          <w:color w:val="000000"/>
          <w:szCs w:val="32"/>
        </w:rPr>
        <w:t>厕所革命</w:t>
      </w:r>
      <w:r>
        <w:rPr>
          <w:color w:val="000000"/>
          <w:szCs w:val="32"/>
        </w:rPr>
        <w:t>”</w:t>
      </w:r>
      <w:r>
        <w:rPr>
          <w:rFonts w:hAnsi="宋体"/>
          <w:color w:val="000000"/>
          <w:szCs w:val="32"/>
        </w:rPr>
        <w:t>。开展金溪镇深度贫困镇结对帮扶工作，培育金溪镇</w:t>
      </w:r>
      <w:r>
        <w:rPr>
          <w:color w:val="000000"/>
          <w:szCs w:val="32"/>
        </w:rPr>
        <w:t>“</w:t>
      </w:r>
      <w:r>
        <w:rPr>
          <w:rFonts w:hAnsi="宋体"/>
          <w:color w:val="000000"/>
          <w:szCs w:val="32"/>
        </w:rPr>
        <w:t>三金</w:t>
      </w:r>
      <w:r>
        <w:rPr>
          <w:color w:val="000000"/>
          <w:szCs w:val="32"/>
        </w:rPr>
        <w:t>”</w:t>
      </w:r>
      <w:r>
        <w:rPr>
          <w:rFonts w:hAnsi="宋体"/>
          <w:color w:val="000000"/>
          <w:szCs w:val="32"/>
        </w:rPr>
        <w:t>扶贫品牌。推进鲁渝健康扶贫协作，开展医疗卫生人才挂职、交流、培训，实施贫困患者免费髋膝置换关节手术和</w:t>
      </w:r>
      <w:r>
        <w:rPr>
          <w:color w:val="000000"/>
          <w:szCs w:val="32"/>
        </w:rPr>
        <w:t>“</w:t>
      </w:r>
      <w:r>
        <w:rPr>
          <w:rFonts w:hAnsi="宋体"/>
          <w:color w:val="000000"/>
          <w:szCs w:val="32"/>
        </w:rPr>
        <w:t>光明行动</w:t>
      </w:r>
      <w:r>
        <w:rPr>
          <w:color w:val="000000"/>
          <w:szCs w:val="32"/>
        </w:rPr>
        <w:t>”</w:t>
      </w:r>
      <w:r>
        <w:rPr>
          <w:rFonts w:hAnsi="宋体"/>
          <w:color w:val="000000"/>
          <w:szCs w:val="32"/>
        </w:rPr>
        <w:t>白内障手术。深入开展脱贫攻坚百日决战，聚焦未脱贫户、脱贫监测户、贫困边缘户、低保户、残疾人户、特殊困难群体等重点人群因户施策制定解决措施，</w:t>
      </w:r>
      <w:r>
        <w:rPr>
          <w:color w:val="000000"/>
          <w:szCs w:val="32"/>
        </w:rPr>
        <w:t>2020</w:t>
      </w:r>
      <w:r>
        <w:rPr>
          <w:rFonts w:hAnsi="宋体"/>
          <w:color w:val="000000"/>
          <w:szCs w:val="32"/>
        </w:rPr>
        <w:t>年</w:t>
      </w:r>
      <w:r>
        <w:rPr>
          <w:color w:val="000000"/>
          <w:szCs w:val="32"/>
        </w:rPr>
        <w:t>5</w:t>
      </w:r>
      <w:r>
        <w:rPr>
          <w:rFonts w:hAnsi="宋体"/>
          <w:color w:val="000000"/>
          <w:szCs w:val="32"/>
        </w:rPr>
        <w:t>月贫困户医疗有保障突出问题全部清零。</w:t>
      </w:r>
    </w:p>
    <w:p>
      <w:pPr>
        <w:keepNext w:val="0"/>
        <w:keepLines w:val="0"/>
        <w:pageBreakBefore w:val="0"/>
        <w:kinsoku/>
        <w:wordWrap/>
        <w:topLinePunct w:val="0"/>
        <w:bidi w:val="0"/>
        <w:snapToGrid/>
        <w:spacing w:line="579" w:lineRule="exact"/>
        <w:ind w:firstLine="643" w:firstLineChars="200"/>
        <w:textAlignment w:val="auto"/>
        <w:outlineLvl w:val="9"/>
        <w:rPr>
          <w:color w:val="000000"/>
          <w:szCs w:val="32"/>
        </w:rPr>
      </w:pPr>
      <w:r>
        <w:rPr>
          <w:b/>
          <w:color w:val="000000"/>
          <w:szCs w:val="32"/>
        </w:rPr>
        <w:t>新冠疫情防控扎实有效。</w:t>
      </w:r>
      <w:r>
        <w:rPr>
          <w:rFonts w:hAnsi="宋体"/>
          <w:color w:val="000000"/>
          <w:szCs w:val="32"/>
        </w:rPr>
        <w:t>全区众志成城经受住了新冠肺炎疫情大战大考，成为全市首批</w:t>
      </w:r>
      <w:r>
        <w:rPr>
          <w:color w:val="000000"/>
          <w:szCs w:val="32"/>
        </w:rPr>
        <w:t>6</w:t>
      </w:r>
      <w:r>
        <w:rPr>
          <w:rFonts w:hAnsi="宋体"/>
          <w:color w:val="000000"/>
          <w:szCs w:val="32"/>
        </w:rPr>
        <w:t>个</w:t>
      </w:r>
      <w:r>
        <w:rPr>
          <w:color w:val="000000"/>
          <w:szCs w:val="32"/>
        </w:rPr>
        <w:t>“</w:t>
      </w:r>
      <w:r>
        <w:rPr>
          <w:rFonts w:hAnsi="宋体"/>
          <w:color w:val="000000"/>
          <w:szCs w:val="32"/>
        </w:rPr>
        <w:t>低风险区县</w:t>
      </w:r>
      <w:r>
        <w:rPr>
          <w:color w:val="000000"/>
          <w:szCs w:val="32"/>
        </w:rPr>
        <w:t>”</w:t>
      </w:r>
      <w:r>
        <w:rPr>
          <w:rFonts w:hAnsi="宋体"/>
          <w:color w:val="000000"/>
          <w:szCs w:val="32"/>
        </w:rPr>
        <w:t>之一。全力阻击疫情传播，设置</w:t>
      </w:r>
      <w:r>
        <w:rPr>
          <w:color w:val="000000"/>
          <w:szCs w:val="32"/>
        </w:rPr>
        <w:t>36</w:t>
      </w:r>
      <w:r>
        <w:rPr>
          <w:rFonts w:hAnsi="宋体"/>
          <w:color w:val="000000"/>
          <w:szCs w:val="32"/>
        </w:rPr>
        <w:t>个预检分诊点、</w:t>
      </w:r>
      <w:r>
        <w:rPr>
          <w:color w:val="000000"/>
          <w:szCs w:val="32"/>
        </w:rPr>
        <w:t>4</w:t>
      </w:r>
      <w:r>
        <w:rPr>
          <w:rFonts w:hAnsi="宋体"/>
          <w:color w:val="000000"/>
          <w:szCs w:val="32"/>
        </w:rPr>
        <w:t>个发热门诊，守住</w:t>
      </w:r>
      <w:r>
        <w:rPr>
          <w:color w:val="000000"/>
          <w:szCs w:val="32"/>
        </w:rPr>
        <w:t>23</w:t>
      </w:r>
      <w:r>
        <w:rPr>
          <w:rFonts w:hAnsi="宋体"/>
          <w:color w:val="000000"/>
          <w:szCs w:val="32"/>
        </w:rPr>
        <w:t>个交通卡点、</w:t>
      </w:r>
      <w:r>
        <w:rPr>
          <w:color w:val="000000"/>
          <w:szCs w:val="32"/>
        </w:rPr>
        <w:t>18</w:t>
      </w:r>
      <w:r>
        <w:rPr>
          <w:rFonts w:hAnsi="宋体"/>
          <w:color w:val="000000"/>
          <w:szCs w:val="32"/>
        </w:rPr>
        <w:t>个口岸检疫点，租用</w:t>
      </w:r>
      <w:r>
        <w:rPr>
          <w:color w:val="000000"/>
          <w:szCs w:val="32"/>
        </w:rPr>
        <w:t>2</w:t>
      </w:r>
      <w:r>
        <w:rPr>
          <w:rFonts w:hAnsi="宋体"/>
          <w:color w:val="000000"/>
          <w:szCs w:val="32"/>
        </w:rPr>
        <w:t>个宾馆作为集中隔离医学观察点。集中开展医疗救治，精心制定诊疗方案，</w:t>
      </w:r>
      <w:r>
        <w:rPr>
          <w:color w:val="000000"/>
          <w:szCs w:val="32"/>
        </w:rPr>
        <w:t>6</w:t>
      </w:r>
      <w:r>
        <w:rPr>
          <w:rFonts w:hAnsi="宋体"/>
          <w:color w:val="000000"/>
          <w:szCs w:val="32"/>
        </w:rPr>
        <w:t>名新冠肺炎患者全部治愈出院，实现无医务人员感染、无二代传染病例、无死亡病例</w:t>
      </w:r>
      <w:r>
        <w:rPr>
          <w:color w:val="000000"/>
          <w:szCs w:val="32"/>
        </w:rPr>
        <w:t>“</w:t>
      </w:r>
      <w:r>
        <w:rPr>
          <w:rFonts w:hAnsi="宋体"/>
          <w:color w:val="000000"/>
          <w:szCs w:val="32"/>
        </w:rPr>
        <w:t>三无</w:t>
      </w:r>
      <w:r>
        <w:rPr>
          <w:color w:val="000000"/>
          <w:szCs w:val="32"/>
        </w:rPr>
        <w:t>”</w:t>
      </w:r>
      <w:r>
        <w:rPr>
          <w:rFonts w:hAnsi="宋体"/>
          <w:color w:val="000000"/>
          <w:szCs w:val="32"/>
        </w:rPr>
        <w:t>目标。加强常态化疫情防控，保持疫情防控组织体系不变、重点措施不变、防控队伍不散，按照</w:t>
      </w:r>
      <w:r>
        <w:rPr>
          <w:color w:val="000000"/>
          <w:szCs w:val="32"/>
        </w:rPr>
        <w:t>“</w:t>
      </w:r>
      <w:r>
        <w:rPr>
          <w:rFonts w:hAnsi="宋体"/>
          <w:color w:val="000000"/>
          <w:szCs w:val="32"/>
        </w:rPr>
        <w:t>宁可备而不用、不能用而无备</w:t>
      </w:r>
      <w:r>
        <w:rPr>
          <w:color w:val="000000"/>
          <w:szCs w:val="32"/>
        </w:rPr>
        <w:t>”</w:t>
      </w:r>
      <w:r>
        <w:rPr>
          <w:rFonts w:hAnsi="宋体"/>
          <w:color w:val="000000"/>
          <w:szCs w:val="32"/>
        </w:rPr>
        <w:t>工作要求储备疫情防控救治人员和物资，建立中心医院儿童分院</w:t>
      </w:r>
      <w:r>
        <w:rPr>
          <w:color w:val="000000"/>
          <w:szCs w:val="32"/>
        </w:rPr>
        <w:t>220</w:t>
      </w:r>
      <w:r>
        <w:rPr>
          <w:rFonts w:hAnsi="宋体"/>
          <w:color w:val="000000"/>
          <w:szCs w:val="32"/>
        </w:rPr>
        <w:t>张集中救治床位和民族医院</w:t>
      </w:r>
      <w:r>
        <w:rPr>
          <w:color w:val="000000"/>
          <w:szCs w:val="32"/>
        </w:rPr>
        <w:t>500</w:t>
      </w:r>
      <w:r>
        <w:rPr>
          <w:rFonts w:hAnsi="宋体"/>
          <w:color w:val="000000"/>
          <w:szCs w:val="32"/>
        </w:rPr>
        <w:t>张集中后备医院床位，核酸最大检测能力混检每天可达</w:t>
      </w:r>
      <w:r>
        <w:rPr>
          <w:color w:val="000000"/>
          <w:szCs w:val="32"/>
        </w:rPr>
        <w:t>27</w:t>
      </w:r>
      <w:r>
        <w:rPr>
          <w:rFonts w:hAnsi="宋体"/>
          <w:color w:val="000000"/>
          <w:szCs w:val="32"/>
        </w:rPr>
        <w:t>万人，完善及时发现、快速处置、精准管控、有效救治防控机制，结合国外和国内疫情新变化及时调整和强化防控具体措施。疫情发生以来，全区广大医务人员讲政治、讲纪律、讲奉献，为抗疫斗争取得重大战略成果作出了重大贡献，涌现出一批先进集体和先进个人，区卫生健康委、中心医院、区疾控中心荣获</w:t>
      </w:r>
      <w:r>
        <w:rPr>
          <w:color w:val="000000"/>
          <w:szCs w:val="32"/>
        </w:rPr>
        <w:t>“</w:t>
      </w:r>
      <w:r>
        <w:rPr>
          <w:rFonts w:hAnsi="宋体"/>
          <w:color w:val="000000"/>
          <w:szCs w:val="32"/>
        </w:rPr>
        <w:t>重庆市抗击新冠肺炎疫情先进集体</w:t>
      </w:r>
      <w:r>
        <w:rPr>
          <w:color w:val="000000"/>
          <w:szCs w:val="32"/>
        </w:rPr>
        <w:t>”</w:t>
      </w:r>
      <w:r>
        <w:rPr>
          <w:rFonts w:hAnsi="宋体"/>
          <w:color w:val="000000"/>
          <w:szCs w:val="32"/>
        </w:rPr>
        <w:t>，</w:t>
      </w:r>
      <w:r>
        <w:rPr>
          <w:color w:val="000000"/>
          <w:szCs w:val="32"/>
        </w:rPr>
        <w:t>1</w:t>
      </w:r>
      <w:r>
        <w:rPr>
          <w:rFonts w:hAnsi="宋体"/>
          <w:color w:val="000000"/>
          <w:szCs w:val="32"/>
        </w:rPr>
        <w:t>名医务人员荣获</w:t>
      </w:r>
      <w:r>
        <w:rPr>
          <w:color w:val="000000"/>
          <w:szCs w:val="32"/>
        </w:rPr>
        <w:t>“</w:t>
      </w:r>
      <w:r>
        <w:rPr>
          <w:rFonts w:hAnsi="宋体"/>
          <w:color w:val="000000"/>
          <w:szCs w:val="32"/>
        </w:rPr>
        <w:t>全国抗击新冠肺炎疫情先进个人</w:t>
      </w:r>
      <w:r>
        <w:rPr>
          <w:color w:val="000000"/>
          <w:szCs w:val="32"/>
        </w:rPr>
        <w:t>”</w:t>
      </w:r>
      <w:r>
        <w:rPr>
          <w:rFonts w:hAnsi="宋体"/>
          <w:color w:val="000000"/>
          <w:szCs w:val="32"/>
        </w:rPr>
        <w:t>，</w:t>
      </w:r>
      <w:r>
        <w:rPr>
          <w:color w:val="000000"/>
          <w:szCs w:val="32"/>
        </w:rPr>
        <w:t>11</w:t>
      </w:r>
      <w:r>
        <w:rPr>
          <w:rFonts w:hAnsi="宋体"/>
          <w:color w:val="000000"/>
          <w:szCs w:val="32"/>
        </w:rPr>
        <w:t>名医务人员被评为</w:t>
      </w:r>
      <w:r>
        <w:rPr>
          <w:color w:val="000000"/>
          <w:szCs w:val="32"/>
        </w:rPr>
        <w:t>“</w:t>
      </w:r>
      <w:r>
        <w:rPr>
          <w:rFonts w:hAnsi="宋体"/>
          <w:color w:val="000000"/>
          <w:szCs w:val="32"/>
        </w:rPr>
        <w:t>重庆市抗击新冠肺炎疫情先进个人</w:t>
      </w:r>
      <w:r>
        <w:rPr>
          <w:color w:val="000000"/>
          <w:szCs w:val="32"/>
        </w:rPr>
        <w:t>”</w:t>
      </w:r>
      <w:r>
        <w:rPr>
          <w:rFonts w:hAnsi="宋体"/>
          <w:color w:val="000000"/>
          <w:szCs w:val="32"/>
        </w:rPr>
        <w:t>。</w:t>
      </w:r>
    </w:p>
    <w:p>
      <w:pPr>
        <w:keepNext w:val="0"/>
        <w:keepLines w:val="0"/>
        <w:pageBreakBefore w:val="0"/>
        <w:kinsoku/>
        <w:wordWrap/>
        <w:topLinePunct w:val="0"/>
        <w:bidi w:val="0"/>
        <w:snapToGrid/>
        <w:spacing w:line="579" w:lineRule="exact"/>
        <w:ind w:firstLine="640" w:firstLineChars="200"/>
        <w:textAlignment w:val="auto"/>
        <w:outlineLvl w:val="9"/>
        <w:rPr>
          <w:rFonts w:eastAsia="方正楷体_GBK"/>
          <w:color w:val="000000"/>
          <w:szCs w:val="32"/>
        </w:rPr>
      </w:pPr>
      <w:r>
        <w:rPr>
          <w:rFonts w:hAnsi="宋体" w:eastAsia="方正楷体_GBK"/>
          <w:color w:val="000000"/>
          <w:szCs w:val="32"/>
        </w:rPr>
        <w:t>（二）</w:t>
      </w:r>
      <w:r>
        <w:rPr>
          <w:rFonts w:eastAsia="方正楷体_GBK"/>
          <w:color w:val="000000"/>
          <w:szCs w:val="32"/>
        </w:rPr>
        <w:t>“</w:t>
      </w:r>
      <w:r>
        <w:rPr>
          <w:rFonts w:hAnsi="宋体" w:eastAsia="方正楷体_GBK"/>
          <w:color w:val="000000"/>
          <w:szCs w:val="32"/>
        </w:rPr>
        <w:t>十四五</w:t>
      </w:r>
      <w:r>
        <w:rPr>
          <w:rFonts w:eastAsia="方正楷体_GBK"/>
          <w:color w:val="000000"/>
          <w:szCs w:val="32"/>
        </w:rPr>
        <w:t>”</w:t>
      </w:r>
      <w:r>
        <w:rPr>
          <w:rFonts w:hAnsi="宋体" w:eastAsia="方正楷体_GBK"/>
          <w:color w:val="000000"/>
          <w:szCs w:val="32"/>
        </w:rPr>
        <w:t>时期面临机遇挑战</w:t>
      </w:r>
    </w:p>
    <w:p>
      <w:pPr>
        <w:keepNext w:val="0"/>
        <w:keepLines w:val="0"/>
        <w:pageBreakBefore w:val="0"/>
        <w:widowControl/>
        <w:kinsoku/>
        <w:wordWrap/>
        <w:topLinePunct w:val="0"/>
        <w:bidi w:val="0"/>
        <w:snapToGrid/>
        <w:spacing w:line="579" w:lineRule="exact"/>
        <w:ind w:firstLine="640" w:firstLineChars="200"/>
        <w:textAlignment w:val="auto"/>
        <w:outlineLvl w:val="9"/>
        <w:rPr>
          <w:color w:val="000000"/>
          <w:szCs w:val="32"/>
        </w:rPr>
      </w:pPr>
      <w:r>
        <w:rPr>
          <w:rFonts w:hAnsi="宋体"/>
          <w:color w:val="000000"/>
          <w:szCs w:val="32"/>
        </w:rPr>
        <w:t>党中央、国务院高度重视卫生健康事业发展，把人民健康放在优先发展的战略地位，以普及健康生活、优化健康服务、完善健康保障、建设健康环境、发展健康产业为重点，加快推进健康中国建设。人民对美好生活的追求激发多层次、多样化的健康需求，新冠肺炎疫情深化了群众对健康的认识，为健康服务业创造广阔发展空间。党中央、国务院和市委、市政府支持黔江建设渝东南区域中心城市，要求黔江加快提升旅游、教育、医疗</w:t>
      </w:r>
      <w:r>
        <w:rPr>
          <w:color w:val="000000"/>
          <w:szCs w:val="32"/>
        </w:rPr>
        <w:t>“</w:t>
      </w:r>
      <w:r>
        <w:rPr>
          <w:rFonts w:hAnsi="宋体"/>
          <w:color w:val="000000"/>
          <w:szCs w:val="32"/>
        </w:rPr>
        <w:t>三大板块</w:t>
      </w:r>
      <w:r>
        <w:rPr>
          <w:color w:val="000000"/>
          <w:szCs w:val="32"/>
        </w:rPr>
        <w:t>”</w:t>
      </w:r>
      <w:r>
        <w:rPr>
          <w:rFonts w:hAnsi="宋体"/>
          <w:color w:val="000000"/>
          <w:szCs w:val="32"/>
        </w:rPr>
        <w:t>集散功能。《重庆市黔江区关于制定黔江区国民经济和社会发展第十四个五年规划和二〇三五年远景目标纲要》提出</w:t>
      </w:r>
      <w:r>
        <w:rPr>
          <w:color w:val="000000"/>
          <w:szCs w:val="32"/>
        </w:rPr>
        <w:t>“</w:t>
      </w:r>
      <w:r>
        <w:rPr>
          <w:rFonts w:hAnsi="宋体"/>
          <w:color w:val="000000"/>
          <w:szCs w:val="32"/>
        </w:rPr>
        <w:t>到</w:t>
      </w:r>
      <w:r>
        <w:rPr>
          <w:color w:val="000000"/>
          <w:szCs w:val="32"/>
        </w:rPr>
        <w:t>2025</w:t>
      </w:r>
      <w:r>
        <w:rPr>
          <w:rFonts w:hAnsi="宋体"/>
          <w:color w:val="000000"/>
          <w:szCs w:val="32"/>
        </w:rPr>
        <w:t>年，基本建成渝东南医疗中心和武陵山医疗服务高地。</w:t>
      </w:r>
      <w:r>
        <w:rPr>
          <w:color w:val="000000"/>
          <w:szCs w:val="32"/>
        </w:rPr>
        <w:t>”</w:t>
      </w:r>
      <w:r>
        <w:rPr>
          <w:rFonts w:hAnsi="宋体"/>
          <w:color w:val="000000"/>
          <w:szCs w:val="32"/>
        </w:rPr>
        <w:t>虽然常态化疫情防控任务仍然艰巨繁重并可能是一场持久战，但大形势带来了全区卫生健康事业加快发展的历史性机遇。</w:t>
      </w: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auto"/>
        <w:outlineLvl w:val="9"/>
        <w:rPr>
          <w:color w:val="000000"/>
          <w:szCs w:val="32"/>
        </w:rPr>
      </w:pPr>
      <w:r>
        <w:rPr>
          <w:rFonts w:hAnsi="宋体"/>
          <w:color w:val="000000"/>
          <w:szCs w:val="32"/>
        </w:rPr>
        <w:t>机遇与挑战并存，全区卫生健康事业发展也面临新的挑战。优质医疗资源亟待提质扩容，建成了渝东南唯一的三级甲等综合医院，但仍不能适应群众的优质医疗资源需求变化。渝湘高铁建成将群众到主城的时间缩短到</w:t>
      </w:r>
      <w:r>
        <w:rPr>
          <w:color w:val="000000"/>
          <w:szCs w:val="32"/>
        </w:rPr>
        <w:t>1</w:t>
      </w:r>
      <w:r>
        <w:rPr>
          <w:rFonts w:hAnsi="宋体"/>
          <w:color w:val="000000"/>
          <w:szCs w:val="32"/>
        </w:rPr>
        <w:t>小时以内，但医疗服务将面临虹吸效应。周边区县医院发展势头强劲，近年来我区公立医院发展滞后于周边地区，</w:t>
      </w:r>
      <w:r>
        <w:rPr>
          <w:color w:val="000000"/>
          <w:szCs w:val="32"/>
        </w:rPr>
        <w:t>“</w:t>
      </w:r>
      <w:r>
        <w:rPr>
          <w:rFonts w:hAnsi="宋体"/>
          <w:color w:val="000000"/>
          <w:szCs w:val="32"/>
        </w:rPr>
        <w:t>十四五</w:t>
      </w:r>
      <w:r>
        <w:rPr>
          <w:color w:val="000000"/>
          <w:szCs w:val="32"/>
        </w:rPr>
        <w:t>”</w:t>
      </w:r>
      <w:r>
        <w:rPr>
          <w:rFonts w:hAnsi="宋体"/>
          <w:color w:val="000000"/>
          <w:szCs w:val="32"/>
        </w:rPr>
        <w:t>时期全市三级医院将达到</w:t>
      </w:r>
      <w:r>
        <w:rPr>
          <w:color w:val="000000"/>
          <w:szCs w:val="32"/>
        </w:rPr>
        <w:t>100</w:t>
      </w:r>
      <w:r>
        <w:rPr>
          <w:rFonts w:hAnsi="宋体"/>
          <w:color w:val="000000"/>
          <w:szCs w:val="32"/>
        </w:rPr>
        <w:t>家，渝东南各区县把创建三级甲等医院作为工作重点，你追我赶的竞相发展形势逼人。与此同时，面临完善适应农村居民加快梯度转移的服务体系、提升疾病预防控制能力及重大传染病医疗救治能力、改善基层医疗卫生服务能力、稳定村卫生室发展、规范医疗服务秩序、加强卫生人才和信息化建设等薄弱环节，深化</w:t>
      </w:r>
      <w:r>
        <w:rPr>
          <w:color w:val="000000"/>
          <w:szCs w:val="32"/>
        </w:rPr>
        <w:t>“</w:t>
      </w:r>
      <w:r>
        <w:rPr>
          <w:rFonts w:hAnsi="宋体"/>
          <w:color w:val="000000"/>
          <w:szCs w:val="32"/>
        </w:rPr>
        <w:t>三医联动</w:t>
      </w:r>
      <w:r>
        <w:rPr>
          <w:color w:val="000000"/>
          <w:szCs w:val="32"/>
        </w:rPr>
        <w:t>”</w:t>
      </w:r>
      <w:r>
        <w:rPr>
          <w:rFonts w:hAnsi="宋体"/>
          <w:color w:val="000000"/>
          <w:szCs w:val="32"/>
        </w:rPr>
        <w:t>、建设</w:t>
      </w:r>
      <w:r>
        <w:rPr>
          <w:color w:val="000000"/>
          <w:szCs w:val="32"/>
        </w:rPr>
        <w:t>“</w:t>
      </w:r>
      <w:r>
        <w:rPr>
          <w:rFonts w:hAnsi="宋体"/>
          <w:color w:val="000000"/>
          <w:szCs w:val="32"/>
        </w:rPr>
        <w:t>三通</w:t>
      </w:r>
      <w:r>
        <w:rPr>
          <w:color w:val="000000"/>
          <w:szCs w:val="32"/>
        </w:rPr>
        <w:t>”</w:t>
      </w:r>
      <w:r>
        <w:rPr>
          <w:rFonts w:hAnsi="宋体"/>
          <w:color w:val="000000"/>
          <w:szCs w:val="32"/>
        </w:rPr>
        <w:t>医共体和应对人口老龄化、推动健康产业发展等任务。</w:t>
      </w:r>
    </w:p>
    <w:p>
      <w:pPr>
        <w:keepNext w:val="0"/>
        <w:keepLines w:val="0"/>
        <w:pageBreakBefore w:val="0"/>
        <w:widowControl/>
        <w:kinsoku/>
        <w:wordWrap/>
        <w:overflowPunct/>
        <w:topLinePunct w:val="0"/>
        <w:autoSpaceDE/>
        <w:autoSpaceDN/>
        <w:bidi w:val="0"/>
        <w:adjustRightInd/>
        <w:snapToGrid/>
        <w:spacing w:line="579" w:lineRule="exact"/>
        <w:ind w:firstLine="640" w:firstLineChars="200"/>
        <w:jc w:val="left"/>
        <w:textAlignment w:val="auto"/>
        <w:outlineLvl w:val="9"/>
        <w:rPr>
          <w:rFonts w:eastAsia="方正黑体_GBK"/>
          <w:color w:val="000000"/>
          <w:szCs w:val="32"/>
        </w:rPr>
      </w:pPr>
      <w:r>
        <w:rPr>
          <w:rFonts w:hAnsi="宋体" w:eastAsia="方正黑体_GBK"/>
          <w:color w:val="000000"/>
          <w:szCs w:val="32"/>
        </w:rPr>
        <w:t>二、发展思路</w:t>
      </w: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auto"/>
        <w:outlineLvl w:val="9"/>
        <w:rPr>
          <w:rFonts w:hAnsi="宋体" w:eastAsia="方正楷体_GBK"/>
          <w:color w:val="000000"/>
          <w:szCs w:val="32"/>
        </w:rPr>
      </w:pPr>
      <w:r>
        <w:rPr>
          <w:rFonts w:hAnsi="宋体" w:eastAsia="方正楷体_GBK"/>
          <w:color w:val="000000"/>
          <w:szCs w:val="32"/>
        </w:rPr>
        <w:t>（一）指导思想</w:t>
      </w: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auto"/>
        <w:outlineLvl w:val="9"/>
        <w:rPr>
          <w:color w:val="000000"/>
          <w:szCs w:val="32"/>
        </w:rPr>
      </w:pPr>
      <w:r>
        <w:rPr>
          <w:rFonts w:hAnsi="宋体"/>
          <w:color w:val="000000"/>
          <w:szCs w:val="32"/>
        </w:rPr>
        <w:t>深入学习贯彻党的十九大和十九届二中、三中、四中、五中、六中全会精神，深入贯彻落实习近平总书记对重庆提出的营造良好政治生态，坚持</w:t>
      </w:r>
      <w:r>
        <w:rPr>
          <w:color w:val="000000"/>
          <w:szCs w:val="32"/>
        </w:rPr>
        <w:t>“</w:t>
      </w:r>
      <w:r>
        <w:rPr>
          <w:rFonts w:hAnsi="宋体"/>
          <w:color w:val="000000"/>
          <w:szCs w:val="32"/>
        </w:rPr>
        <w:t>两点</w:t>
      </w:r>
      <w:r>
        <w:rPr>
          <w:color w:val="000000"/>
          <w:szCs w:val="32"/>
        </w:rPr>
        <w:t>”</w:t>
      </w:r>
      <w:r>
        <w:rPr>
          <w:rFonts w:hAnsi="宋体"/>
          <w:color w:val="000000"/>
          <w:szCs w:val="32"/>
        </w:rPr>
        <w:t>定位、</w:t>
      </w:r>
      <w:r>
        <w:rPr>
          <w:color w:val="000000"/>
          <w:szCs w:val="32"/>
        </w:rPr>
        <w:t>“</w:t>
      </w:r>
      <w:r>
        <w:rPr>
          <w:rFonts w:hAnsi="宋体"/>
          <w:color w:val="000000"/>
          <w:szCs w:val="32"/>
        </w:rPr>
        <w:t>两地</w:t>
      </w:r>
      <w:r>
        <w:rPr>
          <w:color w:val="000000"/>
          <w:szCs w:val="32"/>
        </w:rPr>
        <w:t>”“</w:t>
      </w:r>
      <w:r>
        <w:rPr>
          <w:rFonts w:hAnsi="宋体"/>
          <w:color w:val="000000"/>
          <w:szCs w:val="32"/>
        </w:rPr>
        <w:t>两高</w:t>
      </w:r>
      <w:r>
        <w:rPr>
          <w:color w:val="000000"/>
          <w:szCs w:val="32"/>
        </w:rPr>
        <w:t>”</w:t>
      </w:r>
      <w:r>
        <w:rPr>
          <w:rFonts w:hAnsi="宋体"/>
          <w:color w:val="000000"/>
          <w:szCs w:val="32"/>
        </w:rPr>
        <w:t>目标，发挥</w:t>
      </w:r>
      <w:r>
        <w:rPr>
          <w:color w:val="000000"/>
          <w:szCs w:val="32"/>
        </w:rPr>
        <w:t>“</w:t>
      </w:r>
      <w:r>
        <w:rPr>
          <w:rFonts w:hAnsi="宋体"/>
          <w:color w:val="000000"/>
          <w:szCs w:val="32"/>
        </w:rPr>
        <w:t>三个作用</w:t>
      </w:r>
      <w:r>
        <w:rPr>
          <w:color w:val="000000"/>
          <w:szCs w:val="32"/>
        </w:rPr>
        <w:t>”</w:t>
      </w:r>
      <w:r>
        <w:rPr>
          <w:rFonts w:hAnsi="宋体"/>
          <w:color w:val="000000"/>
          <w:szCs w:val="32"/>
        </w:rPr>
        <w:t>和推动成渝地区双城经济圈建设等重要指示要求，坚持以人民健康为中心，坚持新时期卫生与健康工作方针，把人民健康放在优先发展的战略地位，强化</w:t>
      </w:r>
      <w:r>
        <w:rPr>
          <w:color w:val="000000"/>
          <w:szCs w:val="32"/>
        </w:rPr>
        <w:t>“</w:t>
      </w:r>
      <w:r>
        <w:rPr>
          <w:rFonts w:hAnsi="宋体"/>
          <w:color w:val="000000"/>
          <w:szCs w:val="32"/>
        </w:rPr>
        <w:t>大卫生、大健康</w:t>
      </w:r>
      <w:r>
        <w:rPr>
          <w:color w:val="000000"/>
          <w:szCs w:val="32"/>
        </w:rPr>
        <w:t>”</w:t>
      </w:r>
      <w:r>
        <w:rPr>
          <w:rFonts w:hAnsi="宋体"/>
          <w:color w:val="000000"/>
          <w:szCs w:val="32"/>
        </w:rPr>
        <w:t>理念，强化责任担当，强化改革创新，深入贯彻《基本医疗卫生与健康促进法》，全面落实市委市政府决策部署和区委区政府工作要求，</w:t>
      </w:r>
      <w:r>
        <w:rPr>
          <w:rFonts w:hAnsi="宋体"/>
          <w:color w:val="000000"/>
          <w:kern w:val="32"/>
          <w:szCs w:val="32"/>
        </w:rPr>
        <w:t>将健康政策融入全局、健康服务贯穿全程、健康福祉惠及全民，</w:t>
      </w:r>
      <w:r>
        <w:rPr>
          <w:rFonts w:hAnsi="宋体"/>
          <w:color w:val="000000"/>
          <w:szCs w:val="32"/>
        </w:rPr>
        <w:t>统筹医疗卫生发展和大健康产业培育，注重预防为主和健康促进，兼顾优质医疗资源扩容和基层服务能力提升，</w:t>
      </w:r>
      <w:r>
        <w:rPr>
          <w:rFonts w:hAnsi="宋体"/>
          <w:color w:val="000000"/>
          <w:kern w:val="32"/>
          <w:szCs w:val="32"/>
        </w:rPr>
        <w:t>深入推进健康中国黔江行动，常态化做好疫情防控，</w:t>
      </w:r>
      <w:r>
        <w:rPr>
          <w:rFonts w:hAnsi="宋体"/>
          <w:color w:val="000000"/>
          <w:szCs w:val="32"/>
        </w:rPr>
        <w:t>持续提高人民健康水平，显著增强医疗卫生集散功能，逐步彰显渝东南医疗中心和武陵山区医疗服务高地优势。</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left"/>
        <w:textAlignment w:val="auto"/>
        <w:outlineLvl w:val="9"/>
        <w:rPr>
          <w:rFonts w:hAnsi="宋体" w:eastAsia="方正楷体_GBK"/>
          <w:color w:val="000000"/>
          <w:szCs w:val="32"/>
        </w:rPr>
      </w:pPr>
      <w:r>
        <w:rPr>
          <w:rFonts w:hAnsi="宋体" w:eastAsia="方正楷体_GBK"/>
          <w:color w:val="000000"/>
          <w:szCs w:val="32"/>
        </w:rPr>
        <w:t>（二）发展原则</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jc w:val="left"/>
        <w:textAlignment w:val="auto"/>
        <w:outlineLvl w:val="9"/>
        <w:rPr>
          <w:color w:val="000000"/>
          <w:szCs w:val="32"/>
        </w:rPr>
      </w:pPr>
      <w:r>
        <w:rPr>
          <w:rFonts w:hAnsi="宋体"/>
          <w:b/>
          <w:color w:val="000000"/>
          <w:szCs w:val="32"/>
        </w:rPr>
        <w:t>坚持人民健康至上。</w:t>
      </w:r>
      <w:r>
        <w:rPr>
          <w:rFonts w:hAnsi="宋体"/>
          <w:color w:val="000000"/>
          <w:szCs w:val="32"/>
        </w:rPr>
        <w:t>以守护好人民健康为工作出发点和落脚点，统筹常态化疫情防控和卫生健康事业发展，深入实施健康中国黔江行动，着力解决群众看病就医堵点难点痛点，努力满足人民高品质生活对健康的需求。</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jc w:val="left"/>
        <w:textAlignment w:val="auto"/>
        <w:outlineLvl w:val="9"/>
        <w:rPr>
          <w:color w:val="000000"/>
          <w:szCs w:val="32"/>
        </w:rPr>
      </w:pPr>
      <w:r>
        <w:rPr>
          <w:rFonts w:hAnsi="宋体"/>
          <w:b/>
          <w:color w:val="000000"/>
          <w:szCs w:val="32"/>
        </w:rPr>
        <w:t>坚持统筹协调。</w:t>
      </w:r>
      <w:r>
        <w:rPr>
          <w:rFonts w:hAnsi="宋体"/>
          <w:color w:val="000000"/>
          <w:szCs w:val="32"/>
        </w:rPr>
        <w:t>统筹城乡卫生一体化发展，科学谋划长远发展和着力解决发展短板弱项，优化新城和老城资源配置，培育优质医疗资源增强</w:t>
      </w:r>
      <w:r>
        <w:rPr>
          <w:color w:val="000000"/>
          <w:szCs w:val="32"/>
        </w:rPr>
        <w:t>“</w:t>
      </w:r>
      <w:r>
        <w:rPr>
          <w:rFonts w:hAnsi="宋体"/>
          <w:color w:val="000000"/>
          <w:szCs w:val="32"/>
        </w:rPr>
        <w:t>中心</w:t>
      </w:r>
      <w:r>
        <w:rPr>
          <w:color w:val="000000"/>
          <w:szCs w:val="32"/>
        </w:rPr>
        <w:t>”</w:t>
      </w:r>
      <w:r>
        <w:rPr>
          <w:rFonts w:hAnsi="宋体"/>
          <w:color w:val="000000"/>
          <w:szCs w:val="32"/>
        </w:rPr>
        <w:t>支撑力，推动资源下沉增强基本医疗卫生供给力，坚持中西并重，大力发展中医药。</w:t>
      </w:r>
    </w:p>
    <w:p>
      <w:pPr>
        <w:keepNext w:val="0"/>
        <w:keepLines w:val="0"/>
        <w:pageBreakBefore w:val="0"/>
        <w:kinsoku/>
        <w:wordWrap/>
        <w:topLinePunct w:val="0"/>
        <w:bidi w:val="0"/>
        <w:snapToGrid/>
        <w:spacing w:line="579" w:lineRule="exact"/>
        <w:ind w:firstLine="643" w:firstLineChars="200"/>
        <w:jc w:val="left"/>
        <w:textAlignment w:val="auto"/>
        <w:outlineLvl w:val="9"/>
        <w:rPr>
          <w:color w:val="000000"/>
          <w:szCs w:val="32"/>
        </w:rPr>
      </w:pPr>
      <w:r>
        <w:rPr>
          <w:rFonts w:hAnsi="宋体"/>
          <w:b/>
          <w:color w:val="000000"/>
          <w:szCs w:val="32"/>
        </w:rPr>
        <w:t>坚持改革创新。</w:t>
      </w:r>
      <w:r>
        <w:rPr>
          <w:rFonts w:hAnsi="宋体"/>
          <w:color w:val="000000"/>
          <w:szCs w:val="32"/>
        </w:rPr>
        <w:t>以重大改革引领发展，以创新增强发展活力，深化公立医院改革，深入推进医共体</w:t>
      </w:r>
      <w:r>
        <w:rPr>
          <w:color w:val="000000"/>
          <w:szCs w:val="32"/>
        </w:rPr>
        <w:t>“</w:t>
      </w:r>
      <w:r>
        <w:rPr>
          <w:rFonts w:hAnsi="宋体"/>
          <w:color w:val="000000"/>
          <w:szCs w:val="32"/>
        </w:rPr>
        <w:t>三通</w:t>
      </w:r>
      <w:r>
        <w:rPr>
          <w:color w:val="000000"/>
          <w:szCs w:val="32"/>
        </w:rPr>
        <w:t>”</w:t>
      </w:r>
      <w:r>
        <w:rPr>
          <w:rFonts w:hAnsi="宋体"/>
          <w:color w:val="000000"/>
          <w:szCs w:val="32"/>
        </w:rPr>
        <w:t>建设和</w:t>
      </w:r>
      <w:r>
        <w:rPr>
          <w:rFonts w:hAnsi="宋体"/>
          <w:color w:val="000000"/>
          <w:kern w:val="0"/>
          <w:szCs w:val="32"/>
        </w:rPr>
        <w:t>创新医防协同机制</w:t>
      </w:r>
      <w:r>
        <w:rPr>
          <w:rFonts w:hAnsi="宋体"/>
          <w:color w:val="000000"/>
          <w:szCs w:val="32"/>
        </w:rPr>
        <w:t>，提升疾病预防控制及重大传染病医疗救治能力。</w:t>
      </w:r>
    </w:p>
    <w:p>
      <w:pPr>
        <w:keepNext w:val="0"/>
        <w:keepLines w:val="0"/>
        <w:pageBreakBefore w:val="0"/>
        <w:kinsoku/>
        <w:wordWrap/>
        <w:topLinePunct w:val="0"/>
        <w:bidi w:val="0"/>
        <w:snapToGrid/>
        <w:spacing w:line="579" w:lineRule="exact"/>
        <w:ind w:firstLine="643" w:firstLineChars="200"/>
        <w:jc w:val="left"/>
        <w:textAlignment w:val="auto"/>
        <w:outlineLvl w:val="9"/>
        <w:rPr>
          <w:color w:val="000000"/>
          <w:szCs w:val="32"/>
        </w:rPr>
      </w:pPr>
      <w:r>
        <w:rPr>
          <w:rFonts w:hAnsi="宋体"/>
          <w:b/>
          <w:color w:val="000000"/>
          <w:szCs w:val="32"/>
        </w:rPr>
        <w:t>坚持质量为要。</w:t>
      </w:r>
      <w:r>
        <w:rPr>
          <w:rFonts w:hAnsi="宋体"/>
          <w:color w:val="000000"/>
          <w:szCs w:val="32"/>
        </w:rPr>
        <w:t>始终把医疗卫生质量摆在突出位置，既加快医疗资源增量改革，更注重医院内涵建设，既落实公共卫生任务，更注重健康服务质效，既宽松社会办医，更加强综合监管。</w:t>
      </w:r>
    </w:p>
    <w:p>
      <w:pPr>
        <w:keepNext w:val="0"/>
        <w:keepLines w:val="0"/>
        <w:pageBreakBefore w:val="0"/>
        <w:kinsoku/>
        <w:wordWrap/>
        <w:topLinePunct w:val="0"/>
        <w:bidi w:val="0"/>
        <w:snapToGrid/>
        <w:spacing w:line="579" w:lineRule="exact"/>
        <w:ind w:firstLine="643" w:firstLineChars="200"/>
        <w:jc w:val="left"/>
        <w:textAlignment w:val="auto"/>
        <w:outlineLvl w:val="9"/>
        <w:rPr>
          <w:color w:val="000000"/>
          <w:szCs w:val="32"/>
        </w:rPr>
      </w:pPr>
      <w:r>
        <w:rPr>
          <w:rFonts w:hAnsi="宋体"/>
          <w:b/>
          <w:color w:val="000000"/>
          <w:szCs w:val="32"/>
        </w:rPr>
        <w:t>坚持开放发展。</w:t>
      </w:r>
      <w:r>
        <w:rPr>
          <w:rFonts w:hAnsi="宋体"/>
          <w:color w:val="000000"/>
          <w:szCs w:val="32"/>
        </w:rPr>
        <w:t>全面融入成渝地区双城经济圈建设和全市</w:t>
      </w:r>
      <w:r>
        <w:rPr>
          <w:color w:val="000000"/>
          <w:szCs w:val="32"/>
        </w:rPr>
        <w:t>“</w:t>
      </w:r>
      <w:r>
        <w:rPr>
          <w:rFonts w:hAnsi="宋体"/>
          <w:color w:val="000000"/>
          <w:szCs w:val="32"/>
        </w:rPr>
        <w:t>一区两群</w:t>
      </w:r>
      <w:r>
        <w:rPr>
          <w:color w:val="000000"/>
          <w:szCs w:val="32"/>
        </w:rPr>
        <w:t>”</w:t>
      </w:r>
      <w:r>
        <w:rPr>
          <w:rFonts w:hAnsi="宋体"/>
          <w:color w:val="000000"/>
          <w:szCs w:val="32"/>
        </w:rPr>
        <w:t>协调发展，深化与重庆主城三级甲等医院和医学高等院校合作，加强与渝东南武陵山区城镇群医疗机构协作，注重与周边地区疫情防控和卫生应急的联动，发挥医疗卫生专业技术推动大健康产业发展。</w:t>
      </w:r>
    </w:p>
    <w:p>
      <w:pPr>
        <w:keepNext w:val="0"/>
        <w:keepLines w:val="0"/>
        <w:pageBreakBefore w:val="0"/>
        <w:kinsoku/>
        <w:wordWrap/>
        <w:topLinePunct w:val="0"/>
        <w:bidi w:val="0"/>
        <w:snapToGrid/>
        <w:spacing w:line="579" w:lineRule="exact"/>
        <w:ind w:firstLine="640" w:firstLineChars="200"/>
        <w:jc w:val="left"/>
        <w:textAlignment w:val="auto"/>
        <w:outlineLvl w:val="9"/>
        <w:rPr>
          <w:rFonts w:hAnsi="宋体" w:eastAsia="方正楷体_GBK"/>
          <w:color w:val="000000"/>
          <w:szCs w:val="32"/>
        </w:rPr>
      </w:pPr>
      <w:r>
        <w:rPr>
          <w:rFonts w:hAnsi="宋体" w:eastAsia="方正楷体_GBK"/>
          <w:color w:val="000000"/>
          <w:szCs w:val="32"/>
        </w:rPr>
        <w:t>（三）发展目标</w:t>
      </w:r>
    </w:p>
    <w:p>
      <w:pPr>
        <w:keepNext w:val="0"/>
        <w:keepLines w:val="0"/>
        <w:pageBreakBefore w:val="0"/>
        <w:kinsoku/>
        <w:wordWrap/>
        <w:topLinePunct w:val="0"/>
        <w:bidi w:val="0"/>
        <w:snapToGrid/>
        <w:spacing w:line="579" w:lineRule="exact"/>
        <w:ind w:firstLine="640" w:firstLineChars="200"/>
        <w:jc w:val="left"/>
        <w:textAlignment w:val="auto"/>
        <w:outlineLvl w:val="9"/>
        <w:rPr>
          <w:color w:val="000000"/>
          <w:szCs w:val="32"/>
        </w:rPr>
      </w:pPr>
      <w:r>
        <w:rPr>
          <w:rFonts w:hAnsi="宋体"/>
          <w:color w:val="000000"/>
          <w:szCs w:val="32"/>
        </w:rPr>
        <w:t>到</w:t>
      </w:r>
      <w:r>
        <w:rPr>
          <w:color w:val="000000"/>
          <w:szCs w:val="32"/>
        </w:rPr>
        <w:t>2025</w:t>
      </w:r>
      <w:r>
        <w:rPr>
          <w:rFonts w:hAnsi="宋体"/>
          <w:color w:val="000000"/>
          <w:szCs w:val="32"/>
        </w:rPr>
        <w:t>年，基本建成渝东南医疗中心和武陵山区医疗高地，医疗卫生在渝东南乃至武陵山区的集散功能明显增强，满足群众基本医疗卫生需求和多层次健康需求的供给体系更加健全。</w:t>
      </w:r>
    </w:p>
    <w:p>
      <w:pPr>
        <w:keepNext w:val="0"/>
        <w:keepLines w:val="0"/>
        <w:pageBreakBefore w:val="0"/>
        <w:kinsoku/>
        <w:wordWrap/>
        <w:topLinePunct w:val="0"/>
        <w:bidi w:val="0"/>
        <w:snapToGrid/>
        <w:spacing w:line="579" w:lineRule="exact"/>
        <w:ind w:firstLine="643" w:firstLineChars="200"/>
        <w:textAlignment w:val="auto"/>
        <w:outlineLvl w:val="9"/>
        <w:rPr>
          <w:color w:val="000000"/>
          <w:szCs w:val="32"/>
        </w:rPr>
      </w:pPr>
      <w:r>
        <w:rPr>
          <w:rFonts w:hAnsi="宋体"/>
          <w:b/>
          <w:color w:val="000000"/>
          <w:szCs w:val="32"/>
        </w:rPr>
        <w:t>居民健康水平持续提高。</w:t>
      </w:r>
      <w:r>
        <w:rPr>
          <w:rFonts w:hAnsi="宋体"/>
          <w:color w:val="000000"/>
          <w:szCs w:val="32"/>
        </w:rPr>
        <w:t>健康中国黔江行动深入推进，基本公共卫生和重大公共卫生服务项目全面落实，城乡居民健康生活方式基本养成，健康自我管理责任和意识明显增强。</w:t>
      </w:r>
    </w:p>
    <w:p>
      <w:pPr>
        <w:keepNext w:val="0"/>
        <w:keepLines w:val="0"/>
        <w:pageBreakBefore w:val="0"/>
        <w:kinsoku/>
        <w:wordWrap/>
        <w:topLinePunct w:val="0"/>
        <w:bidi w:val="0"/>
        <w:snapToGrid/>
        <w:spacing w:line="579" w:lineRule="exact"/>
        <w:ind w:firstLine="643" w:firstLineChars="200"/>
        <w:jc w:val="left"/>
        <w:textAlignment w:val="auto"/>
        <w:outlineLvl w:val="9"/>
        <w:rPr>
          <w:color w:val="000000"/>
          <w:szCs w:val="32"/>
        </w:rPr>
      </w:pPr>
      <w:r>
        <w:rPr>
          <w:rFonts w:hAnsi="宋体"/>
          <w:b/>
          <w:color w:val="000000"/>
          <w:szCs w:val="32"/>
        </w:rPr>
        <w:t>医疗服务能力持续增强。</w:t>
      </w:r>
      <w:r>
        <w:rPr>
          <w:rFonts w:hAnsi="宋体"/>
          <w:color w:val="000000"/>
          <w:szCs w:val="32"/>
        </w:rPr>
        <w:t>完善适应城乡居民流动性增强和农村居民梯度转移居住的医疗卫生体系，区内就诊病人比例稳定在</w:t>
      </w:r>
      <w:r>
        <w:rPr>
          <w:color w:val="000000"/>
          <w:szCs w:val="32"/>
        </w:rPr>
        <w:t>90%</w:t>
      </w:r>
      <w:r>
        <w:rPr>
          <w:rFonts w:hAnsi="宋体"/>
          <w:color w:val="000000"/>
          <w:szCs w:val="32"/>
        </w:rPr>
        <w:t>以上，区外来黔就诊病人比例力争达到</w:t>
      </w:r>
      <w:r>
        <w:rPr>
          <w:color w:val="000000"/>
          <w:szCs w:val="32"/>
        </w:rPr>
        <w:t>40%</w:t>
      </w:r>
      <w:r>
        <w:rPr>
          <w:rFonts w:hAnsi="宋体"/>
          <w:color w:val="000000"/>
          <w:szCs w:val="32"/>
        </w:rPr>
        <w:t>。</w:t>
      </w:r>
    </w:p>
    <w:p>
      <w:pPr>
        <w:keepNext w:val="0"/>
        <w:keepLines w:val="0"/>
        <w:pageBreakBefore w:val="0"/>
        <w:kinsoku/>
        <w:wordWrap/>
        <w:topLinePunct w:val="0"/>
        <w:bidi w:val="0"/>
        <w:snapToGrid/>
        <w:spacing w:line="579" w:lineRule="exact"/>
        <w:ind w:firstLine="643" w:firstLineChars="200"/>
        <w:textAlignment w:val="auto"/>
        <w:outlineLvl w:val="9"/>
        <w:rPr>
          <w:color w:val="000000"/>
          <w:szCs w:val="32"/>
        </w:rPr>
      </w:pPr>
      <w:r>
        <w:rPr>
          <w:rFonts w:hAnsi="宋体"/>
          <w:b/>
          <w:color w:val="000000"/>
          <w:szCs w:val="32"/>
        </w:rPr>
        <w:t>疾病防控能力持续提升。</w:t>
      </w:r>
      <w:r>
        <w:rPr>
          <w:rFonts w:hAnsi="宋体"/>
          <w:color w:val="000000"/>
          <w:szCs w:val="32"/>
        </w:rPr>
        <w:t>预防为主，关口前移，有效控制居民健康危险因素，加快补齐新冠肺炎疫情防控救治短板，细化实化、常态化夯实防控措施，构筑保护人民健康和生命安全的公共卫生防控救治屏障。</w:t>
      </w:r>
    </w:p>
    <w:p>
      <w:pPr>
        <w:keepNext w:val="0"/>
        <w:keepLines w:val="0"/>
        <w:pageBreakBefore w:val="0"/>
        <w:kinsoku/>
        <w:wordWrap/>
        <w:topLinePunct w:val="0"/>
        <w:bidi w:val="0"/>
        <w:snapToGrid/>
        <w:spacing w:line="579" w:lineRule="exact"/>
        <w:ind w:firstLine="643" w:firstLineChars="200"/>
        <w:textAlignment w:val="auto"/>
        <w:outlineLvl w:val="9"/>
        <w:rPr>
          <w:rFonts w:eastAsia="方正楷体_GBK"/>
          <w:color w:val="000000"/>
          <w:szCs w:val="32"/>
        </w:rPr>
      </w:pPr>
      <w:r>
        <w:rPr>
          <w:rFonts w:hAnsi="宋体"/>
          <w:b/>
          <w:color w:val="000000"/>
          <w:szCs w:val="32"/>
        </w:rPr>
        <w:t>大健康产业加快发展。</w:t>
      </w:r>
      <w:r>
        <w:rPr>
          <w:rFonts w:hAnsi="宋体"/>
          <w:color w:val="000000"/>
          <w:szCs w:val="32"/>
        </w:rPr>
        <w:t>发挥医疗卫生技术供给和生态资源优势，创新成果应用做强</w:t>
      </w:r>
      <w:r>
        <w:rPr>
          <w:color w:val="000000"/>
          <w:szCs w:val="32"/>
        </w:rPr>
        <w:t>“</w:t>
      </w:r>
      <w:r>
        <w:rPr>
          <w:rFonts w:hAnsi="宋体"/>
          <w:color w:val="000000"/>
          <w:szCs w:val="32"/>
        </w:rPr>
        <w:t>医</w:t>
      </w:r>
      <w:r>
        <w:rPr>
          <w:color w:val="000000"/>
          <w:szCs w:val="32"/>
        </w:rPr>
        <w:t>”</w:t>
      </w:r>
      <w:r>
        <w:rPr>
          <w:rFonts w:hAnsi="宋体"/>
          <w:color w:val="000000"/>
          <w:szCs w:val="32"/>
        </w:rPr>
        <w:t>，产业集群发展做大</w:t>
      </w:r>
      <w:r>
        <w:rPr>
          <w:color w:val="000000"/>
          <w:szCs w:val="32"/>
        </w:rPr>
        <w:t>“</w:t>
      </w:r>
      <w:r>
        <w:rPr>
          <w:rFonts w:hAnsi="宋体"/>
          <w:color w:val="000000"/>
          <w:szCs w:val="32"/>
        </w:rPr>
        <w:t>药</w:t>
      </w:r>
      <w:r>
        <w:rPr>
          <w:color w:val="000000"/>
          <w:szCs w:val="32"/>
        </w:rPr>
        <w:t>”</w:t>
      </w:r>
      <w:r>
        <w:rPr>
          <w:rFonts w:hAnsi="宋体"/>
          <w:color w:val="000000"/>
          <w:szCs w:val="32"/>
        </w:rPr>
        <w:t>，融合联动发展做特</w:t>
      </w:r>
      <w:r>
        <w:rPr>
          <w:color w:val="000000"/>
          <w:szCs w:val="32"/>
        </w:rPr>
        <w:t>“</w:t>
      </w:r>
      <w:r>
        <w:rPr>
          <w:rFonts w:hAnsi="宋体"/>
          <w:color w:val="000000"/>
          <w:szCs w:val="32"/>
        </w:rPr>
        <w:t>养</w:t>
      </w:r>
      <w:r>
        <w:rPr>
          <w:color w:val="000000"/>
          <w:szCs w:val="32"/>
        </w:rPr>
        <w:t>”</w:t>
      </w:r>
      <w:r>
        <w:rPr>
          <w:rFonts w:hAnsi="宋体"/>
          <w:color w:val="000000"/>
          <w:szCs w:val="32"/>
        </w:rPr>
        <w:t>，品牌塑造提升做活</w:t>
      </w:r>
      <w:r>
        <w:rPr>
          <w:color w:val="000000"/>
          <w:szCs w:val="32"/>
        </w:rPr>
        <w:t>“</w:t>
      </w:r>
      <w:r>
        <w:rPr>
          <w:rFonts w:hAnsi="宋体"/>
          <w:color w:val="000000"/>
          <w:szCs w:val="32"/>
        </w:rPr>
        <w:t>健</w:t>
      </w:r>
      <w:r>
        <w:rPr>
          <w:color w:val="000000"/>
          <w:szCs w:val="32"/>
        </w:rPr>
        <w:t>”</w:t>
      </w:r>
      <w:r>
        <w:rPr>
          <w:rFonts w:hAnsi="宋体"/>
          <w:color w:val="000000"/>
          <w:szCs w:val="32"/>
        </w:rPr>
        <w:t>，服务效能提升做细</w:t>
      </w:r>
      <w:r>
        <w:rPr>
          <w:color w:val="000000"/>
          <w:szCs w:val="32"/>
        </w:rPr>
        <w:t>“</w:t>
      </w:r>
      <w:r>
        <w:rPr>
          <w:rFonts w:hAnsi="宋体"/>
          <w:color w:val="000000"/>
          <w:szCs w:val="32"/>
        </w:rPr>
        <w:t>管</w:t>
      </w:r>
      <w:r>
        <w:rPr>
          <w:color w:val="000000"/>
          <w:szCs w:val="32"/>
        </w:rPr>
        <w:t>”</w:t>
      </w:r>
      <w:r>
        <w:rPr>
          <w:rFonts w:hAnsi="宋体"/>
          <w:color w:val="000000"/>
          <w:szCs w:val="32"/>
        </w:rPr>
        <w:t>，形成具有区域带动力的大健康产业体系。</w:t>
      </w:r>
    </w:p>
    <w:p>
      <w:pPr>
        <w:keepNext w:val="0"/>
        <w:keepLines w:val="0"/>
        <w:pageBreakBefore w:val="0"/>
        <w:kinsoku/>
        <w:wordWrap/>
        <w:topLinePunct w:val="0"/>
        <w:bidi w:val="0"/>
        <w:snapToGrid/>
        <w:spacing w:line="579" w:lineRule="exact"/>
        <w:ind w:firstLine="643" w:firstLineChars="200"/>
        <w:textAlignment w:val="auto"/>
        <w:outlineLvl w:val="9"/>
        <w:rPr>
          <w:color w:val="000000"/>
          <w:szCs w:val="32"/>
        </w:rPr>
      </w:pPr>
      <w:r>
        <w:rPr>
          <w:rFonts w:hAnsi="宋体"/>
          <w:b/>
          <w:color w:val="000000"/>
          <w:szCs w:val="32"/>
        </w:rPr>
        <w:t>发展环境持续改善。</w:t>
      </w:r>
      <w:r>
        <w:rPr>
          <w:rFonts w:hAnsi="宋体"/>
          <w:color w:val="000000"/>
          <w:szCs w:val="32"/>
        </w:rPr>
        <w:t>健康融入所有政策要求和政府办医责任全面落实，依法办医、依法行医的规制意识明显增强，合理利用卫生资源的就医秩序基本形成，激发发展内生动力的激励机制和保障事业可持续发展的支撑政策基本建立。</w:t>
      </w:r>
    </w:p>
    <w:p>
      <w:pPr>
        <w:keepNext w:val="0"/>
        <w:keepLines w:val="0"/>
        <w:pageBreakBefore w:val="0"/>
        <w:kinsoku/>
        <w:wordWrap/>
        <w:topLinePunct w:val="0"/>
        <w:bidi w:val="0"/>
        <w:snapToGrid/>
        <w:spacing w:line="579" w:lineRule="exact"/>
        <w:jc w:val="center"/>
        <w:textAlignment w:val="auto"/>
        <w:outlineLvl w:val="9"/>
        <w:rPr>
          <w:rFonts w:hAnsi="宋体" w:eastAsia="方正黑体_GBK"/>
          <w:color w:val="000000"/>
          <w:szCs w:val="32"/>
        </w:rPr>
      </w:pPr>
    </w:p>
    <w:p>
      <w:pPr>
        <w:keepNext w:val="0"/>
        <w:keepLines w:val="0"/>
        <w:pageBreakBefore w:val="0"/>
        <w:kinsoku/>
        <w:wordWrap/>
        <w:topLinePunct w:val="0"/>
        <w:bidi w:val="0"/>
        <w:snapToGrid/>
        <w:spacing w:line="579" w:lineRule="exact"/>
        <w:jc w:val="center"/>
        <w:textAlignment w:val="auto"/>
        <w:outlineLvl w:val="9"/>
        <w:rPr>
          <w:rFonts w:hAnsi="宋体" w:eastAsia="方正黑体_GBK"/>
          <w:color w:val="000000"/>
          <w:szCs w:val="32"/>
        </w:rPr>
      </w:pPr>
    </w:p>
    <w:p>
      <w:pPr>
        <w:keepNext w:val="0"/>
        <w:keepLines w:val="0"/>
        <w:pageBreakBefore w:val="0"/>
        <w:kinsoku/>
        <w:wordWrap/>
        <w:topLinePunct w:val="0"/>
        <w:bidi w:val="0"/>
        <w:snapToGrid/>
        <w:spacing w:line="579" w:lineRule="exact"/>
        <w:jc w:val="center"/>
        <w:textAlignment w:val="auto"/>
        <w:outlineLvl w:val="9"/>
        <w:rPr>
          <w:rFonts w:hAnsi="宋体" w:eastAsia="方正黑体_GBK"/>
          <w:color w:val="000000"/>
          <w:szCs w:val="32"/>
        </w:rPr>
      </w:pPr>
    </w:p>
    <w:p>
      <w:pPr>
        <w:keepNext w:val="0"/>
        <w:keepLines w:val="0"/>
        <w:pageBreakBefore w:val="0"/>
        <w:kinsoku/>
        <w:wordWrap/>
        <w:topLinePunct w:val="0"/>
        <w:bidi w:val="0"/>
        <w:snapToGrid/>
        <w:spacing w:line="579" w:lineRule="exact"/>
        <w:jc w:val="center"/>
        <w:textAlignment w:val="auto"/>
        <w:outlineLvl w:val="9"/>
        <w:rPr>
          <w:rFonts w:eastAsia="方正黑体_GBK"/>
          <w:color w:val="000000"/>
          <w:szCs w:val="32"/>
        </w:rPr>
      </w:pPr>
      <w:r>
        <w:rPr>
          <w:rFonts w:hAnsi="宋体" w:eastAsia="方正黑体_GBK"/>
          <w:color w:val="000000"/>
          <w:szCs w:val="32"/>
        </w:rPr>
        <w:t>表</w:t>
      </w:r>
      <w:r>
        <w:rPr>
          <w:rFonts w:eastAsia="方正黑体_GBK"/>
          <w:color w:val="000000"/>
          <w:szCs w:val="32"/>
        </w:rPr>
        <w:t xml:space="preserve">1  </w:t>
      </w:r>
      <w:r>
        <w:rPr>
          <w:rFonts w:hAnsi="宋体" w:eastAsia="方正黑体_GBK"/>
          <w:color w:val="000000"/>
          <w:szCs w:val="32"/>
        </w:rPr>
        <w:t>黔江区卫生健康</w:t>
      </w:r>
      <w:r>
        <w:rPr>
          <w:rFonts w:eastAsia="方正黑体_GBK"/>
          <w:color w:val="000000"/>
          <w:szCs w:val="32"/>
        </w:rPr>
        <w:t>“</w:t>
      </w:r>
      <w:r>
        <w:rPr>
          <w:rFonts w:hAnsi="宋体" w:eastAsia="方正黑体_GBK"/>
          <w:color w:val="000000"/>
          <w:szCs w:val="32"/>
        </w:rPr>
        <w:t>十四五</w:t>
      </w:r>
      <w:r>
        <w:rPr>
          <w:rFonts w:eastAsia="方正黑体_GBK"/>
          <w:color w:val="000000"/>
          <w:szCs w:val="32"/>
        </w:rPr>
        <w:t>”</w:t>
      </w:r>
      <w:r>
        <w:rPr>
          <w:rFonts w:hAnsi="宋体" w:eastAsia="方正黑体_GBK"/>
          <w:color w:val="000000"/>
          <w:szCs w:val="32"/>
        </w:rPr>
        <w:t>发展主要指标</w:t>
      </w:r>
    </w:p>
    <w:tbl>
      <w:tblPr>
        <w:tblStyle w:val="14"/>
        <w:tblW w:w="9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39"/>
        <w:gridCol w:w="676"/>
        <w:gridCol w:w="3991"/>
        <w:gridCol w:w="1353"/>
        <w:gridCol w:w="1481"/>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0" w:hRule="atLeast"/>
          <w:jc w:val="center"/>
        </w:trPr>
        <w:tc>
          <w:tcPr>
            <w:tcW w:w="53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eastAsia="方正黑体_GBK"/>
                <w:bCs/>
                <w:color w:val="000000"/>
                <w:sz w:val="21"/>
                <w:szCs w:val="21"/>
              </w:rPr>
            </w:pPr>
            <w:r>
              <w:rPr>
                <w:rFonts w:eastAsia="方正黑体_GBK"/>
                <w:bCs/>
                <w:color w:val="000000"/>
                <w:sz w:val="21"/>
                <w:szCs w:val="21"/>
              </w:rPr>
              <w:t>类别</w:t>
            </w:r>
          </w:p>
        </w:tc>
        <w:tc>
          <w:tcPr>
            <w:tcW w:w="6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eastAsia="方正黑体_GBK"/>
                <w:bCs/>
                <w:color w:val="000000"/>
                <w:sz w:val="21"/>
                <w:szCs w:val="21"/>
              </w:rPr>
            </w:pPr>
            <w:r>
              <w:rPr>
                <w:rFonts w:eastAsia="方正黑体_GBK"/>
                <w:bCs/>
                <w:color w:val="000000"/>
                <w:sz w:val="21"/>
                <w:szCs w:val="21"/>
              </w:rPr>
              <w:t>序号</w:t>
            </w:r>
          </w:p>
        </w:tc>
        <w:tc>
          <w:tcPr>
            <w:tcW w:w="399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eastAsia="方正黑体_GBK"/>
                <w:bCs/>
                <w:color w:val="000000"/>
                <w:sz w:val="21"/>
                <w:szCs w:val="21"/>
              </w:rPr>
            </w:pPr>
            <w:r>
              <w:rPr>
                <w:rFonts w:eastAsia="方正黑体_GBK"/>
                <w:bCs/>
                <w:color w:val="000000"/>
                <w:sz w:val="21"/>
                <w:szCs w:val="21"/>
              </w:rPr>
              <w:t>指 标</w:t>
            </w:r>
          </w:p>
        </w:tc>
        <w:tc>
          <w:tcPr>
            <w:tcW w:w="135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eastAsia="方正黑体_GBK"/>
                <w:bCs/>
                <w:color w:val="000000"/>
                <w:sz w:val="21"/>
                <w:szCs w:val="21"/>
              </w:rPr>
            </w:pPr>
            <w:r>
              <w:rPr>
                <w:rFonts w:eastAsia="方正黑体_GBK"/>
                <w:bCs/>
                <w:color w:val="000000"/>
                <w:sz w:val="21"/>
                <w:szCs w:val="21"/>
              </w:rPr>
              <w:t>2020年</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eastAsia="方正黑体_GBK"/>
                <w:bCs/>
                <w:color w:val="000000"/>
                <w:sz w:val="21"/>
                <w:szCs w:val="21"/>
              </w:rPr>
            </w:pPr>
            <w:r>
              <w:rPr>
                <w:rFonts w:eastAsia="方正黑体_GBK"/>
                <w:bCs/>
                <w:color w:val="000000"/>
                <w:sz w:val="21"/>
                <w:szCs w:val="21"/>
              </w:rPr>
              <w:t>实际值</w:t>
            </w:r>
          </w:p>
        </w:tc>
        <w:tc>
          <w:tcPr>
            <w:tcW w:w="148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eastAsia="方正黑体_GBK"/>
                <w:bCs/>
                <w:color w:val="000000"/>
                <w:sz w:val="21"/>
                <w:szCs w:val="21"/>
              </w:rPr>
            </w:pPr>
            <w:r>
              <w:rPr>
                <w:rFonts w:eastAsia="方正黑体_GBK"/>
                <w:bCs/>
                <w:color w:val="000000"/>
                <w:sz w:val="21"/>
                <w:szCs w:val="21"/>
              </w:rPr>
              <w:t>2025年</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eastAsia="方正黑体_GBK"/>
                <w:bCs/>
                <w:color w:val="000000"/>
                <w:sz w:val="21"/>
                <w:szCs w:val="21"/>
              </w:rPr>
            </w:pPr>
            <w:r>
              <w:rPr>
                <w:rFonts w:eastAsia="方正黑体_GBK"/>
                <w:bCs/>
                <w:color w:val="000000"/>
                <w:sz w:val="21"/>
                <w:szCs w:val="21"/>
              </w:rPr>
              <w:t>（目标值）</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eastAsia="方正黑体_GBK"/>
                <w:bCs/>
                <w:color w:val="000000"/>
                <w:sz w:val="21"/>
                <w:szCs w:val="21"/>
              </w:rPr>
            </w:pPr>
            <w:r>
              <w:rPr>
                <w:rFonts w:eastAsia="方正黑体_GBK"/>
                <w:bCs/>
                <w:color w:val="000000"/>
                <w:sz w:val="21"/>
                <w:szCs w:val="21"/>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9"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color w:val="000000"/>
                <w:sz w:val="21"/>
                <w:szCs w:val="21"/>
              </w:rPr>
            </w:pPr>
            <w:r>
              <w:rPr>
                <w:rFonts w:hAnsi="宋体"/>
                <w:color w:val="000000"/>
                <w:sz w:val="21"/>
                <w:szCs w:val="21"/>
              </w:rPr>
              <w:t>健康水平</w:t>
            </w:r>
          </w:p>
        </w:tc>
        <w:tc>
          <w:tcPr>
            <w:tcW w:w="6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color w:val="000000"/>
                <w:sz w:val="21"/>
                <w:szCs w:val="21"/>
              </w:rPr>
            </w:pPr>
            <w:r>
              <w:rPr>
                <w:color w:val="000000"/>
                <w:sz w:val="21"/>
                <w:szCs w:val="21"/>
              </w:rPr>
              <w:t>1</w:t>
            </w:r>
          </w:p>
        </w:tc>
        <w:tc>
          <w:tcPr>
            <w:tcW w:w="3991"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color w:val="000000"/>
                <w:sz w:val="21"/>
                <w:szCs w:val="21"/>
              </w:rPr>
            </w:pPr>
            <w:r>
              <w:rPr>
                <w:rFonts w:hAnsi="宋体"/>
                <w:color w:val="000000"/>
                <w:sz w:val="21"/>
                <w:szCs w:val="21"/>
              </w:rPr>
              <w:t>人均预期寿命（岁）</w:t>
            </w:r>
          </w:p>
        </w:tc>
        <w:tc>
          <w:tcPr>
            <w:tcW w:w="135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color w:val="000000"/>
                <w:sz w:val="21"/>
                <w:szCs w:val="21"/>
              </w:rPr>
            </w:pPr>
            <w:r>
              <w:rPr>
                <w:color w:val="000000"/>
                <w:sz w:val="21"/>
                <w:szCs w:val="21"/>
              </w:rPr>
              <w:t>76.62</w:t>
            </w:r>
          </w:p>
        </w:tc>
        <w:tc>
          <w:tcPr>
            <w:tcW w:w="148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color w:val="000000"/>
                <w:sz w:val="21"/>
                <w:szCs w:val="21"/>
              </w:rPr>
            </w:pPr>
            <w:r>
              <w:rPr>
                <w:color w:val="000000"/>
                <w:sz w:val="21"/>
                <w:szCs w:val="21"/>
              </w:rPr>
              <w:t>77</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color w:val="000000"/>
                <w:sz w:val="21"/>
                <w:szCs w:val="21"/>
              </w:rPr>
            </w:pPr>
            <w:r>
              <w:rPr>
                <w:rFonts w:hAnsi="宋体"/>
                <w:color w:val="00000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color w:val="000000"/>
                <w:sz w:val="21"/>
                <w:szCs w:val="21"/>
              </w:rPr>
            </w:pPr>
          </w:p>
        </w:tc>
        <w:tc>
          <w:tcPr>
            <w:tcW w:w="6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color w:val="000000"/>
                <w:sz w:val="21"/>
                <w:szCs w:val="21"/>
              </w:rPr>
            </w:pPr>
            <w:r>
              <w:rPr>
                <w:color w:val="000000"/>
                <w:sz w:val="21"/>
                <w:szCs w:val="21"/>
              </w:rPr>
              <w:t>2</w:t>
            </w:r>
          </w:p>
        </w:tc>
        <w:tc>
          <w:tcPr>
            <w:tcW w:w="3991"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color w:val="000000"/>
                <w:sz w:val="21"/>
                <w:szCs w:val="21"/>
              </w:rPr>
            </w:pPr>
            <w:r>
              <w:rPr>
                <w:rFonts w:hAnsi="宋体"/>
                <w:color w:val="000000"/>
                <w:sz w:val="21"/>
                <w:szCs w:val="21"/>
              </w:rPr>
              <w:t>健康预期寿命</w:t>
            </w:r>
          </w:p>
        </w:tc>
        <w:tc>
          <w:tcPr>
            <w:tcW w:w="135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color w:val="000000"/>
                <w:sz w:val="21"/>
                <w:szCs w:val="21"/>
              </w:rPr>
            </w:pPr>
            <w:r>
              <w:rPr>
                <w:color w:val="000000"/>
                <w:sz w:val="21"/>
                <w:szCs w:val="21"/>
              </w:rPr>
              <w:t>—</w:t>
            </w:r>
          </w:p>
        </w:tc>
        <w:tc>
          <w:tcPr>
            <w:tcW w:w="148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color w:val="000000"/>
                <w:sz w:val="21"/>
                <w:szCs w:val="21"/>
              </w:rPr>
            </w:pPr>
            <w:r>
              <w:rPr>
                <w:rFonts w:hAnsi="宋体"/>
                <w:color w:val="000000"/>
                <w:sz w:val="21"/>
                <w:szCs w:val="21"/>
              </w:rPr>
              <w:t>同比例提高</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color w:val="000000"/>
                <w:sz w:val="21"/>
                <w:szCs w:val="21"/>
              </w:rPr>
            </w:pPr>
            <w:r>
              <w:rPr>
                <w:rFonts w:hAnsi="宋体"/>
                <w:color w:val="00000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color w:val="000000"/>
                <w:sz w:val="21"/>
                <w:szCs w:val="21"/>
              </w:rPr>
            </w:pPr>
          </w:p>
        </w:tc>
        <w:tc>
          <w:tcPr>
            <w:tcW w:w="6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color w:val="000000"/>
                <w:sz w:val="21"/>
                <w:szCs w:val="21"/>
              </w:rPr>
            </w:pPr>
            <w:r>
              <w:rPr>
                <w:color w:val="000000"/>
                <w:sz w:val="21"/>
                <w:szCs w:val="21"/>
              </w:rPr>
              <w:t>3</w:t>
            </w:r>
          </w:p>
        </w:tc>
        <w:tc>
          <w:tcPr>
            <w:tcW w:w="3991"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color w:val="000000"/>
                <w:sz w:val="21"/>
                <w:szCs w:val="21"/>
              </w:rPr>
            </w:pPr>
            <w:r>
              <w:rPr>
                <w:rFonts w:hAnsi="宋体"/>
                <w:color w:val="000000"/>
                <w:sz w:val="21"/>
                <w:szCs w:val="21"/>
              </w:rPr>
              <w:t>孕产妇死亡率（</w:t>
            </w:r>
            <w:r>
              <w:rPr>
                <w:color w:val="000000"/>
                <w:sz w:val="21"/>
                <w:szCs w:val="21"/>
              </w:rPr>
              <w:t>/10</w:t>
            </w:r>
            <w:r>
              <w:rPr>
                <w:rFonts w:hAnsi="宋体"/>
                <w:color w:val="000000"/>
                <w:sz w:val="21"/>
                <w:szCs w:val="21"/>
              </w:rPr>
              <w:t>万）</w:t>
            </w:r>
          </w:p>
        </w:tc>
        <w:tc>
          <w:tcPr>
            <w:tcW w:w="135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color w:val="000000"/>
                <w:sz w:val="21"/>
                <w:szCs w:val="21"/>
              </w:rPr>
            </w:pPr>
            <w:r>
              <w:rPr>
                <w:color w:val="000000"/>
                <w:sz w:val="21"/>
                <w:szCs w:val="21"/>
              </w:rPr>
              <w:t>0</w:t>
            </w:r>
          </w:p>
        </w:tc>
        <w:tc>
          <w:tcPr>
            <w:tcW w:w="148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color w:val="000000"/>
                <w:sz w:val="21"/>
                <w:szCs w:val="21"/>
              </w:rPr>
            </w:pPr>
            <w:r>
              <w:rPr>
                <w:color w:val="000000"/>
                <w:sz w:val="21"/>
                <w:szCs w:val="21"/>
              </w:rPr>
              <w:t>≤10</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color w:val="000000"/>
                <w:sz w:val="21"/>
                <w:szCs w:val="21"/>
              </w:rPr>
            </w:pPr>
            <w:r>
              <w:rPr>
                <w:rFonts w:hAnsi="宋体"/>
                <w:color w:val="00000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53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color w:val="000000"/>
                <w:sz w:val="21"/>
                <w:szCs w:val="21"/>
              </w:rPr>
            </w:pPr>
          </w:p>
        </w:tc>
        <w:tc>
          <w:tcPr>
            <w:tcW w:w="6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color w:val="000000"/>
                <w:sz w:val="21"/>
                <w:szCs w:val="21"/>
              </w:rPr>
            </w:pPr>
            <w:r>
              <w:rPr>
                <w:color w:val="000000"/>
                <w:sz w:val="21"/>
                <w:szCs w:val="21"/>
              </w:rPr>
              <w:t>4</w:t>
            </w:r>
          </w:p>
        </w:tc>
        <w:tc>
          <w:tcPr>
            <w:tcW w:w="3991"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color w:val="000000"/>
                <w:sz w:val="21"/>
                <w:szCs w:val="21"/>
              </w:rPr>
            </w:pPr>
            <w:r>
              <w:rPr>
                <w:rFonts w:hAnsi="宋体"/>
                <w:color w:val="000000"/>
                <w:sz w:val="21"/>
                <w:szCs w:val="21"/>
              </w:rPr>
              <w:t>婴儿死亡率（</w:t>
            </w:r>
            <w:r>
              <w:rPr>
                <w:color w:val="000000"/>
                <w:sz w:val="21"/>
                <w:szCs w:val="21"/>
              </w:rPr>
              <w:t>‰</w:t>
            </w:r>
            <w:r>
              <w:rPr>
                <w:rFonts w:hAnsi="宋体"/>
                <w:color w:val="000000"/>
                <w:sz w:val="21"/>
                <w:szCs w:val="21"/>
              </w:rPr>
              <w:t>）</w:t>
            </w:r>
          </w:p>
        </w:tc>
        <w:tc>
          <w:tcPr>
            <w:tcW w:w="135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color w:val="000000"/>
                <w:sz w:val="21"/>
                <w:szCs w:val="21"/>
              </w:rPr>
            </w:pPr>
            <w:r>
              <w:rPr>
                <w:color w:val="000000"/>
                <w:sz w:val="21"/>
                <w:szCs w:val="21"/>
              </w:rPr>
              <w:t>3.81</w:t>
            </w:r>
          </w:p>
        </w:tc>
        <w:tc>
          <w:tcPr>
            <w:tcW w:w="148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color w:val="000000"/>
                <w:sz w:val="21"/>
                <w:szCs w:val="21"/>
              </w:rPr>
            </w:pPr>
            <w:r>
              <w:rPr>
                <w:color w:val="000000"/>
                <w:sz w:val="21"/>
                <w:szCs w:val="21"/>
              </w:rPr>
              <w:t>≤3</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color w:val="000000"/>
                <w:sz w:val="21"/>
                <w:szCs w:val="21"/>
              </w:rPr>
            </w:pPr>
            <w:r>
              <w:rPr>
                <w:rFonts w:hAnsi="宋体"/>
                <w:color w:val="00000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color w:val="000000"/>
                <w:sz w:val="21"/>
                <w:szCs w:val="21"/>
              </w:rPr>
            </w:pPr>
          </w:p>
        </w:tc>
        <w:tc>
          <w:tcPr>
            <w:tcW w:w="6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color w:val="000000"/>
                <w:sz w:val="21"/>
                <w:szCs w:val="21"/>
              </w:rPr>
            </w:pPr>
            <w:r>
              <w:rPr>
                <w:color w:val="000000"/>
                <w:sz w:val="21"/>
                <w:szCs w:val="21"/>
              </w:rPr>
              <w:t>5</w:t>
            </w:r>
          </w:p>
        </w:tc>
        <w:tc>
          <w:tcPr>
            <w:tcW w:w="3991"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color w:val="000000"/>
                <w:sz w:val="21"/>
                <w:szCs w:val="21"/>
              </w:rPr>
            </w:pPr>
            <w:r>
              <w:rPr>
                <w:color w:val="000000"/>
                <w:sz w:val="21"/>
                <w:szCs w:val="21"/>
              </w:rPr>
              <w:t>5</w:t>
            </w:r>
            <w:r>
              <w:rPr>
                <w:rFonts w:hAnsi="宋体"/>
                <w:color w:val="000000"/>
                <w:sz w:val="21"/>
                <w:szCs w:val="21"/>
              </w:rPr>
              <w:t>岁以下儿童死亡率（</w:t>
            </w:r>
            <w:r>
              <w:rPr>
                <w:color w:val="000000"/>
                <w:sz w:val="21"/>
                <w:szCs w:val="21"/>
              </w:rPr>
              <w:t>‰</w:t>
            </w:r>
            <w:r>
              <w:rPr>
                <w:rFonts w:hAnsi="宋体"/>
                <w:color w:val="000000"/>
                <w:sz w:val="21"/>
                <w:szCs w:val="21"/>
              </w:rPr>
              <w:t>）</w:t>
            </w:r>
          </w:p>
        </w:tc>
        <w:tc>
          <w:tcPr>
            <w:tcW w:w="135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color w:val="000000"/>
                <w:sz w:val="21"/>
                <w:szCs w:val="21"/>
              </w:rPr>
            </w:pPr>
            <w:r>
              <w:rPr>
                <w:color w:val="000000"/>
                <w:sz w:val="21"/>
                <w:szCs w:val="21"/>
              </w:rPr>
              <w:t>6.13</w:t>
            </w:r>
          </w:p>
        </w:tc>
        <w:tc>
          <w:tcPr>
            <w:tcW w:w="148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color w:val="000000"/>
                <w:sz w:val="21"/>
                <w:szCs w:val="21"/>
              </w:rPr>
            </w:pPr>
            <w:r>
              <w:rPr>
                <w:color w:val="000000"/>
                <w:sz w:val="21"/>
                <w:szCs w:val="21"/>
              </w:rPr>
              <w:t>≤5</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color w:val="000000"/>
                <w:sz w:val="21"/>
                <w:szCs w:val="21"/>
              </w:rPr>
            </w:pPr>
            <w:r>
              <w:rPr>
                <w:rFonts w:hAnsi="宋体"/>
                <w:color w:val="00000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color w:val="000000"/>
                <w:sz w:val="21"/>
                <w:szCs w:val="21"/>
              </w:rPr>
            </w:pPr>
          </w:p>
        </w:tc>
        <w:tc>
          <w:tcPr>
            <w:tcW w:w="6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color w:val="000000"/>
                <w:sz w:val="21"/>
                <w:szCs w:val="21"/>
              </w:rPr>
            </w:pPr>
            <w:r>
              <w:rPr>
                <w:color w:val="000000"/>
                <w:sz w:val="21"/>
                <w:szCs w:val="21"/>
              </w:rPr>
              <w:t>6</w:t>
            </w:r>
          </w:p>
        </w:tc>
        <w:tc>
          <w:tcPr>
            <w:tcW w:w="3991"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color w:val="000000"/>
                <w:sz w:val="21"/>
                <w:szCs w:val="21"/>
              </w:rPr>
            </w:pPr>
            <w:r>
              <w:rPr>
                <w:rFonts w:hAnsi="宋体"/>
                <w:color w:val="000000"/>
                <w:sz w:val="21"/>
                <w:szCs w:val="21"/>
              </w:rPr>
              <w:t>重大慢性病过早死亡率（</w:t>
            </w:r>
            <w:r>
              <w:rPr>
                <w:color w:val="000000"/>
                <w:sz w:val="21"/>
                <w:szCs w:val="21"/>
              </w:rPr>
              <w:t>%</w:t>
            </w:r>
            <w:r>
              <w:rPr>
                <w:rFonts w:hAnsi="宋体"/>
                <w:color w:val="000000"/>
                <w:sz w:val="21"/>
                <w:szCs w:val="21"/>
              </w:rPr>
              <w:t>）</w:t>
            </w:r>
          </w:p>
        </w:tc>
        <w:tc>
          <w:tcPr>
            <w:tcW w:w="135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color w:val="000000"/>
                <w:sz w:val="21"/>
                <w:szCs w:val="21"/>
              </w:rPr>
            </w:pPr>
            <w:r>
              <w:rPr>
                <w:color w:val="000000"/>
                <w:sz w:val="21"/>
                <w:szCs w:val="21"/>
              </w:rPr>
              <w:t>13.32</w:t>
            </w:r>
          </w:p>
        </w:tc>
        <w:tc>
          <w:tcPr>
            <w:tcW w:w="148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color w:val="000000"/>
                <w:sz w:val="21"/>
                <w:szCs w:val="21"/>
              </w:rPr>
            </w:pPr>
            <w:r>
              <w:rPr>
                <w:color w:val="000000"/>
                <w:sz w:val="21"/>
                <w:szCs w:val="21"/>
              </w:rPr>
              <w:t>≤13.5</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color w:val="000000"/>
                <w:sz w:val="21"/>
                <w:szCs w:val="21"/>
              </w:rPr>
            </w:pPr>
            <w:r>
              <w:rPr>
                <w:rFonts w:hAnsi="宋体"/>
                <w:color w:val="00000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9"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color w:val="000000"/>
                <w:sz w:val="21"/>
                <w:szCs w:val="21"/>
              </w:rPr>
            </w:pPr>
            <w:r>
              <w:rPr>
                <w:rFonts w:hAnsi="宋体"/>
                <w:color w:val="000000"/>
                <w:sz w:val="21"/>
                <w:szCs w:val="21"/>
              </w:rPr>
              <w:t>健康生活</w:t>
            </w:r>
          </w:p>
        </w:tc>
        <w:tc>
          <w:tcPr>
            <w:tcW w:w="6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color w:val="000000"/>
                <w:sz w:val="21"/>
                <w:szCs w:val="21"/>
              </w:rPr>
            </w:pPr>
            <w:r>
              <w:rPr>
                <w:color w:val="000000"/>
                <w:sz w:val="21"/>
                <w:szCs w:val="21"/>
              </w:rPr>
              <w:t>7</w:t>
            </w:r>
          </w:p>
        </w:tc>
        <w:tc>
          <w:tcPr>
            <w:tcW w:w="3991"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color w:val="000000"/>
                <w:sz w:val="21"/>
                <w:szCs w:val="21"/>
              </w:rPr>
            </w:pPr>
            <w:r>
              <w:rPr>
                <w:color w:val="000000"/>
                <w:sz w:val="21"/>
                <w:szCs w:val="21"/>
              </w:rPr>
              <w:t>居民健康素养水平（%）</w:t>
            </w:r>
          </w:p>
        </w:tc>
        <w:tc>
          <w:tcPr>
            <w:tcW w:w="135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color w:val="000000"/>
                <w:sz w:val="21"/>
                <w:szCs w:val="21"/>
              </w:rPr>
            </w:pPr>
            <w:r>
              <w:rPr>
                <w:color w:val="000000"/>
                <w:sz w:val="21"/>
                <w:szCs w:val="21"/>
              </w:rPr>
              <w:t>20.58</w:t>
            </w:r>
          </w:p>
        </w:tc>
        <w:tc>
          <w:tcPr>
            <w:tcW w:w="148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color w:val="000000"/>
                <w:sz w:val="21"/>
                <w:szCs w:val="21"/>
              </w:rPr>
            </w:pPr>
            <w:r>
              <w:rPr>
                <w:color w:val="000000"/>
                <w:sz w:val="21"/>
                <w:szCs w:val="21"/>
              </w:rPr>
              <w:t>≧25</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color w:val="000000"/>
                <w:sz w:val="21"/>
                <w:szCs w:val="21"/>
              </w:rPr>
            </w:pPr>
            <w:r>
              <w:rPr>
                <w:color w:val="00000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color w:val="000000"/>
                <w:sz w:val="21"/>
                <w:szCs w:val="21"/>
              </w:rPr>
            </w:pPr>
          </w:p>
        </w:tc>
        <w:tc>
          <w:tcPr>
            <w:tcW w:w="6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color w:val="000000"/>
                <w:sz w:val="21"/>
                <w:szCs w:val="21"/>
              </w:rPr>
            </w:pPr>
            <w:r>
              <w:rPr>
                <w:color w:val="000000"/>
                <w:sz w:val="21"/>
                <w:szCs w:val="21"/>
              </w:rPr>
              <w:t>8</w:t>
            </w:r>
          </w:p>
        </w:tc>
        <w:tc>
          <w:tcPr>
            <w:tcW w:w="3991"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color w:val="000000"/>
                <w:sz w:val="21"/>
                <w:szCs w:val="21"/>
              </w:rPr>
            </w:pPr>
            <w:r>
              <w:rPr>
                <w:color w:val="000000"/>
                <w:sz w:val="21"/>
                <w:szCs w:val="21"/>
              </w:rPr>
              <w:t>15岁以上人群吸烟率（%）</w:t>
            </w:r>
          </w:p>
        </w:tc>
        <w:tc>
          <w:tcPr>
            <w:tcW w:w="135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color w:val="000000"/>
                <w:sz w:val="21"/>
                <w:szCs w:val="21"/>
              </w:rPr>
            </w:pPr>
            <w:r>
              <w:rPr>
                <w:color w:val="000000"/>
                <w:sz w:val="21"/>
                <w:szCs w:val="21"/>
              </w:rPr>
              <w:t>29.22</w:t>
            </w:r>
          </w:p>
        </w:tc>
        <w:tc>
          <w:tcPr>
            <w:tcW w:w="148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color w:val="000000"/>
                <w:sz w:val="21"/>
                <w:szCs w:val="21"/>
              </w:rPr>
            </w:pPr>
            <w:r>
              <w:rPr>
                <w:color w:val="000000"/>
                <w:sz w:val="21"/>
                <w:szCs w:val="21"/>
              </w:rPr>
              <w:t>≤22</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color w:val="000000"/>
                <w:sz w:val="21"/>
                <w:szCs w:val="21"/>
              </w:rPr>
            </w:pPr>
            <w:r>
              <w:rPr>
                <w:color w:val="00000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9"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color w:val="000000"/>
                <w:sz w:val="21"/>
                <w:szCs w:val="21"/>
              </w:rPr>
            </w:pPr>
            <w:r>
              <w:rPr>
                <w:color w:val="000000"/>
                <w:sz w:val="21"/>
                <w:szCs w:val="21"/>
              </w:rPr>
              <w:t>健康服务</w:t>
            </w:r>
          </w:p>
        </w:tc>
        <w:tc>
          <w:tcPr>
            <w:tcW w:w="6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color w:val="000000"/>
                <w:sz w:val="21"/>
                <w:szCs w:val="21"/>
              </w:rPr>
            </w:pPr>
            <w:r>
              <w:rPr>
                <w:color w:val="000000"/>
                <w:sz w:val="21"/>
                <w:szCs w:val="21"/>
              </w:rPr>
              <w:t>9</w:t>
            </w:r>
          </w:p>
        </w:tc>
        <w:tc>
          <w:tcPr>
            <w:tcW w:w="3991"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color w:val="000000"/>
                <w:sz w:val="21"/>
                <w:szCs w:val="21"/>
              </w:rPr>
            </w:pPr>
            <w:r>
              <w:rPr>
                <w:color w:val="000000"/>
                <w:sz w:val="21"/>
                <w:szCs w:val="21"/>
              </w:rPr>
              <w:t>每千人口医疗卫生机构床位数（张）</w:t>
            </w:r>
          </w:p>
        </w:tc>
        <w:tc>
          <w:tcPr>
            <w:tcW w:w="135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color w:val="000000"/>
                <w:sz w:val="21"/>
                <w:szCs w:val="21"/>
              </w:rPr>
            </w:pPr>
            <w:r>
              <w:rPr>
                <w:color w:val="000000"/>
                <w:sz w:val="21"/>
                <w:szCs w:val="21"/>
              </w:rPr>
              <w:t>8.85</w:t>
            </w:r>
          </w:p>
        </w:tc>
        <w:tc>
          <w:tcPr>
            <w:tcW w:w="148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color w:val="000000"/>
                <w:sz w:val="21"/>
                <w:szCs w:val="21"/>
              </w:rPr>
            </w:pPr>
            <w:r>
              <w:rPr>
                <w:color w:val="000000"/>
                <w:sz w:val="21"/>
                <w:szCs w:val="21"/>
              </w:rPr>
              <w:t>9</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color w:val="000000"/>
                <w:sz w:val="21"/>
                <w:szCs w:val="21"/>
              </w:rPr>
            </w:pPr>
            <w:r>
              <w:rPr>
                <w:color w:val="00000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color w:val="000000"/>
                <w:sz w:val="21"/>
                <w:szCs w:val="21"/>
              </w:rPr>
            </w:pPr>
          </w:p>
        </w:tc>
        <w:tc>
          <w:tcPr>
            <w:tcW w:w="6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color w:val="000000"/>
                <w:sz w:val="21"/>
                <w:szCs w:val="21"/>
              </w:rPr>
            </w:pPr>
            <w:r>
              <w:rPr>
                <w:color w:val="000000"/>
                <w:sz w:val="21"/>
                <w:szCs w:val="21"/>
              </w:rPr>
              <w:t>10</w:t>
            </w:r>
          </w:p>
        </w:tc>
        <w:tc>
          <w:tcPr>
            <w:tcW w:w="3991"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color w:val="000000"/>
                <w:sz w:val="21"/>
                <w:szCs w:val="21"/>
              </w:rPr>
            </w:pPr>
            <w:r>
              <w:rPr>
                <w:color w:val="000000"/>
                <w:sz w:val="21"/>
                <w:szCs w:val="21"/>
              </w:rPr>
              <w:t>每千人口执业（助理）医师数（人）</w:t>
            </w:r>
          </w:p>
        </w:tc>
        <w:tc>
          <w:tcPr>
            <w:tcW w:w="135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color w:val="000000"/>
                <w:sz w:val="21"/>
                <w:szCs w:val="21"/>
              </w:rPr>
            </w:pPr>
            <w:r>
              <w:rPr>
                <w:color w:val="000000"/>
                <w:sz w:val="21"/>
                <w:szCs w:val="21"/>
              </w:rPr>
              <w:t>2.79</w:t>
            </w:r>
          </w:p>
        </w:tc>
        <w:tc>
          <w:tcPr>
            <w:tcW w:w="148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color w:val="000000"/>
                <w:sz w:val="21"/>
                <w:szCs w:val="21"/>
              </w:rPr>
            </w:pPr>
            <w:r>
              <w:rPr>
                <w:color w:val="000000"/>
                <w:sz w:val="21"/>
                <w:szCs w:val="21"/>
              </w:rPr>
              <w:t>3.3</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color w:val="000000"/>
                <w:sz w:val="21"/>
                <w:szCs w:val="21"/>
              </w:rPr>
            </w:pPr>
            <w:r>
              <w:rPr>
                <w:color w:val="000000"/>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color w:val="000000"/>
                <w:sz w:val="21"/>
                <w:szCs w:val="21"/>
              </w:rPr>
            </w:pPr>
          </w:p>
        </w:tc>
        <w:tc>
          <w:tcPr>
            <w:tcW w:w="6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color w:val="000000"/>
                <w:sz w:val="21"/>
                <w:szCs w:val="21"/>
              </w:rPr>
            </w:pPr>
            <w:r>
              <w:rPr>
                <w:color w:val="000000"/>
                <w:sz w:val="21"/>
                <w:szCs w:val="21"/>
              </w:rPr>
              <w:t>11</w:t>
            </w:r>
          </w:p>
        </w:tc>
        <w:tc>
          <w:tcPr>
            <w:tcW w:w="399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color w:val="000000"/>
                <w:sz w:val="21"/>
                <w:szCs w:val="21"/>
              </w:rPr>
            </w:pPr>
            <w:r>
              <w:rPr>
                <w:color w:val="000000"/>
                <w:sz w:val="21"/>
                <w:szCs w:val="21"/>
              </w:rPr>
              <w:t>每百张床位临床药师数（人）</w:t>
            </w:r>
          </w:p>
        </w:tc>
        <w:tc>
          <w:tcPr>
            <w:tcW w:w="135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color w:val="000000"/>
                <w:sz w:val="21"/>
                <w:szCs w:val="21"/>
              </w:rPr>
            </w:pPr>
            <w:r>
              <w:rPr>
                <w:color w:val="000000"/>
                <w:sz w:val="21"/>
                <w:szCs w:val="21"/>
              </w:rPr>
              <w:t>0.35</w:t>
            </w:r>
          </w:p>
        </w:tc>
        <w:tc>
          <w:tcPr>
            <w:tcW w:w="148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color w:val="000000"/>
                <w:sz w:val="21"/>
                <w:szCs w:val="21"/>
              </w:rPr>
            </w:pPr>
            <w:r>
              <w:rPr>
                <w:color w:val="000000"/>
                <w:sz w:val="21"/>
                <w:szCs w:val="21"/>
              </w:rPr>
              <w:t>1</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color w:val="000000"/>
                <w:sz w:val="21"/>
                <w:szCs w:val="21"/>
              </w:rPr>
            </w:pPr>
            <w:r>
              <w:rPr>
                <w:color w:val="00000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color w:val="000000"/>
                <w:sz w:val="21"/>
                <w:szCs w:val="21"/>
              </w:rPr>
            </w:pPr>
          </w:p>
        </w:tc>
        <w:tc>
          <w:tcPr>
            <w:tcW w:w="6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color w:val="000000"/>
                <w:sz w:val="21"/>
                <w:szCs w:val="21"/>
              </w:rPr>
            </w:pPr>
            <w:r>
              <w:rPr>
                <w:color w:val="000000"/>
                <w:sz w:val="21"/>
                <w:szCs w:val="21"/>
              </w:rPr>
              <w:t>12</w:t>
            </w:r>
          </w:p>
        </w:tc>
        <w:tc>
          <w:tcPr>
            <w:tcW w:w="399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color w:val="000000"/>
                <w:sz w:val="21"/>
                <w:szCs w:val="21"/>
              </w:rPr>
            </w:pPr>
            <w:r>
              <w:rPr>
                <w:color w:val="000000"/>
                <w:sz w:val="21"/>
                <w:szCs w:val="21"/>
              </w:rPr>
              <w:t>每千人拥有3岁以下婴幼儿托位数（个）</w:t>
            </w:r>
          </w:p>
        </w:tc>
        <w:tc>
          <w:tcPr>
            <w:tcW w:w="135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color w:val="000000"/>
                <w:sz w:val="21"/>
                <w:szCs w:val="21"/>
              </w:rPr>
            </w:pPr>
            <w:r>
              <w:rPr>
                <w:color w:val="000000"/>
                <w:sz w:val="21"/>
                <w:szCs w:val="21"/>
              </w:rPr>
              <w:t>0.4</w:t>
            </w:r>
          </w:p>
        </w:tc>
        <w:tc>
          <w:tcPr>
            <w:tcW w:w="148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color w:val="000000"/>
                <w:sz w:val="21"/>
                <w:szCs w:val="21"/>
              </w:rPr>
            </w:pPr>
            <w:r>
              <w:rPr>
                <w:color w:val="000000"/>
                <w:sz w:val="21"/>
                <w:szCs w:val="21"/>
              </w:rPr>
              <w:t>4</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color w:val="000000"/>
                <w:sz w:val="21"/>
                <w:szCs w:val="21"/>
              </w:rPr>
            </w:pPr>
            <w:r>
              <w:rPr>
                <w:color w:val="00000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color w:val="000000"/>
                <w:sz w:val="21"/>
                <w:szCs w:val="21"/>
              </w:rPr>
            </w:pPr>
          </w:p>
        </w:tc>
        <w:tc>
          <w:tcPr>
            <w:tcW w:w="6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color w:val="000000"/>
                <w:sz w:val="21"/>
                <w:szCs w:val="21"/>
              </w:rPr>
            </w:pPr>
            <w:r>
              <w:rPr>
                <w:color w:val="000000"/>
                <w:sz w:val="21"/>
                <w:szCs w:val="21"/>
              </w:rPr>
              <w:t>13</w:t>
            </w:r>
          </w:p>
        </w:tc>
        <w:tc>
          <w:tcPr>
            <w:tcW w:w="399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color w:val="000000"/>
                <w:sz w:val="21"/>
                <w:szCs w:val="21"/>
              </w:rPr>
            </w:pPr>
            <w:r>
              <w:rPr>
                <w:color w:val="000000"/>
                <w:sz w:val="21"/>
                <w:szCs w:val="21"/>
              </w:rPr>
              <w:t>全区儿童青少年总体近视率（%）</w:t>
            </w:r>
          </w:p>
        </w:tc>
        <w:tc>
          <w:tcPr>
            <w:tcW w:w="135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color w:val="000000"/>
                <w:sz w:val="21"/>
                <w:szCs w:val="21"/>
              </w:rPr>
            </w:pPr>
            <w:r>
              <w:rPr>
                <w:color w:val="000000"/>
                <w:sz w:val="21"/>
                <w:szCs w:val="21"/>
              </w:rPr>
              <w:t>52.21</w:t>
            </w:r>
          </w:p>
        </w:tc>
        <w:tc>
          <w:tcPr>
            <w:tcW w:w="148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color w:val="000000"/>
                <w:sz w:val="21"/>
                <w:szCs w:val="21"/>
              </w:rPr>
            </w:pPr>
            <w:r>
              <w:rPr>
                <w:color w:val="000000"/>
                <w:sz w:val="21"/>
                <w:szCs w:val="21"/>
              </w:rPr>
              <w:t>≤49.0</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color w:val="000000"/>
                <w:sz w:val="21"/>
                <w:szCs w:val="21"/>
              </w:rPr>
            </w:pPr>
            <w:r>
              <w:rPr>
                <w:color w:val="000000"/>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color w:val="000000"/>
                <w:sz w:val="21"/>
                <w:szCs w:val="21"/>
              </w:rPr>
            </w:pPr>
          </w:p>
        </w:tc>
        <w:tc>
          <w:tcPr>
            <w:tcW w:w="6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color w:val="000000"/>
                <w:sz w:val="21"/>
                <w:szCs w:val="21"/>
              </w:rPr>
            </w:pPr>
            <w:r>
              <w:rPr>
                <w:color w:val="000000"/>
                <w:sz w:val="21"/>
                <w:szCs w:val="21"/>
              </w:rPr>
              <w:t>14</w:t>
            </w:r>
          </w:p>
        </w:tc>
        <w:tc>
          <w:tcPr>
            <w:tcW w:w="399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color w:val="000000"/>
                <w:sz w:val="21"/>
                <w:szCs w:val="21"/>
              </w:rPr>
            </w:pPr>
            <w:r>
              <w:rPr>
                <w:color w:val="000000"/>
                <w:sz w:val="21"/>
                <w:szCs w:val="21"/>
              </w:rPr>
              <w:t>二级及以上综合性医院设置老年医学科的比例（%）</w:t>
            </w:r>
          </w:p>
        </w:tc>
        <w:tc>
          <w:tcPr>
            <w:tcW w:w="135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color w:val="000000"/>
                <w:sz w:val="21"/>
                <w:szCs w:val="21"/>
              </w:rPr>
            </w:pPr>
            <w:r>
              <w:rPr>
                <w:color w:val="000000"/>
                <w:sz w:val="21"/>
                <w:szCs w:val="21"/>
              </w:rPr>
              <w:t>50</w:t>
            </w:r>
          </w:p>
        </w:tc>
        <w:tc>
          <w:tcPr>
            <w:tcW w:w="148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color w:val="000000"/>
                <w:sz w:val="21"/>
                <w:szCs w:val="21"/>
              </w:rPr>
            </w:pPr>
            <w:r>
              <w:rPr>
                <w:color w:val="000000"/>
                <w:sz w:val="21"/>
                <w:szCs w:val="21"/>
              </w:rPr>
              <w:t>≥60</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color w:val="000000"/>
                <w:sz w:val="21"/>
                <w:szCs w:val="21"/>
              </w:rPr>
            </w:pPr>
            <w:r>
              <w:rPr>
                <w:color w:val="00000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color w:val="000000"/>
                <w:sz w:val="21"/>
                <w:szCs w:val="21"/>
              </w:rPr>
            </w:pPr>
            <w:r>
              <w:rPr>
                <w:color w:val="000000"/>
                <w:sz w:val="21"/>
                <w:szCs w:val="21"/>
              </w:rPr>
              <w:t>健康</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color w:val="000000"/>
                <w:sz w:val="21"/>
                <w:szCs w:val="21"/>
              </w:rPr>
            </w:pPr>
            <w:r>
              <w:rPr>
                <w:color w:val="000000"/>
                <w:sz w:val="21"/>
                <w:szCs w:val="21"/>
              </w:rPr>
              <w:t>保障</w:t>
            </w:r>
          </w:p>
        </w:tc>
        <w:tc>
          <w:tcPr>
            <w:tcW w:w="676"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color w:val="000000"/>
                <w:sz w:val="21"/>
                <w:szCs w:val="21"/>
              </w:rPr>
            </w:pPr>
            <w:r>
              <w:rPr>
                <w:color w:val="000000"/>
                <w:sz w:val="21"/>
                <w:szCs w:val="21"/>
              </w:rPr>
              <w:t xml:space="preserve">  15</w:t>
            </w:r>
          </w:p>
        </w:tc>
        <w:tc>
          <w:tcPr>
            <w:tcW w:w="3991"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color w:val="000000"/>
                <w:sz w:val="21"/>
                <w:szCs w:val="21"/>
              </w:rPr>
            </w:pPr>
            <w:r>
              <w:rPr>
                <w:color w:val="000000"/>
                <w:sz w:val="21"/>
                <w:szCs w:val="21"/>
              </w:rPr>
              <w:t>个人卫生支出占卫生总费用的比重（%）</w:t>
            </w:r>
          </w:p>
        </w:tc>
        <w:tc>
          <w:tcPr>
            <w:tcW w:w="135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color w:val="000000"/>
                <w:sz w:val="21"/>
                <w:szCs w:val="21"/>
              </w:rPr>
            </w:pPr>
            <w:r>
              <w:rPr>
                <w:color w:val="000000"/>
                <w:sz w:val="21"/>
                <w:szCs w:val="21"/>
              </w:rPr>
              <w:t>—</w:t>
            </w:r>
          </w:p>
        </w:tc>
        <w:tc>
          <w:tcPr>
            <w:tcW w:w="148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color w:val="000000"/>
                <w:sz w:val="21"/>
                <w:szCs w:val="21"/>
              </w:rPr>
            </w:pPr>
            <w:r>
              <w:rPr>
                <w:color w:val="000000"/>
                <w:sz w:val="21"/>
                <w:szCs w:val="21"/>
              </w:rPr>
              <w:t>≤27</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color w:val="000000"/>
                <w:sz w:val="21"/>
                <w:szCs w:val="21"/>
              </w:rPr>
            </w:pPr>
            <w:r>
              <w:rPr>
                <w:color w:val="000000"/>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9360" w:type="dxa"/>
            <w:gridSpan w:val="6"/>
            <w:vAlign w:val="center"/>
          </w:tcPr>
          <w:p>
            <w:pPr>
              <w:keepNext w:val="0"/>
              <w:keepLines w:val="0"/>
              <w:pageBreakBefore w:val="0"/>
              <w:kinsoku/>
              <w:wordWrap/>
              <w:topLinePunct w:val="0"/>
              <w:bidi w:val="0"/>
              <w:snapToGrid/>
              <w:spacing w:line="579" w:lineRule="exact"/>
              <w:ind w:firstLine="420" w:firstLineChars="200"/>
              <w:textAlignment w:val="auto"/>
              <w:outlineLvl w:val="9"/>
              <w:rPr>
                <w:color w:val="000000"/>
                <w:sz w:val="21"/>
                <w:szCs w:val="21"/>
              </w:rPr>
            </w:pPr>
            <w:r>
              <w:rPr>
                <w:color w:val="000000"/>
                <w:sz w:val="21"/>
                <w:szCs w:val="21"/>
              </w:rPr>
              <w:t>备注：1.《重庆市黔江区国民经济和社会发展第十四个五年规划和二〇三五年远景目标纲要》中“人均预期寿命（岁）”和“</w:t>
            </w:r>
            <w:r>
              <w:rPr>
                <w:color w:val="000000"/>
                <w:kern w:val="0"/>
                <w:sz w:val="21"/>
                <w:szCs w:val="21"/>
              </w:rPr>
              <w:t>每千人口拥有执业（助理）医师数（人）</w:t>
            </w:r>
            <w:r>
              <w:rPr>
                <w:color w:val="000000"/>
                <w:sz w:val="21"/>
                <w:szCs w:val="21"/>
              </w:rPr>
              <w:t>”为2020年预估值，此表中为2020年实际数。2.“每千人拥有3岁以下婴幼儿托位数”按市卫生健康委要求，2025年目标值调整为4。</w:t>
            </w:r>
          </w:p>
        </w:tc>
      </w:tr>
    </w:tbl>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left"/>
        <w:textAlignment w:val="auto"/>
        <w:outlineLvl w:val="9"/>
        <w:rPr>
          <w:rFonts w:eastAsia="方正黑体_GBK"/>
          <w:color w:val="000000"/>
          <w:szCs w:val="32"/>
        </w:rPr>
      </w:pPr>
      <w:r>
        <w:rPr>
          <w:rFonts w:eastAsia="方正黑体_GBK"/>
          <w:color w:val="000000"/>
          <w:szCs w:val="32"/>
        </w:rPr>
        <w:t>三、重点任务</w:t>
      </w:r>
    </w:p>
    <w:p>
      <w:pPr>
        <w:pStyle w:val="12"/>
        <w:keepNext w:val="0"/>
        <w:keepLines w:val="0"/>
        <w:pageBreakBefore w:val="0"/>
        <w:kinsoku/>
        <w:wordWrap/>
        <w:topLinePunct w:val="0"/>
        <w:bidi w:val="0"/>
        <w:snapToGrid/>
        <w:spacing w:line="579" w:lineRule="exact"/>
        <w:ind w:firstLine="640" w:firstLineChars="200"/>
        <w:textAlignment w:val="auto"/>
        <w:outlineLvl w:val="9"/>
        <w:rPr>
          <w:color w:val="000000"/>
          <w:kern w:val="2"/>
          <w:sz w:val="32"/>
        </w:rPr>
      </w:pPr>
      <w:r>
        <w:rPr>
          <w:rFonts w:eastAsia="方正楷体_GBK"/>
          <w:bCs/>
          <w:color w:val="000000"/>
          <w:sz w:val="32"/>
          <w:szCs w:val="32"/>
        </w:rPr>
        <w:t>（一）深入推进健康中国黔江行动</w:t>
      </w:r>
    </w:p>
    <w:p>
      <w:pPr>
        <w:keepNext w:val="0"/>
        <w:keepLines w:val="0"/>
        <w:pageBreakBefore w:val="0"/>
        <w:kinsoku/>
        <w:wordWrap/>
        <w:topLinePunct w:val="0"/>
        <w:bidi w:val="0"/>
        <w:snapToGrid/>
        <w:spacing w:line="579" w:lineRule="exact"/>
        <w:ind w:firstLine="640"/>
        <w:jc w:val="left"/>
        <w:textAlignment w:val="auto"/>
        <w:outlineLvl w:val="9"/>
        <w:rPr>
          <w:color w:val="000000"/>
        </w:rPr>
      </w:pPr>
      <w:r>
        <w:rPr>
          <w:b/>
          <w:color w:val="000000"/>
        </w:rPr>
        <w:t>持续推进重大专项行动。</w:t>
      </w:r>
      <w:r>
        <w:rPr>
          <w:color w:val="000000"/>
        </w:rPr>
        <w:t>针对重大疾病和突出问题，聚焦重点人群，</w:t>
      </w:r>
      <w:r>
        <w:rPr>
          <w:color w:val="000000"/>
          <w:szCs w:val="32"/>
        </w:rPr>
        <w:t>推进健康知识普及、合理</w:t>
      </w:r>
      <w:r>
        <w:rPr>
          <w:color w:val="000000"/>
        </w:rPr>
        <w:t>膳食、全民健身、控烟、心理健康促进、健康环境促进等行动，加强健康影响因素全方位干预；</w:t>
      </w:r>
      <w:r>
        <w:rPr>
          <w:color w:val="000000"/>
          <w:szCs w:val="32"/>
        </w:rPr>
        <w:t>推进妇幼健康促进、中小学健康促进、职业健康保护、老年健康促进等行动，加强</w:t>
      </w:r>
      <w:r>
        <w:rPr>
          <w:color w:val="000000"/>
        </w:rPr>
        <w:t>全生命周期健康维护；推进心脑血管疾病防治、癌症防治、慢性呼吸系统疾病防治、糖尿病防治、传染病及地方病防控等行动，加强重大疾病防控。发挥健康中国黔江行动推进委员会以及专家咨询委员会、专项行动工作组职责，加强监测评估、考核评价、投入保障、宣传引导，确保行动推进扎实、有力有效。</w:t>
      </w:r>
    </w:p>
    <w:p>
      <w:pPr>
        <w:keepNext w:val="0"/>
        <w:keepLines w:val="0"/>
        <w:pageBreakBefore w:val="0"/>
        <w:kinsoku/>
        <w:wordWrap/>
        <w:topLinePunct w:val="0"/>
        <w:bidi w:val="0"/>
        <w:snapToGrid/>
        <w:spacing w:line="579" w:lineRule="exact"/>
        <w:ind w:firstLine="640"/>
        <w:jc w:val="left"/>
        <w:textAlignment w:val="auto"/>
        <w:outlineLvl w:val="9"/>
        <w:rPr>
          <w:color w:val="000000"/>
        </w:rPr>
      </w:pPr>
      <w:r>
        <w:rPr>
          <w:b/>
          <w:color w:val="000000"/>
        </w:rPr>
        <w:t>加强重点疾病防控。</w:t>
      </w:r>
      <w:r>
        <w:rPr>
          <w:color w:val="000000"/>
        </w:rPr>
        <w:t>优化重大疾病防控策略，建立专业公共卫生机构、综合性医院和专科医院、基层医疗卫生机构“三位一体”的重大疾病防控机制，信息共享、互联互通，推进慢性病和精神疾病防、治、管整体融合发展。加强慢性病综合防控，完善政府主导、部门协作、全社会共同参与的慢性病综合防控机制，巩固国家慢性病综合防控示范区成果。加强重大传染病防治，增强传染病监测预警、预防控制能力，法定传染病报告率达到98%以上，做好疫情调查处置。做好艾滋病防治工作，全面落实临床用血核酸检测和预防艾滋病母婴传播。加强肺结核患者发现力度，强化耐药肺结核患者的筛查和治疗，加强基层医疗卫生机构结核病患者全疗程健康管理服务，落实结核病救治保障政策。全面提升精神卫生服务能力，全方位、多渠道发现精神障碍患者，推行“病重治疗在医院、康复服务在社区”管理，推进严重精神障碍救治救助，提高精神障碍患者医疗保障水平，建立精神卫生综合监管机制，严重精神障碍管理率达到95%以上。加强社会心理服务体系建设，构建覆盖全社会的心理健康服务网络，促进心理健康服务规范化发展，开展心理危机干预和心理援助工作。做好地方病防控工作，持续消除碘缺乏危害、燃煤污染型氟危害，有效控制地方性氟危害，巩固消除疟疾成果。</w:t>
      </w:r>
    </w:p>
    <w:p>
      <w:pPr>
        <w:keepNext w:val="0"/>
        <w:keepLines w:val="0"/>
        <w:pageBreakBefore w:val="0"/>
        <w:kinsoku/>
        <w:wordWrap/>
        <w:topLinePunct w:val="0"/>
        <w:bidi w:val="0"/>
        <w:snapToGrid/>
        <w:spacing w:line="579" w:lineRule="exact"/>
        <w:ind w:firstLine="641"/>
        <w:jc w:val="left"/>
        <w:textAlignment w:val="auto"/>
        <w:outlineLvl w:val="9"/>
        <w:rPr>
          <w:color w:val="000000"/>
        </w:rPr>
      </w:pPr>
      <w:r>
        <w:rPr>
          <w:b/>
          <w:color w:val="000000"/>
        </w:rPr>
        <w:t>促进重点人群健康。</w:t>
      </w:r>
      <w:r>
        <w:rPr>
          <w:color w:val="000000"/>
        </w:rPr>
        <w:t>注重青少年和妇幼健康管理，加强中小学和托幼机构健康教育，完善学生健康体检制度，强化手足口病、麻疹等常见疾病和近视、肥胖的监测干预管理。完善计划生育服务管理，健全妇幼健康服务体系，提高优生优育优教服务水平，促进生育家庭发展能力建设。加强老年人和慢性病患者管理，推广以慢性病管理和老年营养运动干预为主的适宜技术，开展老年人心理健康和关怀服务。加强职业人群健康教育，推动用人单位落实职业病防治主体责任，提升医疗卫生机构职业病报告、职业健康检查和职业病诊断、鉴定、救治能力。巩固拓展健康扶贫与乡村振兴有效衔接，继续实施脱贫人口医疗保险、医疗救助、健康管理等政策，保障脱贫人口享有基本医疗卫生服务，防止因病致贫、因病返贫。</w:t>
      </w:r>
    </w:p>
    <w:p>
      <w:pPr>
        <w:keepNext w:val="0"/>
        <w:keepLines w:val="0"/>
        <w:pageBreakBefore w:val="0"/>
        <w:kinsoku/>
        <w:wordWrap/>
        <w:topLinePunct w:val="0"/>
        <w:bidi w:val="0"/>
        <w:snapToGrid/>
        <w:spacing w:line="579" w:lineRule="exact"/>
        <w:ind w:firstLine="643" w:firstLineChars="200"/>
        <w:textAlignment w:val="auto"/>
        <w:outlineLvl w:val="9"/>
        <w:rPr>
          <w:color w:val="000000"/>
        </w:rPr>
      </w:pPr>
      <w:r>
        <w:rPr>
          <w:b/>
          <w:color w:val="000000"/>
        </w:rPr>
        <w:t>深化爱国卫生运动。</w:t>
      </w:r>
      <w:r>
        <w:rPr>
          <w:color w:val="000000"/>
        </w:rPr>
        <w:t>加强公共卫生设施建设，补齐公共卫生环境短板，深入推进城乡环境综合整治、垃圾污水治理、厕所革命、饮用水安全、病媒生物防制，建立健全环境卫生管理长效机制，提升城乡环境质量。加强社会健康综合治理，大力开展健康科普，促进文明卫生习惯养成和社会心理健康，推广健康生活方式和倡导绿色环保理念，推动爱国卫生运动传统深入全民。巩固国家卫生区建设成果，全面推进卫生乡镇建设，广泛开展健康村镇、健康社区、健康单位（企业）、健康学校、健康家庭创建，夯实健康黔江建设的微观基础，力争建成国家健康城市。加强《重庆市爱国卫生条例》《重庆市公共场所控制吸烟条例》普法宣传，逐步实现室内公共场所、室内工作场所和公共交通工作全面禁烟，推进医院、学校、党政机关全面禁烟。</w:t>
      </w:r>
    </w:p>
    <w:p>
      <w:pPr>
        <w:keepNext w:val="0"/>
        <w:keepLines w:val="0"/>
        <w:pageBreakBefore w:val="0"/>
        <w:kinsoku/>
        <w:wordWrap/>
        <w:topLinePunct w:val="0"/>
        <w:bidi w:val="0"/>
        <w:snapToGrid/>
        <w:spacing w:line="579" w:lineRule="exact"/>
        <w:jc w:val="center"/>
        <w:textAlignment w:val="auto"/>
        <w:outlineLvl w:val="9"/>
        <w:rPr>
          <w:rFonts w:eastAsia="方正黑体_GBK"/>
          <w:color w:val="000000"/>
          <w:sz w:val="28"/>
          <w:szCs w:val="28"/>
        </w:rPr>
      </w:pPr>
      <w:r>
        <w:rPr>
          <w:rFonts w:eastAsia="方正黑体_GBK"/>
          <w:color w:val="000000"/>
          <w:szCs w:val="32"/>
        </w:rPr>
        <w:t>专栏1  健康促进项</w:t>
      </w:r>
      <w:r>
        <w:rPr>
          <w:rFonts w:eastAsia="方正黑体_GBK"/>
          <w:color w:val="000000"/>
          <w:sz w:val="28"/>
          <w:szCs w:val="28"/>
        </w:rPr>
        <w:t>目</w:t>
      </w:r>
    </w:p>
    <w:tbl>
      <w:tblPr>
        <w:tblStyle w:val="14"/>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060" w:type="dxa"/>
            <w:vAlign w:val="center"/>
          </w:tcPr>
          <w:p>
            <w:pPr>
              <w:keepNext w:val="0"/>
              <w:keepLines w:val="0"/>
              <w:pageBreakBefore w:val="0"/>
              <w:kinsoku/>
              <w:wordWrap/>
              <w:topLinePunct w:val="0"/>
              <w:bidi w:val="0"/>
              <w:snapToGrid/>
              <w:spacing w:line="579" w:lineRule="exact"/>
              <w:ind w:firstLine="560" w:firstLineChars="200"/>
              <w:textAlignment w:val="auto"/>
              <w:outlineLvl w:val="9"/>
              <w:rPr>
                <w:color w:val="000000"/>
                <w:sz w:val="28"/>
                <w:szCs w:val="28"/>
              </w:rPr>
            </w:pPr>
            <w:r>
              <w:rPr>
                <w:rFonts w:eastAsia="方正楷体_GBK"/>
                <w:color w:val="000000"/>
                <w:sz w:val="28"/>
                <w:szCs w:val="28"/>
              </w:rPr>
              <w:t>健康中国黔江行动重大专项行动。</w:t>
            </w:r>
            <w:r>
              <w:rPr>
                <w:color w:val="000000"/>
                <w:sz w:val="28"/>
                <w:szCs w:val="28"/>
              </w:rPr>
              <w:t>健康知识普及、合理膳食、全民健身、控烟、心理健康促进、健康环境促进、妇幼健康促进、中小学健康促进、职业健康保护、老年健康促进、心脑血管疾病防治、癌症防治、慢性呼吸系统疾病防治、糖尿病防治、传染病及地方病防控等15项行动。</w:t>
            </w:r>
          </w:p>
          <w:p>
            <w:pPr>
              <w:keepNext w:val="0"/>
              <w:keepLines w:val="0"/>
              <w:pageBreakBefore w:val="0"/>
              <w:kinsoku/>
              <w:wordWrap/>
              <w:topLinePunct w:val="0"/>
              <w:bidi w:val="0"/>
              <w:snapToGrid/>
              <w:spacing w:line="579" w:lineRule="exact"/>
              <w:ind w:firstLine="560" w:firstLineChars="200"/>
              <w:textAlignment w:val="auto"/>
              <w:outlineLvl w:val="9"/>
              <w:rPr>
                <w:color w:val="000000"/>
                <w:sz w:val="28"/>
                <w:szCs w:val="28"/>
              </w:rPr>
            </w:pPr>
            <w:r>
              <w:rPr>
                <w:rFonts w:eastAsia="方正楷体_GBK"/>
                <w:color w:val="000000"/>
                <w:sz w:val="28"/>
                <w:szCs w:val="28"/>
              </w:rPr>
              <w:t>全民健康生活方式。</w:t>
            </w:r>
            <w:r>
              <w:rPr>
                <w:color w:val="000000"/>
                <w:sz w:val="28"/>
                <w:szCs w:val="28"/>
              </w:rPr>
              <w:t>减少烟草危害行动，推广减盐、减油、减糖、健康体重、健康口腔、健康骨骼等专项行动。</w:t>
            </w:r>
          </w:p>
          <w:p>
            <w:pPr>
              <w:keepNext w:val="0"/>
              <w:keepLines w:val="0"/>
              <w:pageBreakBefore w:val="0"/>
              <w:kinsoku/>
              <w:wordWrap/>
              <w:topLinePunct w:val="0"/>
              <w:bidi w:val="0"/>
              <w:snapToGrid/>
              <w:spacing w:line="579" w:lineRule="exact"/>
              <w:ind w:firstLine="560" w:firstLineChars="200"/>
              <w:textAlignment w:val="auto"/>
              <w:outlineLvl w:val="9"/>
              <w:rPr>
                <w:color w:val="000000"/>
                <w:sz w:val="28"/>
                <w:szCs w:val="28"/>
              </w:rPr>
            </w:pPr>
            <w:r>
              <w:rPr>
                <w:rFonts w:eastAsia="方正楷体_GBK"/>
                <w:color w:val="000000"/>
                <w:sz w:val="28"/>
                <w:szCs w:val="28"/>
              </w:rPr>
              <w:t>健康城市建设。</w:t>
            </w:r>
            <w:r>
              <w:rPr>
                <w:color w:val="000000"/>
                <w:sz w:val="28"/>
                <w:szCs w:val="28"/>
              </w:rPr>
              <w:t>国家卫生区顺利通过复审，力争建成国家健康城市。</w:t>
            </w:r>
          </w:p>
          <w:p>
            <w:pPr>
              <w:keepNext w:val="0"/>
              <w:keepLines w:val="0"/>
              <w:pageBreakBefore w:val="0"/>
              <w:kinsoku/>
              <w:wordWrap/>
              <w:topLinePunct w:val="0"/>
              <w:bidi w:val="0"/>
              <w:snapToGrid/>
              <w:spacing w:line="579" w:lineRule="exact"/>
              <w:ind w:firstLine="560" w:firstLineChars="200"/>
              <w:textAlignment w:val="auto"/>
              <w:outlineLvl w:val="9"/>
              <w:rPr>
                <w:color w:val="000000"/>
                <w:sz w:val="28"/>
                <w:szCs w:val="28"/>
              </w:rPr>
            </w:pPr>
            <w:r>
              <w:rPr>
                <w:rFonts w:eastAsia="方正楷体_GBK"/>
                <w:color w:val="000000"/>
                <w:sz w:val="28"/>
                <w:szCs w:val="28"/>
              </w:rPr>
              <w:t>健康乡镇建设。</w:t>
            </w:r>
            <w:r>
              <w:rPr>
                <w:color w:val="000000"/>
                <w:sz w:val="28"/>
                <w:szCs w:val="28"/>
              </w:rPr>
              <w:t>重庆卫生乡镇全面覆盖，国家卫生乡镇覆盖率达30%以上。</w:t>
            </w:r>
          </w:p>
          <w:p>
            <w:pPr>
              <w:keepNext w:val="0"/>
              <w:keepLines w:val="0"/>
              <w:pageBreakBefore w:val="0"/>
              <w:kinsoku/>
              <w:wordWrap/>
              <w:topLinePunct w:val="0"/>
              <w:bidi w:val="0"/>
              <w:snapToGrid/>
              <w:spacing w:line="579" w:lineRule="exact"/>
              <w:ind w:firstLine="560" w:firstLineChars="200"/>
              <w:textAlignment w:val="auto"/>
              <w:outlineLvl w:val="9"/>
              <w:rPr>
                <w:color w:val="000000"/>
                <w:szCs w:val="32"/>
              </w:rPr>
            </w:pPr>
            <w:r>
              <w:rPr>
                <w:rFonts w:eastAsia="方正楷体_GBK"/>
                <w:color w:val="000000"/>
                <w:sz w:val="28"/>
                <w:szCs w:val="28"/>
              </w:rPr>
              <w:t>健康细胞建设。</w:t>
            </w:r>
            <w:r>
              <w:rPr>
                <w:color w:val="000000"/>
                <w:sz w:val="28"/>
                <w:szCs w:val="28"/>
              </w:rPr>
              <w:t>广泛开展健康村镇、健康社区、健康单位（企业）、健康学校、健康家庭创建。</w:t>
            </w:r>
          </w:p>
        </w:tc>
      </w:tr>
    </w:tbl>
    <w:p>
      <w:pPr>
        <w:keepNext w:val="0"/>
        <w:keepLines w:val="0"/>
        <w:pageBreakBefore w:val="0"/>
        <w:kinsoku/>
        <w:wordWrap/>
        <w:topLinePunct w:val="0"/>
        <w:bidi w:val="0"/>
        <w:snapToGrid/>
        <w:spacing w:line="579" w:lineRule="exact"/>
        <w:ind w:firstLine="640"/>
        <w:jc w:val="left"/>
        <w:textAlignment w:val="auto"/>
        <w:outlineLvl w:val="9"/>
        <w:rPr>
          <w:color w:val="000000"/>
        </w:rPr>
      </w:pPr>
      <w:r>
        <w:rPr>
          <w:rFonts w:eastAsia="方正楷体_GBK"/>
          <w:bCs/>
          <w:color w:val="000000"/>
          <w:szCs w:val="32"/>
        </w:rPr>
        <w:t>（二）实施公共卫生促进行动</w:t>
      </w:r>
    </w:p>
    <w:p>
      <w:pPr>
        <w:keepNext w:val="0"/>
        <w:keepLines w:val="0"/>
        <w:pageBreakBefore w:val="0"/>
        <w:kinsoku/>
        <w:wordWrap/>
        <w:topLinePunct w:val="0"/>
        <w:bidi w:val="0"/>
        <w:snapToGrid/>
        <w:spacing w:line="579" w:lineRule="exact"/>
        <w:ind w:firstLine="641"/>
        <w:textAlignment w:val="auto"/>
        <w:outlineLvl w:val="9"/>
        <w:rPr>
          <w:color w:val="000000"/>
        </w:rPr>
      </w:pPr>
      <w:r>
        <w:rPr>
          <w:b/>
          <w:color w:val="000000"/>
        </w:rPr>
        <w:t>落实公共卫生服务任务。</w:t>
      </w:r>
      <w:r>
        <w:rPr>
          <w:color w:val="000000"/>
        </w:rPr>
        <w:t>依据国家基本公共卫生服务项目，综合考虑我区经济社会发展状况、主要公共卫生问题、干预措施的效果和财政承受能力等因素，重点落实建立居民健康档案等12项基本公共卫生服务项目。根据国家确定的重大公共卫生服务项目，针对影响居民健康的主要传染病、慢性病、地方病、职业病等重大疾病和严重威胁妇女、儿童等重点人群的健康问题以及突发公共卫生事件预防和处置需要，重点落实地方病防治等19项其他公共卫生服务任务。基本公共卫生服务项目主要通过社区卫生服务中心（站）和乡镇卫生院、村卫生室等基层医疗卫生机构免费为全体居民提供，重大公共卫生服务项目主要通过专业公共卫生机构和医疗机构实施。</w:t>
      </w:r>
    </w:p>
    <w:p>
      <w:pPr>
        <w:keepNext w:val="0"/>
        <w:keepLines w:val="0"/>
        <w:pageBreakBefore w:val="0"/>
        <w:widowControl w:val="0"/>
        <w:kinsoku/>
        <w:wordWrap/>
        <w:overflowPunct/>
        <w:topLinePunct w:val="0"/>
        <w:autoSpaceDE/>
        <w:autoSpaceDN/>
        <w:bidi w:val="0"/>
        <w:adjustRightInd/>
        <w:snapToGrid/>
        <w:spacing w:line="552" w:lineRule="exact"/>
        <w:ind w:firstLine="641"/>
        <w:textAlignment w:val="auto"/>
        <w:outlineLvl w:val="9"/>
        <w:rPr>
          <w:color w:val="000000"/>
        </w:rPr>
      </w:pPr>
      <w:r>
        <w:rPr>
          <w:b/>
          <w:color w:val="000000"/>
        </w:rPr>
        <w:t>提高公共卫生工作质量。</w:t>
      </w:r>
      <w:r>
        <w:rPr>
          <w:color w:val="000000"/>
        </w:rPr>
        <w:t>增强质量核心意识，加强公共卫生服务项目管理，坚决杜绝数据造假和服务跟不上问题，促进公共卫生工作质量持续提升。严格贯彻落实公共卫生服务项目工作规范。加强业务指导，充分发挥疾病预防控制、妇幼保健等专业公共卫生机构和医疗服务共同体牵头医院的技术优势，有针对性加强基层医疗卫生机构技术培训和业务指导。完善考核评价体系和方法，重点考核履行职责、提供公共卫生服务的数量和质量、社会满意度等情况，突出对质量核心指标的考核，保证公共卫生任务落实和群众受益，考核结果作为服务经费分配的主要依据。</w:t>
      </w:r>
    </w:p>
    <w:p>
      <w:pPr>
        <w:keepNext w:val="0"/>
        <w:keepLines w:val="0"/>
        <w:pageBreakBefore w:val="0"/>
        <w:kinsoku/>
        <w:wordWrap/>
        <w:topLinePunct w:val="0"/>
        <w:bidi w:val="0"/>
        <w:snapToGrid/>
        <w:spacing w:line="579" w:lineRule="exact"/>
        <w:ind w:firstLine="641"/>
        <w:textAlignment w:val="auto"/>
        <w:outlineLvl w:val="9"/>
        <w:rPr>
          <w:color w:val="000000"/>
        </w:rPr>
      </w:pPr>
      <w:r>
        <w:rPr>
          <w:b/>
          <w:color w:val="000000"/>
        </w:rPr>
        <w:t>提高公共卫生工作效率。</w:t>
      </w:r>
      <w:r>
        <w:rPr>
          <w:color w:val="000000"/>
        </w:rPr>
        <w:t>健全管理制度，加强公共卫生服务项目管理，提高项目实施的科学性和有效性。补齐公共卫生基层服务短板，优化公共卫生资源配置，完善专业公共卫生服务网络，强化基层医疗卫生机构公共卫生职能。创新工作机制，针对公共卫生工作任务重、工作量大的特点，积极探索减轻基层人员落实公共卫生任务工作量的工作机制。丰富公共卫生服务提供主体，突出政府在基本公共卫生服务供给保障中的主体地位，推动非基本公共卫生服务提供主体多元化、提供方式多样化。加强信息技术应用，改造公共卫生信息系统，推动基层医疗卫生机构、上级医疗卫生机构和疾控等专业公共卫生机构间的信息系统互联互通，推动以家庭医生签约服务APP等应用整合基本公共卫生、预约挂号、门诊和住院信息查询、检查检验结果查询、健康状况评估、用药信息查询和指导等服务，完善信息归集和共享，提高电子健康档案利用率。</w:t>
      </w:r>
    </w:p>
    <w:p>
      <w:pPr>
        <w:keepNext w:val="0"/>
        <w:keepLines w:val="0"/>
        <w:pageBreakBefore w:val="0"/>
        <w:kinsoku/>
        <w:wordWrap/>
        <w:topLinePunct w:val="0"/>
        <w:bidi w:val="0"/>
        <w:snapToGrid/>
        <w:spacing w:line="579" w:lineRule="exact"/>
        <w:ind w:firstLine="641"/>
        <w:jc w:val="left"/>
        <w:textAlignment w:val="auto"/>
        <w:outlineLvl w:val="9"/>
        <w:rPr>
          <w:color w:val="000000"/>
        </w:rPr>
      </w:pPr>
      <w:r>
        <w:rPr>
          <w:b/>
          <w:color w:val="000000"/>
        </w:rPr>
        <w:t>加强妇幼健康服务。</w:t>
      </w:r>
      <w:r>
        <w:rPr>
          <w:color w:val="000000"/>
        </w:rPr>
        <w:t>完善妇幼健康服务全周期链条，实施母婴安全行动提升计划、健康儿童行动提升计划和母乳喂养促进行动计划。加强综合性医院儿科、产科和妇幼保健服务机构建设，开展婚前孕前健康检查，加强高危孕产妇和新生儿健康管理，持续提升孕产妇、新生儿危急重症救治能力，有效降低孕产妇死亡率和婴儿死亡率。加强基层妇幼保健服务能力建设，支持农村片区医疗卫生服务圈的中心卫生院发展妇产科。加强产科和儿科医师、助产士及护士人才培养。提高妇女常见病筛查率和早诊早治率，扩大农村妇女宫颈癌、乳腺癌项目筛查覆盖范围。推进妇女更年期和老年期保健服务，加强出生缺陷综合防治和规范开展三级预防。强化儿童保健和重点疾病防控，推进眼保健和心理健康服务，加强学生营养健康膳食评估指导和学校卫生综合评价能力。</w:t>
      </w:r>
    </w:p>
    <w:p>
      <w:pPr>
        <w:keepNext w:val="0"/>
        <w:keepLines w:val="0"/>
        <w:pageBreakBefore w:val="0"/>
        <w:widowControl/>
        <w:kinsoku/>
        <w:wordWrap/>
        <w:topLinePunct w:val="0"/>
        <w:bidi w:val="0"/>
        <w:snapToGrid/>
        <w:spacing w:line="579" w:lineRule="exact"/>
        <w:ind w:firstLine="643" w:firstLineChars="200"/>
        <w:jc w:val="left"/>
        <w:textAlignment w:val="auto"/>
        <w:outlineLvl w:val="9"/>
        <w:rPr>
          <w:color w:val="000000"/>
        </w:rPr>
      </w:pPr>
      <w:r>
        <w:rPr>
          <w:b/>
          <w:color w:val="000000"/>
        </w:rPr>
        <w:t>优化生育政策促进家庭发展。</w:t>
      </w:r>
      <w:r>
        <w:rPr>
          <w:color w:val="000000"/>
        </w:rPr>
        <w:t>统筹推进生育政策、服务管理制度、家庭发展支持体系和治理机制综合改革。积极应对人口老龄化，促进人口长期均衡发展，以“一老一小”为重点，建立健全覆盖全生命周期的人口服务体系。依法组织实施三孩生育政策，促进生育政策和相关经济社会政策配套衔接，提高优生优育服务水平，发展普惠托育服务体系。完善生育休假与生育保险制度。对全面两孩政策调整前的独生子女家庭和农村计划生育双女家庭，继续实行奖励扶助制度和优惠政策。建立健全计划生育特殊家庭全方位帮扶保障制度，完善政府主导、社会组织参与的扶助关怀工作机制，维护计划生育家庭合法权益。稳定计划生育基层基础，发挥计划生育协会作用。推进托育服务专业化、规范化发展，完善托育机构设置标准和托育机构管理规范，建立健全托育服务机构备案登记制度、信息公示制度和质量评估制度，加强托育从业人员学历教育和相关职业标准，建立综合监管机制，加强社会监督和行业自律，提高保育保教质量和水平。到2025年，多元化、多样化、覆盖城乡的婴幼儿照护服务体系基本形成，婴幼儿照护服务水平明显提升。</w:t>
      </w:r>
    </w:p>
    <w:p>
      <w:pPr>
        <w:keepNext w:val="0"/>
        <w:keepLines w:val="0"/>
        <w:pageBreakBefore w:val="0"/>
        <w:kinsoku/>
        <w:wordWrap/>
        <w:topLinePunct w:val="0"/>
        <w:bidi w:val="0"/>
        <w:snapToGrid/>
        <w:spacing w:line="579" w:lineRule="exact"/>
        <w:ind w:firstLine="643" w:firstLineChars="200"/>
        <w:textAlignment w:val="auto"/>
        <w:outlineLvl w:val="9"/>
        <w:rPr>
          <w:color w:val="000000"/>
        </w:rPr>
      </w:pPr>
      <w:r>
        <w:rPr>
          <w:b/>
          <w:color w:val="000000"/>
        </w:rPr>
        <w:t>加强老年健康服务。</w:t>
      </w:r>
      <w:r>
        <w:rPr>
          <w:color w:val="000000"/>
        </w:rPr>
        <w:t>贯彻落实积极应对人口老龄化国家战略，加快建设居家社区机构相协调、医养康养相结合的养老服务体系和健康支撑体系。加强慢性病综合防控，做实基本公共卫生服务老年人健康管理项目。推动二级以上综合医院、中医医院开设老年医学科、康复科或治未病科，支持引导一批基层医疗卫生机构转型为老年医院、康复医院、护理院等接续性医疗机构，设置老年医疗护理床位，为社区居家老年人开展家庭病床、巡诊等延伸医疗服务。探索建立长期护理保险制度，促进老龄产业发展。</w:t>
      </w:r>
    </w:p>
    <w:p>
      <w:pPr>
        <w:pStyle w:val="18"/>
        <w:keepNext w:val="0"/>
        <w:keepLines w:val="0"/>
        <w:pageBreakBefore w:val="0"/>
        <w:kinsoku/>
        <w:wordWrap/>
        <w:topLinePunct w:val="0"/>
        <w:bidi w:val="0"/>
        <w:snapToGrid/>
        <w:spacing w:line="579" w:lineRule="exact"/>
        <w:jc w:val="center"/>
        <w:textAlignment w:val="auto"/>
        <w:outlineLvl w:val="9"/>
        <w:rPr>
          <w:rFonts w:ascii="Times New Roman" w:cs="Times New Roman"/>
          <w:sz w:val="32"/>
          <w:szCs w:val="32"/>
        </w:rPr>
      </w:pPr>
      <w:r>
        <w:rPr>
          <w:rFonts w:ascii="Times New Roman" w:eastAsia="方正黑体_GBK" w:cs="Times New Roman"/>
          <w:sz w:val="32"/>
          <w:szCs w:val="32"/>
        </w:rPr>
        <w:t>专栏2  公共卫生服务项目</w:t>
      </w:r>
    </w:p>
    <w:tbl>
      <w:tblPr>
        <w:tblStyle w:val="14"/>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9060" w:type="dxa"/>
            <w:vAlign w:val="center"/>
          </w:tcPr>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color w:val="000000"/>
                <w:sz w:val="28"/>
                <w:szCs w:val="28"/>
              </w:rPr>
            </w:pPr>
            <w:r>
              <w:rPr>
                <w:rFonts w:eastAsia="方正楷体_GBK"/>
                <w:color w:val="000000"/>
                <w:sz w:val="28"/>
                <w:szCs w:val="28"/>
              </w:rPr>
              <w:t>公共卫生服务项目。</w:t>
            </w:r>
            <w:r>
              <w:rPr>
                <w:color w:val="000000"/>
                <w:sz w:val="28"/>
                <w:szCs w:val="28"/>
              </w:rPr>
              <w:t>现阶段重点为建立居民健康档案、健康教育、预防接种、0—6岁儿童健康管理、孕产妇健康管理、老年人健康管理、高血压和</w:t>
            </w:r>
            <w:r>
              <w:rPr>
                <w:color w:val="000000"/>
                <w:sz w:val="28"/>
                <w:szCs w:val="28"/>
              </w:rPr>
              <w:fldChar w:fldCharType="begin"/>
            </w:r>
            <w:r>
              <w:rPr>
                <w:color w:val="000000"/>
                <w:sz w:val="28"/>
                <w:szCs w:val="28"/>
              </w:rPr>
              <w:instrText xml:space="preserve"> = 2 \* ROMAN </w:instrText>
            </w:r>
            <w:r>
              <w:rPr>
                <w:color w:val="000000"/>
                <w:sz w:val="28"/>
                <w:szCs w:val="28"/>
              </w:rPr>
              <w:fldChar w:fldCharType="separate"/>
            </w:r>
            <w:r>
              <w:rPr>
                <w:color w:val="000000"/>
                <w:sz w:val="28"/>
                <w:szCs w:val="28"/>
              </w:rPr>
              <w:t>II</w:t>
            </w:r>
            <w:r>
              <w:rPr>
                <w:color w:val="000000"/>
                <w:sz w:val="28"/>
                <w:szCs w:val="28"/>
              </w:rPr>
              <w:fldChar w:fldCharType="end"/>
            </w:r>
            <w:r>
              <w:rPr>
                <w:color w:val="000000"/>
                <w:sz w:val="28"/>
                <w:szCs w:val="28"/>
              </w:rPr>
              <w:t>型糖尿病等慢性病患者健康管理、严重精神障碍患者管理、肺结核患者健康管理、中医药健康管理、传染病和突发公共卫生事件报告和处理、卫生监督协管等12 项基本公共卫生服务。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color w:val="000000"/>
                <w:sz w:val="28"/>
                <w:szCs w:val="28"/>
              </w:rPr>
            </w:pPr>
            <w:r>
              <w:rPr>
                <w:rFonts w:eastAsia="方正楷体_GBK"/>
                <w:color w:val="000000"/>
                <w:sz w:val="28"/>
                <w:szCs w:val="28"/>
              </w:rPr>
              <w:t>其他公共卫生服务项目。</w:t>
            </w:r>
            <w:r>
              <w:rPr>
                <w:color w:val="000000"/>
                <w:sz w:val="28"/>
                <w:szCs w:val="28"/>
              </w:rPr>
              <w:t>现阶段重点为地方病防治、职业病防治、重大疾病及健康危害因素监测、人禽流感、SARS防控项目管理、国家卫生应急队伍运维保障管理、农村妇女“两癌”检查管理、贫困地区儿童营养改善项目管理、贫困地区新生儿疾病筛查项目管理、增补叶酸预防神经管缺陷项目管理、地中海贫血防控项目管理、基本避孕服务项目管理、国家免费孕前优生健康检查项目管理、食品安全标准跟踪评价项目、国家随机监督抽查项目管理、健康素养促进项目管理、老年健康与医养结合服务管理、人口监测项目、卫生健康项目监督管理等19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color w:val="000000"/>
                <w:sz w:val="28"/>
                <w:szCs w:val="28"/>
              </w:rPr>
            </w:pPr>
            <w:r>
              <w:rPr>
                <w:rFonts w:eastAsia="方正楷体_GBK"/>
                <w:color w:val="000000"/>
                <w:sz w:val="28"/>
                <w:szCs w:val="28"/>
              </w:rPr>
              <w:t>计划生育服务管理。</w:t>
            </w:r>
            <w:r>
              <w:rPr>
                <w:color w:val="000000"/>
                <w:sz w:val="28"/>
                <w:szCs w:val="28"/>
              </w:rPr>
              <w:t>深化计划生育管理服务改革，推动生育政策从管理向服务转变，加强计划生育技术服务和生育全程基本医疗保健服务，综合治理出生人口性别比，提高出生人口素质，促进人口结构改革。</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eastAsia="方正楷体_GBK"/>
                <w:color w:val="000000"/>
                <w:sz w:val="28"/>
                <w:szCs w:val="28"/>
              </w:rPr>
            </w:pPr>
            <w:r>
              <w:rPr>
                <w:rFonts w:eastAsia="方正楷体_GBK"/>
                <w:color w:val="000000"/>
                <w:sz w:val="28"/>
                <w:szCs w:val="28"/>
              </w:rPr>
              <w:t>老年健康服务。</w:t>
            </w:r>
            <w:r>
              <w:rPr>
                <w:color w:val="000000"/>
                <w:sz w:val="28"/>
                <w:szCs w:val="28"/>
              </w:rPr>
              <w:t>二级及以上综合医院设立老年医学科的比例不低于60%，三级中医医院设置康复科。</w:t>
            </w:r>
          </w:p>
        </w:tc>
      </w:tr>
    </w:tbl>
    <w:p>
      <w:pPr>
        <w:keepNext w:val="0"/>
        <w:keepLines w:val="0"/>
        <w:pageBreakBefore w:val="0"/>
        <w:kinsoku/>
        <w:wordWrap/>
        <w:topLinePunct w:val="0"/>
        <w:bidi w:val="0"/>
        <w:snapToGrid/>
        <w:spacing w:line="579" w:lineRule="exact"/>
        <w:ind w:firstLine="640"/>
        <w:jc w:val="left"/>
        <w:textAlignment w:val="auto"/>
        <w:outlineLvl w:val="9"/>
        <w:rPr>
          <w:color w:val="000000"/>
        </w:rPr>
      </w:pPr>
      <w:r>
        <w:rPr>
          <w:rFonts w:eastAsia="方正楷体_GBK"/>
          <w:bCs/>
          <w:color w:val="000000"/>
          <w:szCs w:val="32"/>
        </w:rPr>
        <w:t>（三）实施医疗质量和服务能力提升行动</w:t>
      </w:r>
    </w:p>
    <w:p>
      <w:pPr>
        <w:keepNext w:val="0"/>
        <w:keepLines w:val="0"/>
        <w:pageBreakBefore w:val="0"/>
        <w:kinsoku/>
        <w:wordWrap/>
        <w:topLinePunct w:val="0"/>
        <w:bidi w:val="0"/>
        <w:snapToGrid/>
        <w:spacing w:line="579" w:lineRule="exact"/>
        <w:ind w:firstLine="640"/>
        <w:textAlignment w:val="auto"/>
        <w:outlineLvl w:val="9"/>
        <w:rPr>
          <w:color w:val="000000"/>
        </w:rPr>
      </w:pPr>
      <w:r>
        <w:rPr>
          <w:b/>
          <w:color w:val="000000"/>
        </w:rPr>
        <w:t>持续改进医疗质量。</w:t>
      </w:r>
      <w:r>
        <w:rPr>
          <w:color w:val="000000"/>
        </w:rPr>
        <w:t>完善医疗质量管理与控制组织体系，依托中心医院、区中医院、民族医院健全医疗质控体系，推动质控工作全覆盖各级各类医疗机构。建立医疗质量管理的长效机制，落实医疗质量安全核心制度，持续开展医疗卫生服务质量评价，提高不同层级、不同类别医院医疗服务同质化水平。深化临床路径管理，持续开展医院医疗服务质量与绩效评价。加强医院感染预防与控制、临床检验项目、实验室安全管理和临床合理用药管理，全面规范临床用血，严格医疗废物规范化管理。强化医疗安全和风险防范。持续推进“优质服务基层行”活动。</w:t>
      </w:r>
    </w:p>
    <w:p>
      <w:pPr>
        <w:keepNext w:val="0"/>
        <w:keepLines w:val="0"/>
        <w:pageBreakBefore w:val="0"/>
        <w:widowControl w:val="0"/>
        <w:kinsoku/>
        <w:wordWrap/>
        <w:overflowPunct/>
        <w:topLinePunct w:val="0"/>
        <w:autoSpaceDE/>
        <w:autoSpaceDN/>
        <w:bidi w:val="0"/>
        <w:adjustRightInd/>
        <w:snapToGrid/>
        <w:spacing w:line="552" w:lineRule="exact"/>
        <w:ind w:firstLine="641"/>
        <w:textAlignment w:val="auto"/>
        <w:outlineLvl w:val="9"/>
        <w:rPr>
          <w:color w:val="000000"/>
          <w:kern w:val="0"/>
          <w:szCs w:val="32"/>
        </w:rPr>
      </w:pPr>
      <w:r>
        <w:rPr>
          <w:b/>
          <w:color w:val="000000"/>
        </w:rPr>
        <w:t>加强医院学科建设。</w:t>
      </w:r>
      <w:r>
        <w:rPr>
          <w:color w:val="000000"/>
        </w:rPr>
        <w:t>大力推动医院学科体系建设，按照三级医院标准分别完善中心医院、民族医院和区中医院学科体系，按照分类管理要求健全基层医疗卫生机构诊疗服务科目。</w:t>
      </w:r>
      <w:r>
        <w:rPr>
          <w:color w:val="000000"/>
          <w:kern w:val="0"/>
          <w:szCs w:val="32"/>
        </w:rPr>
        <w:t>以满足重大疾病临床需求为导向，加强临床专科建设，重点发展重症、肿瘤、心脑血管、呼吸、消化、感染、儿科、麻醉、影像、病理、检验等临床专科，以专科发展带动诊疗能力和水平提升，使大多数疑难疾病能够确诊，重大疾病和急危重症及时有效治疗，服务辐射周边区县，带动基层医疗卫生机构医疗技术水平提升。大力推广卫生适宜技术应用。</w:t>
      </w:r>
    </w:p>
    <w:p>
      <w:pPr>
        <w:keepNext w:val="0"/>
        <w:keepLines w:val="0"/>
        <w:pageBreakBefore w:val="0"/>
        <w:kinsoku/>
        <w:wordWrap/>
        <w:topLinePunct w:val="0"/>
        <w:bidi w:val="0"/>
        <w:snapToGrid/>
        <w:spacing w:line="579" w:lineRule="exact"/>
        <w:ind w:firstLine="640"/>
        <w:textAlignment w:val="auto"/>
        <w:outlineLvl w:val="9"/>
        <w:rPr>
          <w:color w:val="000000"/>
          <w:kern w:val="0"/>
          <w:szCs w:val="32"/>
        </w:rPr>
      </w:pPr>
      <w:r>
        <w:rPr>
          <w:b/>
          <w:color w:val="000000"/>
          <w:kern w:val="0"/>
          <w:szCs w:val="32"/>
        </w:rPr>
        <w:t>深入推进优质护理服务。</w:t>
      </w:r>
      <w:r>
        <w:rPr>
          <w:color w:val="000000"/>
          <w:kern w:val="0"/>
          <w:szCs w:val="32"/>
        </w:rPr>
        <w:t>加强护理队伍建设，改善护理人员断层断档现状，增加护理队伍总量、体现护士职业价值、提升临床护理质量、强化护理科学管理、拓展护理服务领域。深化“以病人为中心”的服务理念，扩大优质护理服务覆盖面，逐步实现二级以上医疗机构优质护理服务全院覆盖，依托医共体建设推动优质护理服务下沉，提高开展优质护理基层医疗机构比例。加强老年、儿科、重症、传染病等紧缺护理专业护士的培养培训。鼓励有条件的医疗机构为合作养老机构内设的医疗机构提供护理服务指导，提高医养结合护理服务水平。</w:t>
      </w:r>
    </w:p>
    <w:p>
      <w:pPr>
        <w:keepNext w:val="0"/>
        <w:keepLines w:val="0"/>
        <w:pageBreakBefore w:val="0"/>
        <w:kinsoku/>
        <w:wordWrap/>
        <w:topLinePunct w:val="0"/>
        <w:bidi w:val="0"/>
        <w:snapToGrid/>
        <w:spacing w:line="579" w:lineRule="exact"/>
        <w:jc w:val="center"/>
        <w:textAlignment w:val="auto"/>
        <w:outlineLvl w:val="9"/>
        <w:rPr>
          <w:rFonts w:eastAsia="方正黑体_GBK"/>
          <w:color w:val="000000"/>
          <w:szCs w:val="32"/>
        </w:rPr>
      </w:pPr>
      <w:r>
        <w:rPr>
          <w:rFonts w:eastAsia="方正黑体_GBK"/>
          <w:color w:val="000000"/>
          <w:szCs w:val="32"/>
        </w:rPr>
        <w:t>专栏3  医疗服务提升项目</w:t>
      </w:r>
    </w:p>
    <w:tbl>
      <w:tblPr>
        <w:tblStyle w:val="14"/>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60" w:type="dxa"/>
            <w:vAlign w:val="center"/>
          </w:tcPr>
          <w:p>
            <w:pPr>
              <w:keepNext w:val="0"/>
              <w:keepLines w:val="0"/>
              <w:pageBreakBefore w:val="0"/>
              <w:kinsoku/>
              <w:wordWrap/>
              <w:topLinePunct w:val="0"/>
              <w:bidi w:val="0"/>
              <w:snapToGrid/>
              <w:spacing w:line="579" w:lineRule="exact"/>
              <w:ind w:firstLine="560" w:firstLineChars="200"/>
              <w:textAlignment w:val="auto"/>
              <w:outlineLvl w:val="9"/>
              <w:rPr>
                <w:color w:val="000000"/>
                <w:sz w:val="28"/>
                <w:szCs w:val="28"/>
              </w:rPr>
            </w:pPr>
            <w:r>
              <w:rPr>
                <w:rFonts w:eastAsia="方正楷体_GBK"/>
                <w:color w:val="000000"/>
                <w:sz w:val="28"/>
                <w:szCs w:val="28"/>
              </w:rPr>
              <w:t>医疗服务质量改进。</w:t>
            </w:r>
            <w:r>
              <w:rPr>
                <w:color w:val="000000"/>
                <w:sz w:val="28"/>
                <w:szCs w:val="28"/>
              </w:rPr>
              <w:t>加强医疗质量管理与控制体系建设，医院感染管理监测和质量持续改进，血液安全。持续开展医疗卫生服务质量内部和外部评价。</w:t>
            </w:r>
          </w:p>
          <w:p>
            <w:pPr>
              <w:keepNext w:val="0"/>
              <w:keepLines w:val="0"/>
              <w:pageBreakBefore w:val="0"/>
              <w:kinsoku/>
              <w:wordWrap/>
              <w:topLinePunct w:val="0"/>
              <w:bidi w:val="0"/>
              <w:snapToGrid/>
              <w:spacing w:line="579" w:lineRule="exact"/>
              <w:ind w:firstLine="560" w:firstLineChars="200"/>
              <w:textAlignment w:val="auto"/>
              <w:outlineLvl w:val="9"/>
              <w:rPr>
                <w:color w:val="000000"/>
                <w:sz w:val="28"/>
                <w:szCs w:val="28"/>
              </w:rPr>
            </w:pPr>
            <w:r>
              <w:rPr>
                <w:rFonts w:eastAsia="方正楷体_GBK"/>
                <w:color w:val="000000"/>
                <w:sz w:val="28"/>
                <w:szCs w:val="28"/>
              </w:rPr>
              <w:t>临床专科建设。</w:t>
            </w:r>
            <w:r>
              <w:rPr>
                <w:color w:val="000000"/>
                <w:sz w:val="28"/>
                <w:szCs w:val="28"/>
              </w:rPr>
              <w:t>中心医院建成骨科、临床药学专科、感染性疾病科、眼科、输血科等5个市级重点专科，民族医院建成骨科、妇产科、肿瘤科等3个市级重点专科，区中医院建成肾病科、肝病科、心病科等3个市级中医特色优势重点专科。</w:t>
            </w:r>
          </w:p>
          <w:p>
            <w:pPr>
              <w:keepNext w:val="0"/>
              <w:keepLines w:val="0"/>
              <w:pageBreakBefore w:val="0"/>
              <w:kinsoku/>
              <w:wordWrap/>
              <w:topLinePunct w:val="0"/>
              <w:bidi w:val="0"/>
              <w:snapToGrid/>
              <w:spacing w:line="579" w:lineRule="exact"/>
              <w:ind w:firstLine="560" w:firstLineChars="200"/>
              <w:textAlignment w:val="auto"/>
              <w:outlineLvl w:val="9"/>
              <w:rPr>
                <w:color w:val="000000"/>
                <w:sz w:val="28"/>
                <w:szCs w:val="28"/>
              </w:rPr>
            </w:pPr>
            <w:r>
              <w:rPr>
                <w:rFonts w:eastAsia="方正楷体_GBK"/>
                <w:color w:val="000000"/>
                <w:sz w:val="28"/>
                <w:szCs w:val="28"/>
              </w:rPr>
              <w:t>医学科研建设。</w:t>
            </w:r>
            <w:r>
              <w:rPr>
                <w:color w:val="000000"/>
                <w:sz w:val="28"/>
                <w:szCs w:val="28"/>
              </w:rPr>
              <w:t>建设1—2个区级以上重点实验室，2—3个博士后科研工作站，开展国家自然科学基金项目5项，省部级科研项目30项。</w:t>
            </w:r>
          </w:p>
          <w:p>
            <w:pPr>
              <w:keepNext w:val="0"/>
              <w:keepLines w:val="0"/>
              <w:pageBreakBefore w:val="0"/>
              <w:kinsoku/>
              <w:wordWrap/>
              <w:topLinePunct w:val="0"/>
              <w:bidi w:val="0"/>
              <w:snapToGrid/>
              <w:spacing w:line="579" w:lineRule="exact"/>
              <w:ind w:firstLine="560" w:firstLineChars="200"/>
              <w:textAlignment w:val="auto"/>
              <w:outlineLvl w:val="9"/>
              <w:rPr>
                <w:rFonts w:eastAsia="方正楷体_GBK"/>
                <w:color w:val="000000"/>
                <w:sz w:val="28"/>
                <w:szCs w:val="28"/>
              </w:rPr>
            </w:pPr>
            <w:r>
              <w:rPr>
                <w:rFonts w:eastAsia="方正楷体_GBK"/>
                <w:color w:val="000000"/>
                <w:sz w:val="28"/>
                <w:szCs w:val="28"/>
              </w:rPr>
              <w:t>规范化培训基地建设。</w:t>
            </w:r>
            <w:r>
              <w:rPr>
                <w:color w:val="000000"/>
                <w:sz w:val="28"/>
                <w:szCs w:val="28"/>
              </w:rPr>
              <w:t>新建国家级住院医师规范化培训基地3—5个。</w:t>
            </w:r>
          </w:p>
          <w:p>
            <w:pPr>
              <w:keepNext w:val="0"/>
              <w:keepLines w:val="0"/>
              <w:pageBreakBefore w:val="0"/>
              <w:kinsoku/>
              <w:wordWrap/>
              <w:topLinePunct w:val="0"/>
              <w:bidi w:val="0"/>
              <w:snapToGrid/>
              <w:spacing w:line="579" w:lineRule="exact"/>
              <w:ind w:firstLine="560" w:firstLineChars="200"/>
              <w:textAlignment w:val="auto"/>
              <w:outlineLvl w:val="9"/>
              <w:rPr>
                <w:color w:val="000000"/>
                <w:sz w:val="28"/>
                <w:szCs w:val="28"/>
              </w:rPr>
            </w:pPr>
            <w:r>
              <w:rPr>
                <w:rFonts w:eastAsia="方正楷体_GBK"/>
                <w:color w:val="000000"/>
                <w:sz w:val="28"/>
                <w:szCs w:val="28"/>
              </w:rPr>
              <w:t>基层医疗卫生服务。</w:t>
            </w:r>
            <w:r>
              <w:rPr>
                <w:color w:val="000000"/>
                <w:sz w:val="28"/>
                <w:szCs w:val="28"/>
              </w:rPr>
              <w:t>街道社区卫生服务中心、中心乡镇卫生院能够提供国家明确的66个病种服务。</w:t>
            </w:r>
          </w:p>
          <w:p>
            <w:pPr>
              <w:keepNext w:val="0"/>
              <w:keepLines w:val="0"/>
              <w:pageBreakBefore w:val="0"/>
              <w:kinsoku/>
              <w:wordWrap/>
              <w:topLinePunct w:val="0"/>
              <w:bidi w:val="0"/>
              <w:snapToGrid/>
              <w:spacing w:line="579" w:lineRule="exact"/>
              <w:ind w:firstLine="560" w:firstLineChars="200"/>
              <w:textAlignment w:val="auto"/>
              <w:outlineLvl w:val="9"/>
              <w:rPr>
                <w:color w:val="000000"/>
                <w:sz w:val="28"/>
                <w:szCs w:val="28"/>
              </w:rPr>
            </w:pPr>
            <w:r>
              <w:rPr>
                <w:rFonts w:eastAsia="方正楷体_GBK"/>
                <w:color w:val="000000"/>
                <w:sz w:val="28"/>
                <w:szCs w:val="28"/>
              </w:rPr>
              <w:t>优质护理服务。</w:t>
            </w:r>
            <w:r>
              <w:rPr>
                <w:color w:val="000000"/>
                <w:sz w:val="28"/>
                <w:szCs w:val="28"/>
              </w:rPr>
              <w:t>实现二级以上医疗机构优质护理服务全院覆盖，提高开展优质护理基层医疗机构比例。</w:t>
            </w:r>
          </w:p>
        </w:tc>
      </w:tr>
    </w:tbl>
    <w:p>
      <w:pPr>
        <w:keepNext w:val="0"/>
        <w:keepLines w:val="0"/>
        <w:pageBreakBefore w:val="0"/>
        <w:widowControl/>
        <w:shd w:val="clear" w:color="auto" w:fill="FFFFFF"/>
        <w:kinsoku/>
        <w:wordWrap/>
        <w:topLinePunct w:val="0"/>
        <w:bidi w:val="0"/>
        <w:snapToGrid/>
        <w:spacing w:line="579" w:lineRule="exact"/>
        <w:ind w:firstLine="641"/>
        <w:jc w:val="left"/>
        <w:textAlignment w:val="auto"/>
        <w:outlineLvl w:val="9"/>
        <w:rPr>
          <w:color w:val="000000"/>
        </w:rPr>
      </w:pPr>
      <w:r>
        <w:rPr>
          <w:rFonts w:eastAsia="方正楷体_GBK"/>
          <w:bCs/>
          <w:color w:val="000000"/>
          <w:szCs w:val="32"/>
        </w:rPr>
        <w:t>（四）实施中医药传承创新发展行动</w:t>
      </w:r>
    </w:p>
    <w:p>
      <w:pPr>
        <w:keepNext w:val="0"/>
        <w:keepLines w:val="0"/>
        <w:pageBreakBefore w:val="0"/>
        <w:widowControl w:val="0"/>
        <w:shd w:val="clear" w:color="auto" w:fill="FFFFFF"/>
        <w:kinsoku/>
        <w:wordWrap/>
        <w:overflowPunct/>
        <w:topLinePunct w:val="0"/>
        <w:autoSpaceDE/>
        <w:autoSpaceDN/>
        <w:bidi w:val="0"/>
        <w:adjustRightInd/>
        <w:snapToGrid/>
        <w:spacing w:line="579" w:lineRule="exact"/>
        <w:ind w:firstLine="641"/>
        <w:textAlignment w:val="auto"/>
        <w:outlineLvl w:val="9"/>
        <w:rPr>
          <w:color w:val="000000"/>
        </w:rPr>
      </w:pPr>
      <w:r>
        <w:rPr>
          <w:b/>
          <w:color w:val="000000"/>
        </w:rPr>
        <w:t>健全中医药服务体系。</w:t>
      </w:r>
      <w:r>
        <w:rPr>
          <w:color w:val="000000"/>
        </w:rPr>
        <w:t>推动区中医院加快发展，实施机构整体搬迁，规范科室设置，加强中医重点学科和重点专科（专病）建设，强化以中医药服务为主的发展定位和服务功能，建立体现中医药特点的现代医院管理制度。二级以上医疗机构设置中医科室和中医药房，将中医药结合制度纳入医院章程。夯实基层中医药服务阵地，建设基层医疗卫生机构中医馆服务区，建成一批精品中医馆，到2022年，实现基层医疗卫生机构中医馆设置和中医医师配备全覆盖。鼓励社会资本举办中医专科医疗机构、门诊部、诊所和有中医特色的康复医院、护理院、疗养院。加强中医药人才队伍建设，推动中医药产业高质量发展，大力发展中医养生保健服务。</w:t>
      </w:r>
    </w:p>
    <w:p>
      <w:pPr>
        <w:keepNext w:val="0"/>
        <w:keepLines w:val="0"/>
        <w:pageBreakBefore w:val="0"/>
        <w:widowControl w:val="0"/>
        <w:shd w:val="clear" w:color="auto" w:fill="FFFFFF"/>
        <w:kinsoku/>
        <w:wordWrap/>
        <w:overflowPunct/>
        <w:topLinePunct w:val="0"/>
        <w:autoSpaceDE/>
        <w:autoSpaceDN/>
        <w:bidi w:val="0"/>
        <w:adjustRightInd/>
        <w:snapToGrid/>
        <w:spacing w:line="552" w:lineRule="exact"/>
        <w:ind w:firstLine="641"/>
        <w:textAlignment w:val="auto"/>
        <w:outlineLvl w:val="9"/>
        <w:rPr>
          <w:color w:val="000000"/>
        </w:rPr>
      </w:pPr>
      <w:r>
        <w:rPr>
          <w:b/>
          <w:color w:val="000000"/>
        </w:rPr>
        <w:t>促进中医药传承创新。</w:t>
      </w:r>
      <w:r>
        <w:rPr>
          <w:color w:val="000000"/>
        </w:rPr>
        <w:t>实施中医药文化传播行动，推动中医药文化进社区、进校园，将中医药文化知识纳入中小学传统文化教育课程，加大中医药宣传力度。充分发挥名老中医的传帮带作用，组织医疗机构参加“巴渝岐黄杯”中医药知识与技能竞赛，以赛促学促练，提升中医药服务技能。开展中医药传承知识调查，收集筛选民间中医药验方、秘方和技法，推动建立合作开发利用机制。抢抓国家中医疫病防治基地、国家中医药传承创新中心、中医特色重点医院等一系列重大工程项目启动实施的政策机遇，依托区中医院加快建设中医药传承创新中心，加强名老中医药专家传承工作室建设。支持企业、医疗机构、科研院所开展中医药创新研究。推动建设区域性中药制剂中心，围绕经典名方、名医名方开展中药制剂研究。支持医疗机构参加中医药学术交流会。</w:t>
      </w:r>
    </w:p>
    <w:p>
      <w:pPr>
        <w:keepNext w:val="0"/>
        <w:keepLines w:val="0"/>
        <w:pageBreakBefore w:val="0"/>
        <w:shd w:val="clear" w:color="auto" w:fill="FFFFFF"/>
        <w:kinsoku/>
        <w:wordWrap/>
        <w:topLinePunct w:val="0"/>
        <w:bidi w:val="0"/>
        <w:snapToGrid/>
        <w:spacing w:line="579" w:lineRule="exact"/>
        <w:ind w:firstLine="641"/>
        <w:textAlignment w:val="auto"/>
        <w:outlineLvl w:val="9"/>
        <w:rPr>
          <w:rFonts w:eastAsia="方正黑体_GBK"/>
          <w:color w:val="000000"/>
          <w:szCs w:val="32"/>
        </w:rPr>
      </w:pPr>
      <w:r>
        <w:rPr>
          <w:b/>
          <w:color w:val="000000"/>
        </w:rPr>
        <w:t>彰显中医药促进人民健康独特作用。</w:t>
      </w:r>
      <w:r>
        <w:rPr>
          <w:color w:val="000000"/>
        </w:rPr>
        <w:t>发挥中医药在疾病治疗中的作用，推动中西医协调发展，建立综合医院、专科医院中西医会诊制度。推动综合医院中医科、基层医疗卫生机构开展治未病工作和家庭医生开展治未病等签约服务，提高国家基本公共卫生服务中医药健康管理项目效率，普及中医养生保健知识。发挥中医药特色康复的作用，推动医疗机构开展中医特色康复医疗、康复护理等服务，推动中医康复技术进社区、进家庭、进机构。加强中医药在应对突发公共卫生事件中的作用，提升区中医院传染病科标准化水平，规范发热门诊、肠道门诊设置，组建紧急医学救援中医专家库和中医应急队伍，发挥中医药在新发突发传染病防治和公共卫生事件应急处置中的作用。</w:t>
      </w:r>
    </w:p>
    <w:p>
      <w:pPr>
        <w:keepNext w:val="0"/>
        <w:keepLines w:val="0"/>
        <w:pageBreakBefore w:val="0"/>
        <w:kinsoku/>
        <w:wordWrap/>
        <w:topLinePunct w:val="0"/>
        <w:bidi w:val="0"/>
        <w:snapToGrid/>
        <w:spacing w:line="579" w:lineRule="exact"/>
        <w:jc w:val="center"/>
        <w:textAlignment w:val="auto"/>
        <w:outlineLvl w:val="9"/>
        <w:rPr>
          <w:rFonts w:eastAsia="方正黑体_GBK"/>
          <w:color w:val="000000"/>
          <w:szCs w:val="32"/>
        </w:rPr>
      </w:pPr>
      <w:r>
        <w:rPr>
          <w:rFonts w:eastAsia="方正黑体_GBK"/>
          <w:color w:val="000000"/>
          <w:szCs w:val="32"/>
        </w:rPr>
        <w:t>专栏4  中医药传承创新项目</w:t>
      </w:r>
    </w:p>
    <w:tbl>
      <w:tblPr>
        <w:tblStyle w:val="14"/>
        <w:tblW w:w="9102" w:type="dxa"/>
        <w:jc w:val="center"/>
        <w:tblInd w:w="-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102" w:type="dxa"/>
            <w:vAlign w:val="center"/>
          </w:tcPr>
          <w:p>
            <w:pPr>
              <w:keepNext w:val="0"/>
              <w:keepLines w:val="0"/>
              <w:pageBreakBefore w:val="0"/>
              <w:kinsoku/>
              <w:wordWrap/>
              <w:topLinePunct w:val="0"/>
              <w:bidi w:val="0"/>
              <w:snapToGrid/>
              <w:spacing w:line="579" w:lineRule="exact"/>
              <w:ind w:firstLine="560" w:firstLineChars="200"/>
              <w:textAlignment w:val="auto"/>
              <w:outlineLvl w:val="9"/>
              <w:rPr>
                <w:color w:val="000000"/>
                <w:sz w:val="28"/>
                <w:szCs w:val="28"/>
              </w:rPr>
            </w:pPr>
            <w:r>
              <w:rPr>
                <w:rFonts w:eastAsia="方正楷体_GBK"/>
                <w:color w:val="000000"/>
                <w:sz w:val="28"/>
                <w:szCs w:val="28"/>
              </w:rPr>
              <w:t>中医药服务体系建设。</w:t>
            </w:r>
            <w:r>
              <w:rPr>
                <w:color w:val="000000"/>
                <w:sz w:val="28"/>
                <w:szCs w:val="28"/>
              </w:rPr>
              <w:t>实施区中医院整体搬迁。支持中医重点学科和重点专科（专病）建设。建设中医药传承创新中心。</w:t>
            </w:r>
          </w:p>
          <w:p>
            <w:pPr>
              <w:keepNext w:val="0"/>
              <w:keepLines w:val="0"/>
              <w:pageBreakBefore w:val="0"/>
              <w:kinsoku/>
              <w:wordWrap/>
              <w:topLinePunct w:val="0"/>
              <w:bidi w:val="0"/>
              <w:snapToGrid/>
              <w:spacing w:line="579" w:lineRule="exact"/>
              <w:ind w:firstLine="560" w:firstLineChars="200"/>
              <w:textAlignment w:val="auto"/>
              <w:outlineLvl w:val="9"/>
              <w:rPr>
                <w:color w:val="000000"/>
                <w:sz w:val="28"/>
                <w:szCs w:val="28"/>
              </w:rPr>
            </w:pPr>
            <w:r>
              <w:rPr>
                <w:rFonts w:eastAsia="方正楷体_GBK"/>
                <w:color w:val="000000"/>
                <w:sz w:val="28"/>
                <w:szCs w:val="28"/>
              </w:rPr>
              <w:t>基层中医药服务能力提升。</w:t>
            </w:r>
            <w:r>
              <w:rPr>
                <w:color w:val="000000"/>
                <w:sz w:val="28"/>
                <w:szCs w:val="28"/>
              </w:rPr>
              <w:t>建设基层医疗卫生机构中医馆服务区，建成一批精品中医馆。</w:t>
            </w:r>
          </w:p>
          <w:p>
            <w:pPr>
              <w:keepNext w:val="0"/>
              <w:keepLines w:val="0"/>
              <w:pageBreakBefore w:val="0"/>
              <w:kinsoku/>
              <w:wordWrap/>
              <w:topLinePunct w:val="0"/>
              <w:bidi w:val="0"/>
              <w:snapToGrid/>
              <w:spacing w:line="579" w:lineRule="exact"/>
              <w:ind w:firstLine="560" w:firstLineChars="200"/>
              <w:textAlignment w:val="auto"/>
              <w:outlineLvl w:val="9"/>
              <w:rPr>
                <w:color w:val="000000"/>
                <w:sz w:val="28"/>
                <w:szCs w:val="28"/>
              </w:rPr>
            </w:pPr>
            <w:r>
              <w:rPr>
                <w:rFonts w:eastAsia="方正楷体_GBK"/>
                <w:color w:val="000000"/>
                <w:sz w:val="28"/>
                <w:szCs w:val="28"/>
              </w:rPr>
              <w:t>中医药传承创新。</w:t>
            </w:r>
            <w:r>
              <w:rPr>
                <w:color w:val="000000"/>
                <w:sz w:val="28"/>
                <w:szCs w:val="28"/>
              </w:rPr>
              <w:t>实施中医药文化传播行动。开展中医药传承知识调查。建设中医药传承创新中心。建设名老中医药专家传承工作室。推动中药材规范化种植和中医药产业高质量发展。</w:t>
            </w:r>
          </w:p>
        </w:tc>
      </w:tr>
    </w:tbl>
    <w:p>
      <w:pPr>
        <w:keepNext w:val="0"/>
        <w:keepLines w:val="0"/>
        <w:pageBreakBefore w:val="0"/>
        <w:widowControl/>
        <w:shd w:val="clear" w:color="auto" w:fill="FFFFFF"/>
        <w:kinsoku/>
        <w:wordWrap/>
        <w:topLinePunct w:val="0"/>
        <w:bidi w:val="0"/>
        <w:snapToGrid/>
        <w:spacing w:line="579" w:lineRule="exact"/>
        <w:ind w:firstLine="643"/>
        <w:jc w:val="left"/>
        <w:textAlignment w:val="auto"/>
        <w:outlineLvl w:val="9"/>
        <w:rPr>
          <w:color w:val="000000"/>
        </w:rPr>
      </w:pPr>
      <w:r>
        <w:rPr>
          <w:rFonts w:eastAsia="方正楷体_GBK"/>
          <w:bCs/>
          <w:color w:val="000000"/>
          <w:szCs w:val="32"/>
        </w:rPr>
        <w:t>（五）实施医药卫生体制改革深化行动</w:t>
      </w:r>
    </w:p>
    <w:p>
      <w:pPr>
        <w:keepNext w:val="0"/>
        <w:keepLines w:val="0"/>
        <w:pageBreakBefore w:val="0"/>
        <w:widowControl/>
        <w:shd w:val="clear" w:color="auto" w:fill="FFFFFF"/>
        <w:kinsoku/>
        <w:wordWrap/>
        <w:topLinePunct w:val="0"/>
        <w:bidi w:val="0"/>
        <w:snapToGrid/>
        <w:spacing w:line="579" w:lineRule="exact"/>
        <w:ind w:firstLine="643"/>
        <w:jc w:val="left"/>
        <w:textAlignment w:val="auto"/>
        <w:outlineLvl w:val="9"/>
        <w:rPr>
          <w:color w:val="000000"/>
        </w:rPr>
      </w:pPr>
      <w:r>
        <w:rPr>
          <w:b/>
          <w:color w:val="000000"/>
        </w:rPr>
        <w:t>深入推广三明医改经验。</w:t>
      </w:r>
      <w:r>
        <w:rPr>
          <w:color w:val="000000"/>
        </w:rPr>
        <w:t>学习三明坚持人民至上、敢为人先的改革精神，进一步增强改革的决心和勇气，发挥医改专项小组的统筹协调作用，将医改任务完成情况作为全面深化改革和政府目标管理绩效考核的重要内容，按照重庆市医改专项小组统一部署，结合我区情况，分年度统筹推进三明医改经验的深化落实。</w:t>
      </w:r>
    </w:p>
    <w:p>
      <w:pPr>
        <w:keepNext w:val="0"/>
        <w:keepLines w:val="0"/>
        <w:pageBreakBefore w:val="0"/>
        <w:widowControl w:val="0"/>
        <w:shd w:val="clear" w:color="auto" w:fill="FFFFFF"/>
        <w:kinsoku/>
        <w:wordWrap/>
        <w:overflowPunct/>
        <w:topLinePunct w:val="0"/>
        <w:autoSpaceDE/>
        <w:autoSpaceDN/>
        <w:bidi w:val="0"/>
        <w:adjustRightInd/>
        <w:snapToGrid/>
        <w:spacing w:line="552" w:lineRule="exact"/>
        <w:ind w:firstLine="641"/>
        <w:jc w:val="left"/>
        <w:textAlignment w:val="auto"/>
        <w:outlineLvl w:val="9"/>
        <w:rPr>
          <w:color w:val="000000"/>
        </w:rPr>
      </w:pPr>
      <w:r>
        <w:rPr>
          <w:b/>
          <w:color w:val="000000"/>
        </w:rPr>
        <w:t>全面推动医共体建设。</w:t>
      </w:r>
      <w:r>
        <w:rPr>
          <w:color w:val="000000"/>
        </w:rPr>
        <w:t>在全区全面推开医通、人通、财通“三通”建设。以中心医院、区中医院、民族医院分别牵头基层医疗卫生机构建立医共体，推动牵头医院优质医疗卫生服务以常态化下沉、动态下沉、共享下沉3种方式下沉基层，逐步建立运行相对闭环、开放竞争有序的医共体运行管理机制，最终形成网格化的卫生健康服务提供新体系。</w:t>
      </w:r>
      <w:r>
        <w:rPr>
          <w:color w:val="000000"/>
          <w:szCs w:val="32"/>
        </w:rPr>
        <w:t>推进医共体逐步升级为健康服务共同体。深化基层医疗卫生机构管理运行机制改革，推进乡村卫生一体化管理，推进基层医疗卫生技术人员“县聘乡用、乡聘村用”。完善村卫生室多渠道补助机制，保障乡村医生合理收入。加强基层医疗卫生机构绩效管理，实施基层医保支付改革和医疗服务价格调整。</w:t>
      </w:r>
    </w:p>
    <w:p>
      <w:pPr>
        <w:keepNext w:val="0"/>
        <w:keepLines w:val="0"/>
        <w:pageBreakBefore w:val="0"/>
        <w:kinsoku/>
        <w:wordWrap/>
        <w:topLinePunct w:val="0"/>
        <w:bidi w:val="0"/>
        <w:snapToGrid/>
        <w:spacing w:line="579" w:lineRule="exact"/>
        <w:ind w:firstLine="641"/>
        <w:textAlignment w:val="auto"/>
        <w:outlineLvl w:val="9"/>
        <w:rPr>
          <w:color w:val="000000"/>
          <w:szCs w:val="32"/>
        </w:rPr>
      </w:pPr>
      <w:r>
        <w:rPr>
          <w:b/>
          <w:color w:val="000000"/>
        </w:rPr>
        <w:t>大力</w:t>
      </w:r>
      <w:r>
        <w:rPr>
          <w:b/>
          <w:color w:val="000000"/>
          <w:szCs w:val="32"/>
        </w:rPr>
        <w:t>推动医防融合发展。</w:t>
      </w:r>
      <w:r>
        <w:rPr>
          <w:color w:val="000000"/>
          <w:szCs w:val="32"/>
        </w:rPr>
        <w:t>围绕健康中国建设推动健康服务供给侧结构性改革，加大促进医防融合发展的基础设施、队伍、能力、信息化建设等投入保障力度，</w:t>
      </w:r>
      <w:r>
        <w:rPr>
          <w:bCs/>
          <w:color w:val="000000"/>
          <w:szCs w:val="32"/>
        </w:rPr>
        <w:t>建立</w:t>
      </w:r>
      <w:r>
        <w:rPr>
          <w:color w:val="000000"/>
          <w:szCs w:val="32"/>
        </w:rPr>
        <w:t>适应居民健康需求的医防融合发展新机制。向医共体牵头医院派驻公共卫生专员和联络员，明确医共体牵头医院承担公共卫生管理服务的工作机构，组建区县域妇幼健康联盟、中医药服务联盟，构建“两员一机构两联盟”医防融合新体系；优化基层医疗卫生机构门诊科室布局，设置妇幼健康部、全科医学部和中医馆、专科服务区“两部一馆一专区”医防融合新服务模式。建立管理、队伍、服务、信息、绩效“五融合”医防融合新工作机制。积极探索整合型医疗卫生服务体系，逐步构建区级医院与基层医疗卫生机构融合发展的运行机制、医疗与预防保健融合发展的学科发展体系、全科与专科协同服务的分级诊疗模式。</w:t>
      </w:r>
    </w:p>
    <w:p>
      <w:pPr>
        <w:keepNext w:val="0"/>
        <w:keepLines w:val="0"/>
        <w:pageBreakBefore w:val="0"/>
        <w:kinsoku/>
        <w:wordWrap/>
        <w:topLinePunct w:val="0"/>
        <w:bidi w:val="0"/>
        <w:snapToGrid/>
        <w:spacing w:line="579" w:lineRule="exact"/>
        <w:ind w:firstLine="641"/>
        <w:textAlignment w:val="auto"/>
        <w:outlineLvl w:val="9"/>
        <w:rPr>
          <w:color w:val="000000"/>
          <w:szCs w:val="32"/>
        </w:rPr>
      </w:pPr>
      <w:r>
        <w:rPr>
          <w:b/>
          <w:color w:val="000000"/>
        </w:rPr>
        <w:t>持续深化公立医院改革。</w:t>
      </w:r>
      <w:r>
        <w:rPr>
          <w:color w:val="000000"/>
          <w:szCs w:val="32"/>
        </w:rPr>
        <w:t>以推动公立医院高质量发展作为重点任务，促进</w:t>
      </w:r>
      <w:r>
        <w:rPr>
          <w:color w:val="000000"/>
          <w:kern w:val="0"/>
          <w:szCs w:val="32"/>
        </w:rPr>
        <w:t>公立医院发展方式从规模扩张转向提质增效，运行模式从粗放管理转向精细化管理，资源配置从注重物质要素转向更加注重人才技术要素</w:t>
      </w:r>
      <w:r>
        <w:rPr>
          <w:color w:val="000000"/>
          <w:szCs w:val="32"/>
        </w:rPr>
        <w:t>。加强公立医院治理体系建设，落实党委领导下的院长负责制，把党的领导融入医院治理全过程各方面各环节，落实政府举办公立医院的主体责任，保证公立医院的公益属性。改革人事管理制度，落实公立医院人员编制标准和用人自主权。改革薪酬分配制度，建立主要体现岗位职责和知识价值的薪酬体系，统筹考虑编制内外人员待遇。健全医务人员培养评价制</w:t>
      </w:r>
      <w:r>
        <w:rPr>
          <w:color w:val="000000"/>
          <w:kern w:val="0"/>
          <w:szCs w:val="32"/>
        </w:rPr>
        <w:t>度，实行分层分类评价。按照国市统一部署深化医疗服务价格改革，建立灵敏有序的价格动态调整机制。改革医保支付方式，推行以按病种付费为主的多元复合式医保支付方式，探索按床日付费、门诊按人头付费、按疾病诊断相关分组付费、区域点数法总额预算和按病种分值付费，对医共体实行总额付费。</w:t>
      </w:r>
      <w:r>
        <w:rPr>
          <w:color w:val="000000"/>
          <w:szCs w:val="32"/>
        </w:rPr>
        <w:t>加强医院财务和资产运行管理，实行全面预算管理、全成本核算制度，促进医院精细化管理。建立健全公立医院运行监测和监管制度，优化收支结构，提高医疗技术收入比例，降低大型设备检查费用收入比例。推进公立医院药品、医用耗材和医疗设备采购改革。</w:t>
      </w:r>
    </w:p>
    <w:p>
      <w:pPr>
        <w:keepNext w:val="0"/>
        <w:keepLines w:val="0"/>
        <w:pageBreakBefore w:val="0"/>
        <w:widowControl/>
        <w:kinsoku/>
        <w:wordWrap/>
        <w:topLinePunct w:val="0"/>
        <w:bidi w:val="0"/>
        <w:snapToGrid/>
        <w:spacing w:line="579" w:lineRule="exact"/>
        <w:ind w:firstLine="640" w:firstLineChars="200"/>
        <w:textAlignment w:val="auto"/>
        <w:outlineLvl w:val="9"/>
        <w:rPr>
          <w:rFonts w:eastAsia="方正楷体_GBK"/>
          <w:bCs/>
          <w:color w:val="000000"/>
          <w:szCs w:val="32"/>
        </w:rPr>
      </w:pPr>
      <w:r>
        <w:rPr>
          <w:rFonts w:eastAsia="方正楷体_GBK"/>
          <w:bCs/>
          <w:color w:val="000000"/>
          <w:szCs w:val="32"/>
        </w:rPr>
        <w:t>（六）实施医疗卫生综合监管强化行动</w:t>
      </w:r>
    </w:p>
    <w:p>
      <w:pPr>
        <w:keepNext w:val="0"/>
        <w:keepLines w:val="0"/>
        <w:pageBreakBefore w:val="0"/>
        <w:kinsoku/>
        <w:wordWrap/>
        <w:topLinePunct w:val="0"/>
        <w:bidi w:val="0"/>
        <w:snapToGrid/>
        <w:spacing w:line="579" w:lineRule="exact"/>
        <w:ind w:firstLine="643" w:firstLineChars="200"/>
        <w:jc w:val="left"/>
        <w:textAlignment w:val="auto"/>
        <w:outlineLvl w:val="9"/>
        <w:rPr>
          <w:color w:val="000000"/>
          <w:szCs w:val="32"/>
        </w:rPr>
      </w:pPr>
      <w:r>
        <w:rPr>
          <w:b/>
          <w:color w:val="000000"/>
          <w:szCs w:val="32"/>
        </w:rPr>
        <w:t>健全综合监管制度。</w:t>
      </w:r>
      <w:r>
        <w:rPr>
          <w:color w:val="000000"/>
          <w:szCs w:val="32"/>
        </w:rPr>
        <w:t>健全政府主导、部门协作的医疗卫生综合监管协调机制，实行机构自治、行业自律、政府监管、社会监督相结合的多元化综合监管，推动综合监管法治化、规范化、常态化。大力开展专项整治、重点监督检查和经常性督导检查，严厉打击违法行为。建立健全行业诚信体系和失信联合惩戒机制，建立医药卫生行业“黑名单”制度。</w:t>
      </w:r>
    </w:p>
    <w:p>
      <w:pPr>
        <w:keepNext w:val="0"/>
        <w:keepLines w:val="0"/>
        <w:pageBreakBefore w:val="0"/>
        <w:kinsoku/>
        <w:wordWrap/>
        <w:topLinePunct w:val="0"/>
        <w:bidi w:val="0"/>
        <w:snapToGrid/>
        <w:spacing w:line="579" w:lineRule="exact"/>
        <w:ind w:firstLine="643" w:firstLineChars="200"/>
        <w:textAlignment w:val="auto"/>
        <w:outlineLvl w:val="9"/>
        <w:rPr>
          <w:color w:val="000000"/>
          <w:szCs w:val="32"/>
        </w:rPr>
      </w:pPr>
      <w:r>
        <w:rPr>
          <w:b/>
          <w:color w:val="000000"/>
          <w:szCs w:val="32"/>
        </w:rPr>
        <w:t>加强行业综合监管。</w:t>
      </w:r>
      <w:r>
        <w:rPr>
          <w:color w:val="000000"/>
          <w:szCs w:val="32"/>
        </w:rPr>
        <w:t>强化卫生健康行政部门医疗服务监管职能，对辖区内所有医疗卫生资源实行统一规划、准入和监管，完善机构、人员、技术、装备准入和退出机制。加强政府投入举办和社会资本兴办医疗卫生机构监管，彰显宽松环境鼓励兴办机构、从严监管促进规范运行的医疗市场秩序。加强公共场所和市场主体公共卫生监管，完善常态化监管和事中事后监管机制，坚持实行“双随机一公开”抽查机制。强化卫生监督执法机构履行监督执法的职责，加强卫生监督执法队伍和执法装备建设，健全监督执法责任制和责任追究制，推动执法重心下移。建立综合监管信息平台。</w:t>
      </w:r>
    </w:p>
    <w:p>
      <w:pPr>
        <w:keepNext w:val="0"/>
        <w:keepLines w:val="0"/>
        <w:pageBreakBefore w:val="0"/>
        <w:kinsoku/>
        <w:wordWrap/>
        <w:topLinePunct w:val="0"/>
        <w:bidi w:val="0"/>
        <w:snapToGrid/>
        <w:spacing w:line="579" w:lineRule="exact"/>
        <w:ind w:firstLine="643" w:firstLineChars="200"/>
        <w:textAlignment w:val="auto"/>
        <w:outlineLvl w:val="9"/>
        <w:rPr>
          <w:color w:val="000000"/>
          <w:szCs w:val="32"/>
        </w:rPr>
      </w:pPr>
      <w:r>
        <w:rPr>
          <w:b/>
          <w:color w:val="000000"/>
          <w:szCs w:val="32"/>
        </w:rPr>
        <w:t>加强医疗从业人员监管。</w:t>
      </w:r>
      <w:r>
        <w:rPr>
          <w:color w:val="000000"/>
          <w:szCs w:val="32"/>
        </w:rPr>
        <w:t>强化医疗卫生从业人员法治意识，提高依法执业水平。加强医疗从业人员执业行为监管，加大医疗卫生行风建设力度，完善检查考核评价机制、行风评议和患者就医体验满意度第三方评价机制，落实医务人员医德医风考评制度。强化医疗服务行为监管，加强医疗服务监管制度建设，依托专业机构指导医疗机构做好医疗安全管理和风险防范。加强对社会办医疗机构规范化管理和质量控制，提高同质化水平。</w:t>
      </w:r>
    </w:p>
    <w:p>
      <w:pPr>
        <w:keepNext w:val="0"/>
        <w:keepLines w:val="0"/>
        <w:pageBreakBefore w:val="0"/>
        <w:kinsoku/>
        <w:wordWrap/>
        <w:topLinePunct w:val="0"/>
        <w:bidi w:val="0"/>
        <w:snapToGrid/>
        <w:spacing w:line="579" w:lineRule="exact"/>
        <w:ind w:firstLine="640" w:firstLineChars="200"/>
        <w:jc w:val="left"/>
        <w:textAlignment w:val="auto"/>
        <w:outlineLvl w:val="9"/>
        <w:rPr>
          <w:rFonts w:eastAsia="方正楷体_GBK"/>
          <w:bCs/>
          <w:color w:val="000000"/>
          <w:szCs w:val="32"/>
        </w:rPr>
      </w:pPr>
      <w:r>
        <w:rPr>
          <w:rFonts w:eastAsia="方正楷体_GBK"/>
          <w:bCs/>
          <w:color w:val="000000"/>
          <w:szCs w:val="32"/>
        </w:rPr>
        <w:t>（七）实施大健康产业发展行动</w:t>
      </w:r>
    </w:p>
    <w:p>
      <w:pPr>
        <w:keepNext w:val="0"/>
        <w:keepLines w:val="0"/>
        <w:pageBreakBefore w:val="0"/>
        <w:kinsoku/>
        <w:wordWrap/>
        <w:topLinePunct w:val="0"/>
        <w:bidi w:val="0"/>
        <w:snapToGrid/>
        <w:spacing w:line="579" w:lineRule="exact"/>
        <w:ind w:firstLine="643" w:firstLineChars="200"/>
        <w:textAlignment w:val="auto"/>
        <w:outlineLvl w:val="9"/>
        <w:rPr>
          <w:color w:val="000000"/>
          <w:szCs w:val="32"/>
        </w:rPr>
      </w:pPr>
      <w:r>
        <w:rPr>
          <w:b/>
          <w:color w:val="000000"/>
          <w:szCs w:val="32"/>
        </w:rPr>
        <w:t>发展医疗技术服务健康产业。</w:t>
      </w:r>
      <w:r>
        <w:rPr>
          <w:color w:val="000000"/>
          <w:szCs w:val="32"/>
        </w:rPr>
        <w:t>围绕建设渝东南医疗中心健全区乡村三级医疗卫生服务体系，推动医疗技术服务健康产业发展。鼓励社会力量举办口腔、儿科、精神、肿瘤等专科医院和康复医疗中心、老年病医院、护理中心、健康体检中心等机构。鼓励和规范社会力量发展医美产业。支持依托有资质、有实力的互联网医院开展网上诊疗。加强医疗技术创新平台建设和创新成果转化应用。</w:t>
      </w:r>
    </w:p>
    <w:p>
      <w:pPr>
        <w:keepNext w:val="0"/>
        <w:keepLines w:val="0"/>
        <w:pageBreakBefore w:val="0"/>
        <w:kinsoku/>
        <w:wordWrap/>
        <w:topLinePunct w:val="0"/>
        <w:bidi w:val="0"/>
        <w:snapToGrid/>
        <w:spacing w:line="579" w:lineRule="exact"/>
        <w:ind w:firstLine="643" w:firstLineChars="200"/>
        <w:textAlignment w:val="auto"/>
        <w:outlineLvl w:val="9"/>
        <w:rPr>
          <w:color w:val="000000"/>
          <w:sz w:val="30"/>
          <w:szCs w:val="30"/>
        </w:rPr>
      </w:pPr>
      <w:r>
        <w:rPr>
          <w:b/>
          <w:color w:val="000000"/>
          <w:szCs w:val="32"/>
        </w:rPr>
        <w:t>打造重庆重要医药基地。</w:t>
      </w:r>
      <w:r>
        <w:rPr>
          <w:color w:val="000000"/>
          <w:szCs w:val="32"/>
        </w:rPr>
        <w:t>围绕生</w:t>
      </w:r>
      <w:r>
        <w:rPr>
          <w:color w:val="000000"/>
          <w:sz w:val="30"/>
          <w:szCs w:val="30"/>
        </w:rPr>
        <w:t>物化学医药、大品种仿制药、原料药及辅料促进医药产业集群发展，增加南海制药、衡生胶囊、博望气体等医药企业生产品种。依托重庆制造优势和医疗器械企业，承接发展医疗器械配套产业。依托市级以上道地药材良种繁育和生态种植技术，发挥武陵山区自然生态优势，做大中药材种植基地，推动汤补产业发展。完善医药冷链物流基础设施，做大医药流通产业。</w:t>
      </w:r>
    </w:p>
    <w:p>
      <w:pPr>
        <w:keepNext w:val="0"/>
        <w:keepLines w:val="0"/>
        <w:pageBreakBefore w:val="0"/>
        <w:kinsoku/>
        <w:wordWrap/>
        <w:topLinePunct w:val="0"/>
        <w:bidi w:val="0"/>
        <w:snapToGrid/>
        <w:spacing w:line="579" w:lineRule="exact"/>
        <w:ind w:firstLine="643" w:firstLineChars="200"/>
        <w:textAlignment w:val="auto"/>
        <w:outlineLvl w:val="9"/>
        <w:rPr>
          <w:color w:val="000000"/>
          <w:szCs w:val="32"/>
        </w:rPr>
      </w:pPr>
      <w:r>
        <w:rPr>
          <w:b/>
          <w:color w:val="000000"/>
          <w:szCs w:val="32"/>
        </w:rPr>
        <w:t>打造全国知名康养胜地。</w:t>
      </w:r>
      <w:r>
        <w:rPr>
          <w:color w:val="000000"/>
          <w:szCs w:val="32"/>
        </w:rPr>
        <w:t>聚焦休闲养生、滋补养生、康体养生等业态，大力发展养生旅游产业。促进养老与旅游、文化、教育、养生等融合发展，培育一批健康养老基地和康养小镇。倡导全民健身运动，发展健身康体产业，建设国家知名山地户外运动目的地。依托优良森林生态环境，开展保健养生、康复疗养、健康养老服务发展森林康养产业。加强生态农产品基地建设和食品深加工，开发营养方便食品、功能性食品、药食同源产品及特殊食品等健康食品。围绕居民全生命周期健康管理，发展以健康信息档案、健康检测、健康干预、慢病管理、家庭医生、健康咨询、健康保险等为主的健康管理产业。</w:t>
      </w:r>
    </w:p>
    <w:p>
      <w:pPr>
        <w:keepNext w:val="0"/>
        <w:keepLines w:val="0"/>
        <w:pageBreakBefore w:val="0"/>
        <w:kinsoku/>
        <w:wordWrap/>
        <w:topLinePunct w:val="0"/>
        <w:bidi w:val="0"/>
        <w:snapToGrid/>
        <w:spacing w:line="579" w:lineRule="exact"/>
        <w:ind w:firstLine="640" w:firstLineChars="200"/>
        <w:textAlignment w:val="auto"/>
        <w:outlineLvl w:val="9"/>
        <w:rPr>
          <w:rFonts w:eastAsia="方正楷体_GBK"/>
          <w:bCs/>
          <w:color w:val="000000"/>
          <w:szCs w:val="32"/>
        </w:rPr>
      </w:pPr>
      <w:r>
        <w:rPr>
          <w:rFonts w:eastAsia="方正楷体_GBK"/>
          <w:bCs/>
          <w:color w:val="000000"/>
          <w:szCs w:val="32"/>
        </w:rPr>
        <w:t>（八）实施医疗卫生机构布局优化工程</w:t>
      </w:r>
    </w:p>
    <w:p>
      <w:pPr>
        <w:keepNext w:val="0"/>
        <w:keepLines w:val="0"/>
        <w:pageBreakBefore w:val="0"/>
        <w:kinsoku/>
        <w:wordWrap/>
        <w:topLinePunct w:val="0"/>
        <w:bidi w:val="0"/>
        <w:snapToGrid/>
        <w:spacing w:line="579" w:lineRule="exact"/>
        <w:ind w:firstLine="643" w:firstLineChars="200"/>
        <w:textAlignment w:val="auto"/>
        <w:outlineLvl w:val="9"/>
        <w:rPr>
          <w:color w:val="000000"/>
          <w:szCs w:val="32"/>
        </w:rPr>
      </w:pPr>
      <w:r>
        <w:rPr>
          <w:b/>
          <w:color w:val="000000"/>
          <w:szCs w:val="32"/>
        </w:rPr>
        <w:t>优化城区医疗卫生机构布局。</w:t>
      </w:r>
      <w:r>
        <w:rPr>
          <w:color w:val="000000"/>
          <w:szCs w:val="32"/>
        </w:rPr>
        <w:t>结合渝东南区域中心城市人口加快集聚、老城居民向新城迁移和农村居民梯度转移居住看病就医需求变化，将老城医疗卫生资源向新城疏解和扩建二级及以上公立医疗机构，中心医院整体迁入正阳新院区，区中医院迁入现中心医院西山院区，城东街道社区卫生服务中心迁入现中医院大楼，中心血站整体迁建新城，原疾病预防控制中心、城东街道社区卫生服务中心业务用房划转区妇幼保健院。</w:t>
      </w:r>
    </w:p>
    <w:p>
      <w:pPr>
        <w:keepNext w:val="0"/>
        <w:keepLines w:val="0"/>
        <w:pageBreakBefore w:val="0"/>
        <w:kinsoku/>
        <w:wordWrap/>
        <w:topLinePunct w:val="0"/>
        <w:bidi w:val="0"/>
        <w:snapToGrid/>
        <w:spacing w:line="579" w:lineRule="exact"/>
        <w:ind w:firstLine="643" w:firstLineChars="200"/>
        <w:textAlignment w:val="auto"/>
        <w:outlineLvl w:val="9"/>
        <w:rPr>
          <w:color w:val="000000"/>
          <w:szCs w:val="32"/>
        </w:rPr>
      </w:pPr>
      <w:r>
        <w:rPr>
          <w:b/>
          <w:color w:val="000000"/>
          <w:szCs w:val="32"/>
        </w:rPr>
        <w:t>分类规划发展基层医疗卫生机构。</w:t>
      </w:r>
      <w:r>
        <w:rPr>
          <w:color w:val="000000"/>
          <w:szCs w:val="32"/>
        </w:rPr>
        <w:t>结合基层医疗卫生机构功能定位、我区农村地区呈带状线状地形分布特点、农村交通条件日趋改善和农村居民医疗卫生需求变化，对“6+4+20”（6个街道社区卫生服务中心，金溪、濯水、黄溪、马喇4个中心乡镇卫生院，20个普通乡镇卫生院）进行分类规划发展，形成农村片区医疗卫生服务圈。街道社区卫生服务中心、中心乡镇卫生院着重提升综合服务能力和医防融合发展能力、普通乡镇卫生院着力提升基本医疗和公共卫生服务能力，推动中心乡镇卫生院带动片区的乡镇卫生院协调发展，推动乡村卫生一体化发展。</w:t>
      </w:r>
    </w:p>
    <w:p>
      <w:pPr>
        <w:keepNext w:val="0"/>
        <w:keepLines w:val="0"/>
        <w:pageBreakBefore w:val="0"/>
        <w:kinsoku/>
        <w:wordWrap/>
        <w:topLinePunct w:val="0"/>
        <w:bidi w:val="0"/>
        <w:snapToGrid/>
        <w:spacing w:line="579" w:lineRule="exact"/>
        <w:ind w:firstLine="643" w:firstLineChars="200"/>
        <w:textAlignment w:val="auto"/>
        <w:outlineLvl w:val="9"/>
        <w:rPr>
          <w:rFonts w:eastAsia="方正黑体_GBK"/>
          <w:color w:val="000000"/>
          <w:szCs w:val="32"/>
        </w:rPr>
      </w:pPr>
      <w:r>
        <w:rPr>
          <w:b/>
          <w:color w:val="000000"/>
          <w:szCs w:val="32"/>
        </w:rPr>
        <w:t>促进社会办医可持续发展。</w:t>
      </w:r>
      <w:r>
        <w:rPr>
          <w:color w:val="000000"/>
          <w:szCs w:val="32"/>
        </w:rPr>
        <w:t>规范和加强社会办医管理，支持现有社会办医疗机构提档升级，鼓励社会资本发展健康服务业。简化医疗机构准入管理流程，清理阻碍社会办医、多点执业等方面的隐性壁垒，全面推进医师执业区域注册，鼓励医师多点执业，发挥社会办医补充作用，形成公立和非公立医疗机构竞争有序、良性发展格局。严格准入标准，强化依法执业，完善监管机制，建立诚信体系，促进社会办医可持续健康发展。</w:t>
      </w:r>
    </w:p>
    <w:p>
      <w:pPr>
        <w:keepNext w:val="0"/>
        <w:keepLines w:val="0"/>
        <w:pageBreakBefore w:val="0"/>
        <w:kinsoku/>
        <w:wordWrap/>
        <w:topLinePunct w:val="0"/>
        <w:bidi w:val="0"/>
        <w:snapToGrid/>
        <w:spacing w:line="579" w:lineRule="exact"/>
        <w:jc w:val="center"/>
        <w:textAlignment w:val="auto"/>
        <w:outlineLvl w:val="9"/>
        <w:rPr>
          <w:rFonts w:eastAsia="方正黑体_GBK"/>
          <w:color w:val="000000"/>
          <w:szCs w:val="32"/>
        </w:rPr>
      </w:pPr>
      <w:r>
        <w:rPr>
          <w:rFonts w:eastAsia="方正黑体_GBK"/>
          <w:color w:val="000000"/>
          <w:szCs w:val="32"/>
        </w:rPr>
        <w:t>专栏5  医疗卫生机构基本建设项目</w:t>
      </w:r>
    </w:p>
    <w:tbl>
      <w:tblPr>
        <w:tblStyle w:val="14"/>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060" w:type="dxa"/>
            <w:vAlign w:val="center"/>
          </w:tcPr>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outlineLvl w:val="9"/>
              <w:rPr>
                <w:color w:val="000000"/>
                <w:sz w:val="28"/>
                <w:szCs w:val="28"/>
              </w:rPr>
            </w:pPr>
            <w:r>
              <w:rPr>
                <w:rFonts w:eastAsia="方正楷体_GBK"/>
                <w:color w:val="000000"/>
                <w:sz w:val="28"/>
                <w:szCs w:val="28"/>
              </w:rPr>
              <w:t>城区医疗机构。</w:t>
            </w:r>
            <w:r>
              <w:rPr>
                <w:color w:val="000000"/>
                <w:sz w:val="28"/>
                <w:szCs w:val="28"/>
              </w:rPr>
              <w:t>续建新建中心医院正阳院区住院综合楼、科教大楼、外科大楼、2号车库，实施中心医院县域综合服务能力提升、区中医院迁建、区中医院县域综合服务能力提升和民族医院康养综合体建设。</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outlineLvl w:val="9"/>
              <w:rPr>
                <w:color w:val="000000"/>
                <w:sz w:val="28"/>
                <w:szCs w:val="28"/>
              </w:rPr>
            </w:pPr>
            <w:r>
              <w:rPr>
                <w:rFonts w:eastAsia="方正楷体_GBK"/>
                <w:color w:val="000000"/>
                <w:sz w:val="28"/>
                <w:szCs w:val="28"/>
              </w:rPr>
              <w:t>公共卫生机构。</w:t>
            </w:r>
            <w:r>
              <w:rPr>
                <w:color w:val="000000"/>
                <w:sz w:val="28"/>
                <w:szCs w:val="28"/>
              </w:rPr>
              <w:t>迁建中心血站，改扩建母婴应急救治中心，实施疾病预防控制体系现代化建设、职业病防治能力提升建设。</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outlineLvl w:val="9"/>
              <w:rPr>
                <w:color w:val="000000"/>
                <w:szCs w:val="32"/>
              </w:rPr>
            </w:pPr>
            <w:r>
              <w:rPr>
                <w:rFonts w:eastAsia="方正楷体_GBK"/>
                <w:color w:val="000000"/>
                <w:sz w:val="28"/>
                <w:szCs w:val="28"/>
              </w:rPr>
              <w:t>基层医疗卫生机构。</w:t>
            </w:r>
            <w:r>
              <w:rPr>
                <w:color w:val="000000"/>
                <w:sz w:val="28"/>
                <w:szCs w:val="28"/>
              </w:rPr>
              <w:t>改造30个基层医疗机构医源性废水废物放处置与放射防护设施，改建30个基层医疗卫生机构发热诊室、肠道门诊、手术室、妇产科、数字化预防接种门诊、监护室，规划建设规范化片区发热门诊。实施城南、城西街道社区卫生服务中心医养结合建设，启动黄溪、濯水、马喇医共体分院建设，迁建冯家街道社区卫生服务中心，改扩建一批基层医疗卫生机构业务用房和村卫生室。</w:t>
            </w:r>
          </w:p>
        </w:tc>
      </w:tr>
    </w:tbl>
    <w:p>
      <w:pPr>
        <w:keepNext w:val="0"/>
        <w:keepLines w:val="0"/>
        <w:pageBreakBefore w:val="0"/>
        <w:kinsoku/>
        <w:wordWrap/>
        <w:topLinePunct w:val="0"/>
        <w:bidi w:val="0"/>
        <w:snapToGrid/>
        <w:spacing w:line="579" w:lineRule="exact"/>
        <w:ind w:firstLine="630"/>
        <w:jc w:val="left"/>
        <w:textAlignment w:val="auto"/>
        <w:outlineLvl w:val="9"/>
        <w:rPr>
          <w:color w:val="000000"/>
          <w:szCs w:val="32"/>
        </w:rPr>
      </w:pPr>
      <w:r>
        <w:rPr>
          <w:rFonts w:eastAsia="方正楷体_GBK"/>
          <w:bCs/>
          <w:color w:val="000000"/>
          <w:szCs w:val="32"/>
        </w:rPr>
        <w:t>（九）实施优质资源扩容工程</w:t>
      </w:r>
    </w:p>
    <w:p>
      <w:pPr>
        <w:keepNext w:val="0"/>
        <w:keepLines w:val="0"/>
        <w:pageBreakBefore w:val="0"/>
        <w:widowControl w:val="0"/>
        <w:kinsoku/>
        <w:wordWrap/>
        <w:overflowPunct/>
        <w:topLinePunct w:val="0"/>
        <w:autoSpaceDE/>
        <w:autoSpaceDN/>
        <w:bidi w:val="0"/>
        <w:adjustRightInd/>
        <w:snapToGrid/>
        <w:spacing w:line="552" w:lineRule="exact"/>
        <w:ind w:firstLine="629"/>
        <w:textAlignment w:val="auto"/>
        <w:outlineLvl w:val="9"/>
        <w:rPr>
          <w:color w:val="000000"/>
          <w:szCs w:val="32"/>
        </w:rPr>
      </w:pPr>
      <w:r>
        <w:rPr>
          <w:b/>
          <w:color w:val="000000"/>
          <w:szCs w:val="32"/>
        </w:rPr>
        <w:t>加快医院等级建设。</w:t>
      </w:r>
      <w:r>
        <w:rPr>
          <w:color w:val="000000"/>
          <w:szCs w:val="32"/>
        </w:rPr>
        <w:t>加强渝东南医疗高地支撑体系建设，以医疗卫生机构等级创建为抓手提升服务能力，扩容优质医疗资源，增强医疗卫生板块在渝东南、武陵山片区的集散功能。将民族医院建成三级甲等综合医院，区中医院建成三级甲等中医院。积极推进医疗机构与高等院校、科研院所和三级甲等医院合作发展，支持中心医院与重医儿童医院合作建设区域性儿童医疗中心，支持中心医院建设重庆大学附属黔江医院，支持其他医院与重庆市高水平三甲医院合作发展，支持民营医疗机构开展等级创建。</w:t>
      </w:r>
    </w:p>
    <w:p>
      <w:pPr>
        <w:keepNext w:val="0"/>
        <w:keepLines w:val="0"/>
        <w:pageBreakBefore w:val="0"/>
        <w:widowControl w:val="0"/>
        <w:kinsoku/>
        <w:wordWrap/>
        <w:overflowPunct/>
        <w:topLinePunct w:val="0"/>
        <w:autoSpaceDE/>
        <w:autoSpaceDN/>
        <w:bidi w:val="0"/>
        <w:adjustRightInd/>
        <w:snapToGrid/>
        <w:spacing w:line="579" w:lineRule="exact"/>
        <w:ind w:firstLine="629"/>
        <w:jc w:val="left"/>
        <w:textAlignment w:val="auto"/>
        <w:outlineLvl w:val="9"/>
        <w:rPr>
          <w:color w:val="000000"/>
          <w:szCs w:val="32"/>
        </w:rPr>
      </w:pPr>
      <w:r>
        <w:rPr>
          <w:b/>
          <w:color w:val="000000"/>
          <w:szCs w:val="32"/>
        </w:rPr>
        <w:t>加快专业公共卫生机构等级建设。</w:t>
      </w:r>
      <w:r>
        <w:rPr>
          <w:color w:val="000000"/>
          <w:szCs w:val="32"/>
        </w:rPr>
        <w:t>提升公共卫生服务在渝东南的辐射能力，将区疾病预防控制中心建成三级甲等机构，区妇幼保健院建成三级妇幼保健院，增强中心血站“中心”功能，提升卫生监督、精神卫生、职业病防治、应急处置等能力。建成武陵山公共卫生应急医院。</w:t>
      </w:r>
    </w:p>
    <w:p>
      <w:pPr>
        <w:keepNext w:val="0"/>
        <w:keepLines w:val="0"/>
        <w:pageBreakBefore w:val="0"/>
        <w:kinsoku/>
        <w:wordWrap/>
        <w:topLinePunct w:val="0"/>
        <w:bidi w:val="0"/>
        <w:snapToGrid/>
        <w:spacing w:line="579" w:lineRule="exact"/>
        <w:ind w:firstLine="630"/>
        <w:textAlignment w:val="auto"/>
        <w:outlineLvl w:val="9"/>
      </w:pPr>
      <w:r>
        <w:rPr>
          <w:b/>
          <w:color w:val="000000"/>
          <w:szCs w:val="32"/>
        </w:rPr>
        <w:t>加快基层医疗卫生机构等级建设。</w:t>
      </w:r>
      <w:r>
        <w:rPr>
          <w:color w:val="000000"/>
          <w:szCs w:val="32"/>
        </w:rPr>
        <w:t>持续实施基层医疗机构和村卫生室规范化建设，巩固标准化建设成果。深入推进优质服务基层行活动，实施基层医疗卫生机构等级创建，对照《重庆市乡镇卫生院等级评审标准（2020年版）》《重庆市乡镇卫生院等级评审指南（2020年版）》加强基层医疗卫生机构功能任务和资源配置、基本医疗和公共卫生服务、业务管理和综合管理能力建设，分类创建一批甲级、乙级、丙级乡镇卫生院。创新村卫生室星级管理机制，对照《重庆市行政村卫生室星级评定标准（试行）》建成一批星级村卫生室。全面推进社区医院建设，拓展基层医疗卫生服务内涵，提升基层医疗卫生机构影响力和社会地位，提升广大基层卫生人员职业自信和归属感，提升居民对基层医疗卫生机构的信任度和利用率，促进基层医疗卫生高质量发展。加强医院和基层医疗卫生机构“环境美、服务美、人文美” 建设，建成一批“美丽医院”。</w:t>
      </w:r>
    </w:p>
    <w:p>
      <w:pPr>
        <w:keepNext w:val="0"/>
        <w:keepLines w:val="0"/>
        <w:pageBreakBefore w:val="0"/>
        <w:kinsoku/>
        <w:wordWrap/>
        <w:topLinePunct w:val="0"/>
        <w:bidi w:val="0"/>
        <w:snapToGrid/>
        <w:spacing w:line="579" w:lineRule="exact"/>
        <w:jc w:val="center"/>
        <w:textAlignment w:val="auto"/>
        <w:outlineLvl w:val="9"/>
        <w:rPr>
          <w:rFonts w:eastAsia="方正黑体_GBK"/>
          <w:color w:val="000000"/>
          <w:szCs w:val="32"/>
        </w:rPr>
      </w:pPr>
      <w:r>
        <w:rPr>
          <w:rFonts w:eastAsia="方正黑体_GBK"/>
          <w:color w:val="000000"/>
          <w:szCs w:val="32"/>
        </w:rPr>
        <w:t>专栏6  医疗卫生机构提档升级项目</w:t>
      </w:r>
    </w:p>
    <w:tbl>
      <w:tblPr>
        <w:tblStyle w:val="1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 w:hRule="atLeast"/>
        </w:trPr>
        <w:tc>
          <w:tcPr>
            <w:tcW w:w="9060" w:type="dxa"/>
            <w:vAlign w:val="center"/>
          </w:tcPr>
          <w:p>
            <w:pPr>
              <w:keepNext w:val="0"/>
              <w:keepLines w:val="0"/>
              <w:pageBreakBefore w:val="0"/>
              <w:kinsoku/>
              <w:wordWrap/>
              <w:topLinePunct w:val="0"/>
              <w:bidi w:val="0"/>
              <w:snapToGrid/>
              <w:spacing w:line="579" w:lineRule="exact"/>
              <w:ind w:firstLine="560" w:firstLineChars="200"/>
              <w:jc w:val="left"/>
              <w:textAlignment w:val="auto"/>
              <w:outlineLvl w:val="9"/>
              <w:rPr>
                <w:color w:val="000000"/>
                <w:sz w:val="28"/>
                <w:szCs w:val="28"/>
              </w:rPr>
            </w:pPr>
            <w:r>
              <w:rPr>
                <w:rFonts w:eastAsia="方正楷体_GBK"/>
                <w:color w:val="000000"/>
                <w:sz w:val="28"/>
                <w:szCs w:val="28"/>
              </w:rPr>
              <w:t>“3+4”武陵山医疗高地支撑体系。</w:t>
            </w:r>
            <w:r>
              <w:rPr>
                <w:color w:val="000000"/>
                <w:sz w:val="28"/>
                <w:szCs w:val="28"/>
              </w:rPr>
              <w:t>提升中心医院“三甲”水平，将民族医院建成三级甲等综合医院、区中医院建成三级甲等中医院；将区疾病预防控制中心建成三级甲等机构、区妇幼保健院建成三级妇幼保健院、中心血站建成“采检制储供”一体的区域性采供血机构、提升武陵山区域医疗中心（应急医院）平战结合运行能力。</w:t>
            </w:r>
          </w:p>
          <w:p>
            <w:pPr>
              <w:keepNext w:val="0"/>
              <w:keepLines w:val="0"/>
              <w:pageBreakBefore w:val="0"/>
              <w:kinsoku/>
              <w:wordWrap/>
              <w:topLinePunct w:val="0"/>
              <w:bidi w:val="0"/>
              <w:snapToGrid/>
              <w:spacing w:line="579" w:lineRule="exact"/>
              <w:ind w:firstLine="560" w:firstLineChars="200"/>
              <w:jc w:val="left"/>
              <w:textAlignment w:val="auto"/>
              <w:outlineLvl w:val="9"/>
              <w:rPr>
                <w:rFonts w:eastAsia="方正楷体_GBK"/>
                <w:color w:val="000000"/>
                <w:sz w:val="28"/>
                <w:szCs w:val="28"/>
              </w:rPr>
            </w:pPr>
            <w:r>
              <w:rPr>
                <w:rFonts w:eastAsia="方正楷体_GBK"/>
                <w:color w:val="000000"/>
                <w:sz w:val="28"/>
                <w:szCs w:val="28"/>
              </w:rPr>
              <w:t>等级乡镇卫生院。</w:t>
            </w:r>
            <w:r>
              <w:rPr>
                <w:color w:val="000000"/>
                <w:sz w:val="28"/>
                <w:szCs w:val="28"/>
              </w:rPr>
              <w:t>将城东、城南、舟白建成甲级社区卫生服务中心，金溪、黄溪、濯水、马喇建成甲级乡镇卫生院，三分之二的基层医疗卫生机构达到乙级标准，全部达到丙级标准。</w:t>
            </w:r>
          </w:p>
          <w:p>
            <w:pPr>
              <w:keepNext w:val="0"/>
              <w:keepLines w:val="0"/>
              <w:pageBreakBefore w:val="0"/>
              <w:kinsoku/>
              <w:wordWrap/>
              <w:topLinePunct w:val="0"/>
              <w:bidi w:val="0"/>
              <w:snapToGrid/>
              <w:spacing w:line="579" w:lineRule="exact"/>
              <w:ind w:firstLine="560" w:firstLineChars="200"/>
              <w:jc w:val="left"/>
              <w:textAlignment w:val="auto"/>
              <w:outlineLvl w:val="9"/>
              <w:rPr>
                <w:color w:val="000000"/>
                <w:sz w:val="28"/>
                <w:szCs w:val="28"/>
              </w:rPr>
            </w:pPr>
            <w:r>
              <w:rPr>
                <w:rFonts w:eastAsia="方正楷体_GBK"/>
                <w:color w:val="000000"/>
                <w:sz w:val="28"/>
                <w:szCs w:val="28"/>
              </w:rPr>
              <w:t>社区医院。</w:t>
            </w:r>
            <w:r>
              <w:rPr>
                <w:color w:val="000000"/>
                <w:sz w:val="28"/>
                <w:szCs w:val="28"/>
              </w:rPr>
              <w:t>将城东、城南、舟白街道社区卫生服务中心建成社区医院。</w:t>
            </w:r>
          </w:p>
          <w:p>
            <w:pPr>
              <w:keepNext w:val="0"/>
              <w:keepLines w:val="0"/>
              <w:pageBreakBefore w:val="0"/>
              <w:kinsoku/>
              <w:wordWrap/>
              <w:topLinePunct w:val="0"/>
              <w:bidi w:val="0"/>
              <w:snapToGrid/>
              <w:spacing w:line="579" w:lineRule="exact"/>
              <w:ind w:firstLine="560" w:firstLineChars="200"/>
              <w:jc w:val="left"/>
              <w:textAlignment w:val="auto"/>
              <w:outlineLvl w:val="9"/>
              <w:rPr>
                <w:color w:val="000000"/>
                <w:sz w:val="28"/>
                <w:szCs w:val="28"/>
              </w:rPr>
            </w:pPr>
            <w:r>
              <w:rPr>
                <w:rFonts w:eastAsia="方正楷体_GBK"/>
                <w:color w:val="000000"/>
                <w:sz w:val="28"/>
                <w:szCs w:val="28"/>
              </w:rPr>
              <w:t>星级卫生室。</w:t>
            </w:r>
            <w:r>
              <w:rPr>
                <w:color w:val="000000"/>
                <w:sz w:val="28"/>
                <w:szCs w:val="28"/>
              </w:rPr>
              <w:t>全区五星级、四星级、三星级行政村卫生室占比分别达到25%、50%、100%。</w:t>
            </w:r>
          </w:p>
          <w:p>
            <w:pPr>
              <w:keepNext w:val="0"/>
              <w:keepLines w:val="0"/>
              <w:pageBreakBefore w:val="0"/>
              <w:kinsoku/>
              <w:wordWrap/>
              <w:topLinePunct w:val="0"/>
              <w:bidi w:val="0"/>
              <w:snapToGrid/>
              <w:spacing w:line="579" w:lineRule="exact"/>
              <w:ind w:firstLine="560" w:firstLineChars="200"/>
              <w:jc w:val="left"/>
              <w:textAlignment w:val="auto"/>
              <w:outlineLvl w:val="9"/>
              <w:rPr>
                <w:color w:val="000000"/>
                <w:sz w:val="28"/>
                <w:szCs w:val="28"/>
              </w:rPr>
            </w:pPr>
            <w:r>
              <w:rPr>
                <w:rFonts w:eastAsia="方正楷体_GBK"/>
                <w:color w:val="000000"/>
                <w:sz w:val="28"/>
                <w:szCs w:val="28"/>
              </w:rPr>
              <w:t>“美丽医院”。</w:t>
            </w:r>
            <w:r>
              <w:rPr>
                <w:color w:val="000000"/>
                <w:sz w:val="28"/>
                <w:szCs w:val="28"/>
              </w:rPr>
              <w:t>巩固舟白街道社区卫生服务中心建设成果，将中心医院、区中医院、民族医院，城东、城南街道社区卫生服务中心，金溪、黄溪、濯水、马喇、石会等卫生院建成“美丽医院”。</w:t>
            </w:r>
          </w:p>
        </w:tc>
      </w:tr>
    </w:tbl>
    <w:p>
      <w:pPr>
        <w:keepNext w:val="0"/>
        <w:keepLines w:val="0"/>
        <w:pageBreakBefore w:val="0"/>
        <w:kinsoku/>
        <w:wordWrap/>
        <w:topLinePunct w:val="0"/>
        <w:bidi w:val="0"/>
        <w:snapToGrid/>
        <w:spacing w:line="579" w:lineRule="exact"/>
        <w:ind w:firstLine="640" w:firstLineChars="200"/>
        <w:jc w:val="left"/>
        <w:textAlignment w:val="auto"/>
        <w:outlineLvl w:val="9"/>
        <w:rPr>
          <w:rFonts w:eastAsia="方正楷体_GBK"/>
          <w:bCs/>
          <w:color w:val="000000"/>
          <w:szCs w:val="32"/>
        </w:rPr>
      </w:pPr>
      <w:r>
        <w:rPr>
          <w:rFonts w:eastAsia="方正楷体_GBK"/>
          <w:bCs/>
          <w:color w:val="000000"/>
          <w:szCs w:val="32"/>
        </w:rPr>
        <w:t>（十）实施疾控和传染病医疗救治能力提升工程</w:t>
      </w:r>
    </w:p>
    <w:p>
      <w:pPr>
        <w:keepNext w:val="0"/>
        <w:keepLines w:val="0"/>
        <w:pageBreakBefore w:val="0"/>
        <w:kinsoku/>
        <w:wordWrap/>
        <w:topLinePunct w:val="0"/>
        <w:bidi w:val="0"/>
        <w:snapToGrid/>
        <w:spacing w:line="579" w:lineRule="exact"/>
        <w:ind w:firstLine="643" w:firstLineChars="200"/>
        <w:jc w:val="left"/>
        <w:textAlignment w:val="auto"/>
        <w:outlineLvl w:val="9"/>
        <w:rPr>
          <w:color w:val="000000"/>
          <w:szCs w:val="32"/>
        </w:rPr>
      </w:pPr>
      <w:r>
        <w:rPr>
          <w:b/>
          <w:color w:val="000000"/>
          <w:szCs w:val="32"/>
        </w:rPr>
        <w:t>构筑公共卫生防控救治屏障。</w:t>
      </w:r>
      <w:r>
        <w:rPr>
          <w:color w:val="000000"/>
          <w:szCs w:val="32"/>
        </w:rPr>
        <w:t>聚焦新冠肺炎疫情防控中暴露的公共卫生特别是疾病防控救治能力短板，坚持平战结合、长短结合、专兼结合，集中力量加强疾控能力及重大传染病医疗救治能力建设，加快补短板、堵漏洞、强弱项，构筑保护人民群众健康和生命安全的公共卫生防控救治屏障。</w:t>
      </w:r>
    </w:p>
    <w:p>
      <w:pPr>
        <w:keepNext w:val="0"/>
        <w:keepLines w:val="0"/>
        <w:pageBreakBefore w:val="0"/>
        <w:widowControl w:val="0"/>
        <w:kinsoku/>
        <w:wordWrap/>
        <w:overflowPunct/>
        <w:topLinePunct w:val="0"/>
        <w:autoSpaceDE/>
        <w:autoSpaceDN/>
        <w:bidi w:val="0"/>
        <w:adjustRightInd/>
        <w:snapToGrid/>
        <w:spacing w:line="552" w:lineRule="exact"/>
        <w:ind w:firstLine="641"/>
        <w:jc w:val="left"/>
        <w:textAlignment w:val="auto"/>
        <w:outlineLvl w:val="9"/>
        <w:rPr>
          <w:color w:val="000000"/>
          <w:szCs w:val="32"/>
        </w:rPr>
      </w:pPr>
      <w:r>
        <w:rPr>
          <w:b/>
          <w:color w:val="000000"/>
          <w:szCs w:val="32"/>
        </w:rPr>
        <w:t>加强疾控能力建设。</w:t>
      </w:r>
      <w:r>
        <w:rPr>
          <w:color w:val="000000"/>
          <w:szCs w:val="32"/>
        </w:rPr>
        <w:t>增强以区疾病预防控制中心为主要载体的疾病预防控制能力。提升突发公共卫生事件、突发中毒事件的应急快速集中处置能力。提升实验室检测能力，增强应对新冠肺炎疫情的快速、大规模核酸检测能力，实现流感、手足口、麻疹风疹等常见传染病病毒分离培养及禽流感、鼠疫、艾滋病等重大传染病快速检测，扩大监测检验范围，检测参数达到500项以上。提升信息化、智慧化水平，按照“互联网+智慧实验室整体解决方案”建设智能化、数字化等多态融合的全新实验室。提升职业技术服务水平和能力，取得职业卫生技术服务乙级资质、职业病诊断机构、职业健康检查机构资质。</w:t>
      </w:r>
    </w:p>
    <w:p>
      <w:pPr>
        <w:keepNext w:val="0"/>
        <w:keepLines w:val="0"/>
        <w:pageBreakBefore w:val="0"/>
        <w:kinsoku/>
        <w:wordWrap/>
        <w:topLinePunct w:val="0"/>
        <w:bidi w:val="0"/>
        <w:snapToGrid/>
        <w:spacing w:line="579" w:lineRule="exact"/>
        <w:ind w:firstLine="643" w:firstLineChars="200"/>
        <w:jc w:val="left"/>
        <w:textAlignment w:val="auto"/>
        <w:outlineLvl w:val="9"/>
        <w:rPr>
          <w:color w:val="000000"/>
          <w:szCs w:val="32"/>
        </w:rPr>
      </w:pPr>
      <w:r>
        <w:rPr>
          <w:b/>
          <w:color w:val="000000"/>
          <w:szCs w:val="32"/>
        </w:rPr>
        <w:t>加强医疗救治能力建设。</w:t>
      </w:r>
      <w:r>
        <w:rPr>
          <w:color w:val="000000"/>
          <w:szCs w:val="32"/>
        </w:rPr>
        <w:t>按照《医疗机构基本标准》，加强医院建设规划和基础设施改造，落实院感防控要求，规范设置预检分诊场所，加强发热门诊、肠道门诊规范化建设。医疗机构按标准规范设置中医药科室，提升中西医结合防治传染病能力。</w:t>
      </w:r>
    </w:p>
    <w:p>
      <w:pPr>
        <w:keepNext w:val="0"/>
        <w:keepLines w:val="0"/>
        <w:pageBreakBefore w:val="0"/>
        <w:kinsoku/>
        <w:wordWrap/>
        <w:topLinePunct w:val="0"/>
        <w:bidi w:val="0"/>
        <w:snapToGrid/>
        <w:spacing w:line="579" w:lineRule="exact"/>
        <w:ind w:firstLine="643" w:firstLineChars="200"/>
        <w:jc w:val="left"/>
        <w:textAlignment w:val="auto"/>
        <w:outlineLvl w:val="9"/>
        <w:rPr>
          <w:color w:val="000000"/>
          <w:szCs w:val="32"/>
        </w:rPr>
      </w:pPr>
      <w:r>
        <w:rPr>
          <w:b/>
          <w:color w:val="000000"/>
          <w:szCs w:val="32"/>
        </w:rPr>
        <w:t>加强应急能力建设。</w:t>
      </w:r>
      <w:r>
        <w:rPr>
          <w:color w:val="000000"/>
          <w:szCs w:val="32"/>
        </w:rPr>
        <w:t>依托中心医院建设重大疫情救治基地，承担渝东南片区危重症患者集中救治任务。健全完善公共卫生事件应急指挥体系、公共卫生监测预警体系、应急医疗救治体系、应急物资保障体系。建成渝东南公共卫生应急处置实训基地。完善公共卫生应急预案，建成紧急医学救援、突发急性传染病防控、突发中毒事件处置3个专业的标准化卫生应急队伍，中心医院、区中医院、区疾控中心至少建成1只背囊化快速反应小分队，各级各类医疗卫生机构建立完善卫生应急队伍。强化应急医疗物资储备，完善突发事件应急医疗物资储备体系和应急调用机制，落实医疗卫生机构应急基本物资储备。</w:t>
      </w:r>
    </w:p>
    <w:p>
      <w:pPr>
        <w:pStyle w:val="18"/>
        <w:keepNext w:val="0"/>
        <w:keepLines w:val="0"/>
        <w:pageBreakBefore w:val="0"/>
        <w:kinsoku/>
        <w:wordWrap/>
        <w:topLinePunct w:val="0"/>
        <w:bidi w:val="0"/>
        <w:snapToGrid/>
        <w:spacing w:line="579" w:lineRule="exact"/>
        <w:jc w:val="center"/>
        <w:textAlignment w:val="auto"/>
        <w:outlineLvl w:val="9"/>
        <w:rPr>
          <w:rFonts w:ascii="Times New Roman" w:cs="Times New Roman"/>
          <w:sz w:val="32"/>
          <w:szCs w:val="32"/>
        </w:rPr>
      </w:pPr>
      <w:r>
        <w:rPr>
          <w:rFonts w:ascii="Times New Roman" w:eastAsia="方正黑体_GBK" w:cs="Times New Roman"/>
          <w:sz w:val="32"/>
          <w:szCs w:val="32"/>
        </w:rPr>
        <w:t>专栏7  疾控能力及重大传染病医疗救治能力建设项目</w:t>
      </w:r>
    </w:p>
    <w:tbl>
      <w:tblPr>
        <w:tblStyle w:val="14"/>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9060" w:type="dxa"/>
            <w:vAlign w:val="center"/>
          </w:tcPr>
          <w:p>
            <w:pPr>
              <w:pStyle w:val="28"/>
              <w:keepNext w:val="0"/>
              <w:keepLines w:val="0"/>
              <w:pageBreakBefore w:val="0"/>
              <w:widowControl w:val="0"/>
              <w:kinsoku/>
              <w:wordWrap/>
              <w:overflowPunct/>
              <w:topLinePunct w:val="0"/>
              <w:autoSpaceDE/>
              <w:autoSpaceDN/>
              <w:bidi w:val="0"/>
              <w:adjustRightInd/>
              <w:snapToGrid/>
              <w:spacing w:line="380" w:lineRule="exact"/>
              <w:ind w:firstLine="560"/>
              <w:textAlignment w:val="auto"/>
              <w:outlineLvl w:val="9"/>
              <w:rPr>
                <w:rFonts w:ascii="Times New Roman" w:hAnsi="Times New Roman"/>
                <w:color w:val="000000"/>
                <w:sz w:val="28"/>
                <w:szCs w:val="28"/>
              </w:rPr>
            </w:pPr>
            <w:r>
              <w:rPr>
                <w:rFonts w:ascii="Times New Roman" w:hAnsi="Times New Roman" w:eastAsia="方正楷体_GBK"/>
                <w:color w:val="000000"/>
                <w:sz w:val="28"/>
                <w:szCs w:val="28"/>
              </w:rPr>
              <w:t>实验室建设。</w:t>
            </w:r>
            <w:r>
              <w:rPr>
                <w:rFonts w:ascii="Times New Roman" w:hAnsi="Times New Roman"/>
                <w:color w:val="000000"/>
                <w:sz w:val="28"/>
                <w:szCs w:val="28"/>
              </w:rPr>
              <w:t>按照渝东南区域中心实验室功能配置区疾控中心实验室设备。建成移动生物安全二级实验室。二级以上医疗机构实验室达到生物安全二级水平。</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jc w:val="left"/>
              <w:textAlignment w:val="auto"/>
              <w:outlineLvl w:val="9"/>
              <w:rPr>
                <w:color w:val="000000"/>
                <w:sz w:val="28"/>
                <w:szCs w:val="28"/>
              </w:rPr>
            </w:pPr>
            <w:r>
              <w:rPr>
                <w:rFonts w:eastAsia="方正楷体_GBK"/>
                <w:color w:val="000000"/>
                <w:sz w:val="28"/>
                <w:szCs w:val="28"/>
              </w:rPr>
              <w:t>医疗机构重大传染病诊治床位和设备配备。</w:t>
            </w:r>
            <w:r>
              <w:rPr>
                <w:color w:val="000000"/>
                <w:sz w:val="28"/>
                <w:szCs w:val="28"/>
              </w:rPr>
              <w:t>每千名常住人口传染病床位达0.2张以上，中心医院、民族医院重症医学床位占医院总床位数比例达2%，配置计算机X射线断层摄影机（CT）、数字化X射线摄影机（DR）、呼吸机、全自动生化仪、核酸检测设备等。</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jc w:val="left"/>
              <w:textAlignment w:val="auto"/>
              <w:outlineLvl w:val="9"/>
              <w:rPr>
                <w:color w:val="000000"/>
                <w:sz w:val="28"/>
                <w:szCs w:val="28"/>
              </w:rPr>
            </w:pPr>
            <w:r>
              <w:rPr>
                <w:rFonts w:eastAsia="方正楷体_GBK"/>
                <w:color w:val="000000"/>
                <w:sz w:val="28"/>
                <w:szCs w:val="28"/>
              </w:rPr>
              <w:t>重大疫情救治基地。</w:t>
            </w:r>
            <w:r>
              <w:rPr>
                <w:color w:val="000000"/>
                <w:sz w:val="28"/>
                <w:szCs w:val="28"/>
              </w:rPr>
              <w:t>依托中心医院建设武陵山区域医疗中心（应急医院），建成固定床位150张、应急床位450张，按照每床位不低于1.4人的标准配置卫生技术人员。</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outlineLvl w:val="9"/>
              <w:rPr>
                <w:color w:val="000000"/>
                <w:sz w:val="28"/>
                <w:szCs w:val="28"/>
              </w:rPr>
            </w:pPr>
            <w:r>
              <w:rPr>
                <w:rFonts w:eastAsia="方正楷体_GBK"/>
                <w:color w:val="000000"/>
                <w:sz w:val="28"/>
                <w:szCs w:val="28"/>
              </w:rPr>
              <w:t>医院感染性疾病病区规范化建设。</w:t>
            </w:r>
            <w:r>
              <w:rPr>
                <w:color w:val="000000"/>
                <w:sz w:val="28"/>
                <w:szCs w:val="28"/>
              </w:rPr>
              <w:t>实施感染性疾病病区（房）的规范化建设和改造，具备在疫情发生时能迅速开放不低于50张传染病病床能力，中心医院、区中医院、民族医院感染性疾病科按照每床位不低于0.8人的标准配置卫生技术人员，配套设置负压病房2—10间、负压手术室1间、负压救护车1辆（含负压担架）。</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jc w:val="left"/>
              <w:textAlignment w:val="auto"/>
              <w:outlineLvl w:val="9"/>
              <w:rPr>
                <w:color w:val="000000"/>
                <w:sz w:val="28"/>
                <w:szCs w:val="28"/>
              </w:rPr>
            </w:pPr>
            <w:r>
              <w:rPr>
                <w:rFonts w:eastAsia="方正楷体_GBK"/>
                <w:color w:val="000000"/>
                <w:sz w:val="28"/>
                <w:szCs w:val="28"/>
              </w:rPr>
              <w:t>发热、</w:t>
            </w:r>
            <w:r>
              <w:rPr>
                <w:rFonts w:eastAsia="方正楷体_GBK"/>
                <w:color w:val="000000"/>
                <w:spacing w:val="-2"/>
                <w:sz w:val="28"/>
                <w:szCs w:val="28"/>
              </w:rPr>
              <w:t>肠道门诊等监测哨点布局。</w:t>
            </w:r>
            <w:r>
              <w:rPr>
                <w:color w:val="000000"/>
                <w:spacing w:val="-2"/>
                <w:sz w:val="28"/>
                <w:szCs w:val="28"/>
              </w:rPr>
              <w:t>中心乡镇卫生院、有条件的社区卫生服务中心设立发热门诊，普通乡镇卫生院、社区卫生服务中心设立标准化的发热诊室、哨点，肠道门诊全面达到规范化，配置数字化检验检查设备。</w:t>
            </w:r>
          </w:p>
        </w:tc>
      </w:tr>
    </w:tbl>
    <w:p>
      <w:pPr>
        <w:keepNext w:val="0"/>
        <w:keepLines w:val="0"/>
        <w:pageBreakBefore w:val="0"/>
        <w:kinsoku/>
        <w:wordWrap/>
        <w:topLinePunct w:val="0"/>
        <w:bidi w:val="0"/>
        <w:snapToGrid/>
        <w:spacing w:line="579" w:lineRule="exact"/>
        <w:ind w:firstLine="640" w:firstLineChars="200"/>
        <w:textAlignment w:val="auto"/>
        <w:outlineLvl w:val="9"/>
        <w:rPr>
          <w:color w:val="000000"/>
          <w:szCs w:val="32"/>
        </w:rPr>
      </w:pPr>
      <w:r>
        <w:rPr>
          <w:rFonts w:eastAsia="方正楷体_GBK"/>
          <w:bCs/>
          <w:color w:val="000000"/>
          <w:szCs w:val="32"/>
        </w:rPr>
        <w:t>（十一）实施事业发展保障工程</w:t>
      </w:r>
    </w:p>
    <w:p>
      <w:pPr>
        <w:keepNext w:val="0"/>
        <w:keepLines w:val="0"/>
        <w:pageBreakBefore w:val="0"/>
        <w:widowControl w:val="0"/>
        <w:kinsoku/>
        <w:wordWrap/>
        <w:overflowPunct/>
        <w:topLinePunct w:val="0"/>
        <w:autoSpaceDE/>
        <w:autoSpaceDN/>
        <w:bidi w:val="0"/>
        <w:adjustRightInd/>
        <w:snapToGrid/>
        <w:spacing w:line="552" w:lineRule="exact"/>
        <w:ind w:firstLine="643" w:firstLineChars="200"/>
        <w:jc w:val="left"/>
        <w:textAlignment w:val="auto"/>
        <w:outlineLvl w:val="9"/>
        <w:rPr>
          <w:color w:val="000000"/>
          <w:szCs w:val="32"/>
        </w:rPr>
      </w:pPr>
      <w:r>
        <w:rPr>
          <w:b/>
          <w:color w:val="000000"/>
          <w:szCs w:val="32"/>
        </w:rPr>
        <w:t>提高卫生健康治理水平。</w:t>
      </w:r>
      <w:r>
        <w:rPr>
          <w:color w:val="000000"/>
          <w:szCs w:val="32"/>
        </w:rPr>
        <w:t>转变卫生健康行政部门职能、工作方式和工作作风，发挥在法治建设、行业规划、标准制定、行业准入、行政执法等方面的主导作用。深入推进医疗卫生领域“放管服”改革，全面公开卫生健康行政审批清单、责任清单和权力运行流程图，优化审批流程，提高审批效率。健全公立医院、公共卫生机构、基层医疗卫生机构绩效评价制度，以正向激励机制引导卫生健康服务从注重数量向注重质量转变。建立涵盖资源配置、服务提供、绩效考核等在内的医共体运营管理规范，促进医疗卫生资源合理利用和工作绩效。</w:t>
      </w:r>
    </w:p>
    <w:p>
      <w:pPr>
        <w:keepNext w:val="0"/>
        <w:keepLines w:val="0"/>
        <w:pageBreakBefore w:val="0"/>
        <w:kinsoku/>
        <w:wordWrap/>
        <w:topLinePunct w:val="0"/>
        <w:bidi w:val="0"/>
        <w:snapToGrid/>
        <w:spacing w:line="579" w:lineRule="exact"/>
        <w:ind w:firstLine="643" w:firstLineChars="200"/>
        <w:jc w:val="left"/>
        <w:textAlignment w:val="auto"/>
        <w:outlineLvl w:val="9"/>
        <w:rPr>
          <w:color w:val="000000"/>
          <w:szCs w:val="32"/>
        </w:rPr>
      </w:pPr>
      <w:r>
        <w:rPr>
          <w:b/>
          <w:color w:val="000000"/>
          <w:szCs w:val="32"/>
        </w:rPr>
        <w:t>完善专业人才培养体系。</w:t>
      </w:r>
      <w:r>
        <w:rPr>
          <w:color w:val="000000"/>
          <w:szCs w:val="32"/>
        </w:rPr>
        <w:t>用足用活我区高端人才引进支持政策，以支撑学科专科发展为需求，采取考核招聘的方式大力引进学科带头人、中青年骨干和医院高级管理人员，加大对研究生学历人才引进力度，实施高层次卫生人才队伍建设工程。有计划安排人员到上级医院学习进修，鼓励在职人员参加医学继续教育和攻读硕士、博士学位。有计划开展卫生应急、现场流行病学、精神卫生等急需紧缺人才的培养。加强以全科医生为重点的基层卫生人才队伍建设，支持在基层医疗卫生机构工作的临床医学本科毕业生的成长和发展。加强护理队伍建设，充实基层医疗卫生机构招聘护理专业人员。加强乡村医生队伍建设，破解村卫生室缺乡村医生的问题。</w:t>
      </w:r>
    </w:p>
    <w:p>
      <w:pPr>
        <w:keepNext w:val="0"/>
        <w:keepLines w:val="0"/>
        <w:pageBreakBefore w:val="0"/>
        <w:kinsoku/>
        <w:wordWrap/>
        <w:topLinePunct w:val="0"/>
        <w:bidi w:val="0"/>
        <w:snapToGrid/>
        <w:spacing w:line="579" w:lineRule="exact"/>
        <w:ind w:firstLine="643" w:firstLineChars="200"/>
        <w:jc w:val="left"/>
        <w:textAlignment w:val="auto"/>
        <w:outlineLvl w:val="9"/>
        <w:rPr>
          <w:color w:val="000000"/>
          <w:szCs w:val="32"/>
        </w:rPr>
      </w:pPr>
      <w:r>
        <w:rPr>
          <w:b/>
          <w:color w:val="000000"/>
          <w:szCs w:val="32"/>
        </w:rPr>
        <w:t>增强信息化保障能力。</w:t>
      </w:r>
      <w:r>
        <w:rPr>
          <w:color w:val="000000"/>
          <w:szCs w:val="32"/>
        </w:rPr>
        <w:t>着眼解决全区卫生健康系统信息化建设零散和层次低的问题，探索统一规划、统筹建设的工作路径和建设资金筹集机制，建立与医共体运行方式相适应的卫生健康信息支撑体系。完善全民健康信息平台功能，提升对医疗卫生机构业务运行的支撑力、数据集成和互联互通水平，适时推动数据上重庆市卫生健康委搭建的“卫生健康云”。整合医疗服务和公共卫生信息，实现居民个人健康档案信息“一人一档”自动归集和动态更新。推动“互联网+医疗健康”发展，将中心医院、区中医院、民族医院建成“智慧医院”。推进中医药信息化与智能化发展。增强传染病等疾病的智能监测，围绕便民惠民、减少公共卫生工作人力投入，大力开发应用信息服务“终端”。完善卫生健康机构视频监控系统。加强卫生信息安全保障。</w:t>
      </w:r>
    </w:p>
    <w:p>
      <w:pPr>
        <w:keepNext w:val="0"/>
        <w:keepLines w:val="0"/>
        <w:pageBreakBefore w:val="0"/>
        <w:kinsoku/>
        <w:wordWrap/>
        <w:topLinePunct w:val="0"/>
        <w:bidi w:val="0"/>
        <w:snapToGrid/>
        <w:spacing w:line="579" w:lineRule="exact"/>
        <w:ind w:firstLine="624"/>
        <w:jc w:val="left"/>
        <w:textAlignment w:val="auto"/>
        <w:outlineLvl w:val="9"/>
        <w:rPr>
          <w:color w:val="000000"/>
          <w:szCs w:val="32"/>
        </w:rPr>
      </w:pPr>
      <w:r>
        <w:rPr>
          <w:b/>
          <w:color w:val="000000"/>
          <w:szCs w:val="32"/>
        </w:rPr>
        <w:t>营造良好发展环境。</w:t>
      </w:r>
      <w:r>
        <w:rPr>
          <w:color w:val="000000"/>
          <w:szCs w:val="32"/>
        </w:rPr>
        <w:t>强化“大卫生、大健康”理念，践行以病人为中心，实施一批便民惠民措施，增进群众对医疗卫生服务的获得感。加强医德医风、行业作风建设，强化廉政风险防控和医护人员个人信用体系建设，完善重大案件问责、违规事件通报、不良执业行为记录等制度。提高居民科学就医意识和能力，引导公众合理利用医疗卫生资源。落实“两个允许”要求逐步增加医务人员薪酬待遇，提升医务人员发展空间、执业环境、社会地位，关心爱护医务人员身心健康，营造全社会尊医重卫的良好风气。发挥医学会、护理学会、中医药学会等社会组织在行业自律、人才培养和第三方评价等方面作用。推进院内调解、人民调解、司法调解、医疗责任险机制建设，构建和谐医患关系。深化“平安医院”建设，维护正常医疗秩序。</w:t>
      </w:r>
    </w:p>
    <w:p>
      <w:pPr>
        <w:keepNext w:val="0"/>
        <w:keepLines w:val="0"/>
        <w:pageBreakBefore w:val="0"/>
        <w:kinsoku/>
        <w:wordWrap/>
        <w:topLinePunct w:val="0"/>
        <w:bidi w:val="0"/>
        <w:snapToGrid/>
        <w:spacing w:line="579" w:lineRule="exact"/>
        <w:ind w:firstLine="624"/>
        <w:textAlignment w:val="auto"/>
        <w:outlineLvl w:val="9"/>
        <w:rPr>
          <w:color w:val="000000"/>
          <w:szCs w:val="32"/>
        </w:rPr>
      </w:pPr>
      <w:r>
        <w:rPr>
          <w:b/>
          <w:color w:val="000000"/>
          <w:szCs w:val="32"/>
        </w:rPr>
        <w:t>加强合作发展。</w:t>
      </w:r>
      <w:r>
        <w:rPr>
          <w:color w:val="000000"/>
          <w:spacing w:val="2"/>
          <w:szCs w:val="32"/>
        </w:rPr>
        <w:t>全面融入成渝地区双城经济圈建设，加强与重庆高新区、永川区医疗卫生发展合作，加强与成渝地区高水平医院和医学院校、科研院所协作发展。深化渝鲁健康协作，做实对口支医项目。加强渝东南和武陵山片区医疗卫生交流和协作发展。</w:t>
      </w:r>
    </w:p>
    <w:p>
      <w:pPr>
        <w:keepNext w:val="0"/>
        <w:keepLines w:val="0"/>
        <w:pageBreakBefore w:val="0"/>
        <w:kinsoku/>
        <w:wordWrap/>
        <w:topLinePunct w:val="0"/>
        <w:bidi w:val="0"/>
        <w:snapToGrid/>
        <w:spacing w:line="579" w:lineRule="exact"/>
        <w:ind w:firstLine="640" w:firstLineChars="200"/>
        <w:jc w:val="left"/>
        <w:textAlignment w:val="auto"/>
        <w:outlineLvl w:val="9"/>
        <w:rPr>
          <w:rFonts w:eastAsia="方正黑体_GBK"/>
          <w:color w:val="000000"/>
          <w:szCs w:val="32"/>
        </w:rPr>
      </w:pPr>
      <w:r>
        <w:rPr>
          <w:rFonts w:eastAsia="方正黑体_GBK"/>
          <w:color w:val="000000"/>
          <w:szCs w:val="32"/>
        </w:rPr>
        <w:t>四、保障措施</w:t>
      </w:r>
    </w:p>
    <w:p>
      <w:pPr>
        <w:pStyle w:val="12"/>
        <w:keepNext w:val="0"/>
        <w:keepLines w:val="0"/>
        <w:pageBreakBefore w:val="0"/>
        <w:kinsoku/>
        <w:wordWrap/>
        <w:topLinePunct w:val="0"/>
        <w:bidi w:val="0"/>
        <w:snapToGrid/>
        <w:spacing w:line="579" w:lineRule="exact"/>
        <w:ind w:firstLine="640" w:firstLineChars="200"/>
        <w:textAlignment w:val="auto"/>
        <w:outlineLvl w:val="9"/>
        <w:rPr>
          <w:color w:val="000000"/>
          <w:kern w:val="2"/>
          <w:sz w:val="32"/>
          <w:szCs w:val="32"/>
        </w:rPr>
      </w:pPr>
      <w:r>
        <w:rPr>
          <w:rFonts w:eastAsia="方正楷体_GBK"/>
          <w:bCs/>
          <w:color w:val="000000"/>
          <w:sz w:val="32"/>
          <w:szCs w:val="32"/>
        </w:rPr>
        <w:t>（一）强化组织领导</w:t>
      </w:r>
    </w:p>
    <w:p>
      <w:pPr>
        <w:keepNext w:val="0"/>
        <w:keepLines w:val="0"/>
        <w:pageBreakBefore w:val="0"/>
        <w:kinsoku/>
        <w:wordWrap/>
        <w:topLinePunct w:val="0"/>
        <w:bidi w:val="0"/>
        <w:snapToGrid/>
        <w:spacing w:line="579" w:lineRule="exact"/>
        <w:ind w:firstLine="624"/>
        <w:jc w:val="left"/>
        <w:textAlignment w:val="auto"/>
        <w:outlineLvl w:val="9"/>
        <w:rPr>
          <w:color w:val="000000"/>
          <w:szCs w:val="32"/>
        </w:rPr>
      </w:pPr>
      <w:r>
        <w:rPr>
          <w:color w:val="000000"/>
          <w:szCs w:val="32"/>
        </w:rPr>
        <w:t>加强党的全面领导，加强卫生健康机构党的建设工作。把人民健康放在优先发展的战略地位，把健康融入所有政策，加快补齐医疗卫生发展短板，增进人民健康福祉。将卫生健康事业规划确定的主要目标和指标纳入全区经济社会发展规划，对主要指标设置年度目标，有序推进各项重点工作。区级各有关部门要各尽其责，密切配合，形成工作合力，卫生健康、医保、发展改革、财政、编制、人力资源社会保障、教育、科技、经济信息化、民政、规划资源等部门按照各自职责，共同推进规划落实。</w:t>
      </w:r>
    </w:p>
    <w:p>
      <w:pPr>
        <w:keepNext w:val="0"/>
        <w:keepLines w:val="0"/>
        <w:pageBreakBefore w:val="0"/>
        <w:kinsoku/>
        <w:wordWrap/>
        <w:topLinePunct w:val="0"/>
        <w:bidi w:val="0"/>
        <w:snapToGrid/>
        <w:spacing w:line="579" w:lineRule="exact"/>
        <w:ind w:firstLine="640" w:firstLineChars="200"/>
        <w:jc w:val="left"/>
        <w:textAlignment w:val="auto"/>
        <w:outlineLvl w:val="9"/>
        <w:rPr>
          <w:rFonts w:eastAsia="方正楷体_GBK"/>
          <w:color w:val="000000"/>
          <w:szCs w:val="32"/>
        </w:rPr>
      </w:pPr>
      <w:r>
        <w:rPr>
          <w:rFonts w:eastAsia="方正楷体_GBK"/>
          <w:color w:val="000000"/>
          <w:szCs w:val="32"/>
        </w:rPr>
        <w:t>（二）完善投入机制</w:t>
      </w:r>
    </w:p>
    <w:p>
      <w:pPr>
        <w:keepNext w:val="0"/>
        <w:keepLines w:val="0"/>
        <w:pageBreakBefore w:val="0"/>
        <w:kinsoku/>
        <w:wordWrap/>
        <w:topLinePunct w:val="0"/>
        <w:bidi w:val="0"/>
        <w:snapToGrid/>
        <w:spacing w:line="579" w:lineRule="exact"/>
        <w:ind w:firstLine="640" w:firstLineChars="200"/>
        <w:textAlignment w:val="auto"/>
        <w:outlineLvl w:val="9"/>
        <w:rPr>
          <w:color w:val="000000"/>
          <w:szCs w:val="32"/>
        </w:rPr>
      </w:pPr>
      <w:r>
        <w:rPr>
          <w:color w:val="000000"/>
          <w:szCs w:val="32"/>
        </w:rPr>
        <w:t>完善政府主导的多元化卫生健康筹资机制，强化政府在提供基本医疗、公共卫生、计生惠民等服务中的主导地位，强化政府对卫生健康基本公共服务的投入责任, 建立稳定的公共卫生事业投入机制，引导社会资本参与发展卫生健康事业。完善各类公立和公益性医疗卫生健康机构财政补偿政策，健全政府购买卫生健康服务机制。完善政府卫生投入结构，重点支持基层卫生、公共卫生、基本医疗保障等，切实加强卫生健康基础设施建设和卫生健康人才培养等工作。坚持加大投入与创新机制并重，统筹财政投入和医疗保险基金合力，探索形成“政府主导、公益性质、市场机制、购买服务”的投入保障。</w:t>
      </w:r>
    </w:p>
    <w:p>
      <w:pPr>
        <w:keepNext w:val="0"/>
        <w:keepLines w:val="0"/>
        <w:pageBreakBefore w:val="0"/>
        <w:kinsoku/>
        <w:wordWrap/>
        <w:topLinePunct w:val="0"/>
        <w:bidi w:val="0"/>
        <w:snapToGrid/>
        <w:spacing w:line="579" w:lineRule="exact"/>
        <w:ind w:firstLine="640" w:firstLineChars="200"/>
        <w:jc w:val="left"/>
        <w:textAlignment w:val="auto"/>
        <w:outlineLvl w:val="9"/>
        <w:rPr>
          <w:rFonts w:eastAsia="方正楷体_GBK"/>
          <w:color w:val="000000"/>
          <w:szCs w:val="32"/>
        </w:rPr>
      </w:pPr>
      <w:r>
        <w:rPr>
          <w:rFonts w:eastAsia="方正楷体_GBK"/>
          <w:color w:val="000000"/>
          <w:szCs w:val="32"/>
        </w:rPr>
        <w:t>（三）加强监测评估</w:t>
      </w:r>
    </w:p>
    <w:p>
      <w:pPr>
        <w:keepNext w:val="0"/>
        <w:keepLines w:val="0"/>
        <w:pageBreakBefore w:val="0"/>
        <w:kinsoku/>
        <w:wordWrap/>
        <w:topLinePunct w:val="0"/>
        <w:bidi w:val="0"/>
        <w:snapToGrid/>
        <w:spacing w:line="579" w:lineRule="exact"/>
        <w:ind w:firstLine="624"/>
        <w:textAlignment w:val="auto"/>
        <w:outlineLvl w:val="9"/>
        <w:rPr>
          <w:color w:val="000000"/>
          <w:szCs w:val="32"/>
        </w:rPr>
      </w:pPr>
      <w:r>
        <w:rPr>
          <w:color w:val="000000"/>
          <w:szCs w:val="32"/>
        </w:rPr>
        <w:t>充分发挥规划引领作用，在重大项目审批、医疗卫生要素准入等方面严格管理，强化规划的约束力。规范项目准入与实施，建立“规划带项目，项目带资金”的管理机制，监督重大项目的执行情况，彰显规划刚性。健全规划实施情况监测评估机制，加强规划实施中的督导，定期对规划实施进度及效果开展阶段评估，按要求开展规划年度评估、中期评估和终期评估，及时发现规划实施中的问题，确保规划目标和重点工作任务实现。</w:t>
      </w:r>
    </w:p>
    <w:p>
      <w:pPr>
        <w:rPr>
          <w:color w:val="000000"/>
        </w:rPr>
      </w:pPr>
    </w:p>
    <w:p>
      <w:pPr>
        <w:pStyle w:val="18"/>
        <w:rPr>
          <w:rFonts w:ascii="Times New Roman" w:cs="Times New Roman"/>
        </w:rPr>
      </w:pPr>
    </w:p>
    <w:p>
      <w:pPr>
        <w:pStyle w:val="18"/>
        <w:rPr>
          <w:rFonts w:ascii="Times New Roman" w:cs="Times New Roman"/>
        </w:rPr>
      </w:pPr>
    </w:p>
    <w:p>
      <w:pPr>
        <w:pStyle w:val="18"/>
        <w:rPr>
          <w:rFonts w:ascii="Times New Roman" w:cs="Times New Roman"/>
        </w:rPr>
        <w:sectPr>
          <w:footerReference r:id="rId5" w:type="default"/>
          <w:footerReference r:id="rId6" w:type="even"/>
          <w:pgSz w:w="11906" w:h="16838"/>
          <w:pgMar w:top="2098" w:right="1474" w:bottom="1984" w:left="1588" w:header="1418" w:footer="1304" w:gutter="0"/>
          <w:cols w:space="720" w:num="1"/>
          <w:docGrid w:linePitch="435" w:charSpace="0"/>
        </w:sectPr>
      </w:pPr>
    </w:p>
    <w:p>
      <w:pPr>
        <w:rPr>
          <w:color w:val="000000"/>
        </w:rPr>
      </w:pPr>
      <w:r>
        <w:rPr>
          <w:rFonts w:eastAsia="方正小标宋_GBK"/>
          <w:color w:val="000000"/>
          <w:kern w:val="0"/>
          <w:sz w:val="30"/>
          <w:szCs w:val="30"/>
          <w:lang w:bidi="ar"/>
        </w:rPr>
        <w:t>附表</w:t>
      </w:r>
      <w:r>
        <w:rPr>
          <w:rFonts w:eastAsia="方正小标宋_GBK"/>
          <w:color w:val="000000"/>
          <w:kern w:val="0"/>
          <w:sz w:val="36"/>
          <w:szCs w:val="36"/>
          <w:lang w:bidi="ar"/>
        </w:rPr>
        <w:t xml:space="preserve">            黔江区卫生健康发展“十四五”规划重大工程项目表</w:t>
      </w:r>
    </w:p>
    <w:tbl>
      <w:tblPr>
        <w:tblStyle w:val="14"/>
        <w:tblW w:w="13806" w:type="dxa"/>
        <w:tblInd w:w="0" w:type="dxa"/>
        <w:tblLayout w:type="fixed"/>
        <w:tblCellMar>
          <w:top w:w="0" w:type="dxa"/>
          <w:left w:w="0" w:type="dxa"/>
          <w:bottom w:w="0" w:type="dxa"/>
          <w:right w:w="0" w:type="dxa"/>
        </w:tblCellMar>
      </w:tblPr>
      <w:tblGrid>
        <w:gridCol w:w="595"/>
        <w:gridCol w:w="2503"/>
        <w:gridCol w:w="4242"/>
        <w:gridCol w:w="1008"/>
        <w:gridCol w:w="919"/>
        <w:gridCol w:w="1046"/>
        <w:gridCol w:w="845"/>
        <w:gridCol w:w="1508"/>
        <w:gridCol w:w="1140"/>
      </w:tblGrid>
      <w:tr>
        <w:tblPrEx>
          <w:tblLayout w:type="fixed"/>
          <w:tblCellMar>
            <w:top w:w="0" w:type="dxa"/>
            <w:left w:w="0" w:type="dxa"/>
            <w:bottom w:w="0" w:type="dxa"/>
            <w:right w:w="0" w:type="dxa"/>
          </w:tblCellMar>
        </w:tblPrEx>
        <w:trPr>
          <w:trHeight w:val="500" w:hRule="atLeast"/>
          <w:tblHeader/>
        </w:trPr>
        <w:tc>
          <w:tcPr>
            <w:tcW w:w="5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黑体_GBK"/>
                <w:color w:val="000000"/>
                <w:sz w:val="24"/>
                <w:szCs w:val="24"/>
              </w:rPr>
            </w:pPr>
            <w:r>
              <w:rPr>
                <w:rFonts w:eastAsia="方正黑体_GBK"/>
                <w:color w:val="000000"/>
                <w:kern w:val="0"/>
                <w:sz w:val="24"/>
                <w:szCs w:val="24"/>
                <w:lang w:bidi="ar"/>
              </w:rPr>
              <w:t>序号</w:t>
            </w:r>
          </w:p>
        </w:tc>
        <w:tc>
          <w:tcPr>
            <w:tcW w:w="2503"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黑体_GBK"/>
                <w:color w:val="000000"/>
                <w:sz w:val="24"/>
                <w:szCs w:val="24"/>
              </w:rPr>
            </w:pPr>
            <w:r>
              <w:rPr>
                <w:rFonts w:eastAsia="方正黑体_GBK"/>
                <w:color w:val="000000"/>
                <w:kern w:val="0"/>
                <w:sz w:val="24"/>
                <w:szCs w:val="24"/>
                <w:lang w:bidi="ar"/>
              </w:rPr>
              <w:t>项目名称</w:t>
            </w:r>
          </w:p>
        </w:tc>
        <w:tc>
          <w:tcPr>
            <w:tcW w:w="424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黑体_GBK"/>
                <w:color w:val="000000"/>
                <w:sz w:val="24"/>
                <w:szCs w:val="24"/>
              </w:rPr>
            </w:pPr>
            <w:r>
              <w:rPr>
                <w:rFonts w:eastAsia="方正黑体_GBK"/>
                <w:color w:val="000000"/>
                <w:kern w:val="0"/>
                <w:sz w:val="24"/>
                <w:szCs w:val="24"/>
                <w:lang w:bidi="ar"/>
              </w:rPr>
              <w:t>建设内容</w:t>
            </w:r>
          </w:p>
        </w:tc>
        <w:tc>
          <w:tcPr>
            <w:tcW w:w="10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黑体_GBK"/>
                <w:color w:val="000000"/>
                <w:sz w:val="24"/>
                <w:szCs w:val="24"/>
              </w:rPr>
            </w:pPr>
            <w:r>
              <w:rPr>
                <w:rFonts w:eastAsia="方正黑体_GBK"/>
                <w:color w:val="000000"/>
                <w:kern w:val="0"/>
                <w:sz w:val="24"/>
                <w:szCs w:val="24"/>
                <w:lang w:bidi="ar"/>
              </w:rPr>
              <w:t>建设</w:t>
            </w:r>
            <w:r>
              <w:rPr>
                <w:rFonts w:eastAsia="方正黑体_GBK"/>
                <w:color w:val="000000"/>
                <w:kern w:val="0"/>
                <w:sz w:val="24"/>
                <w:szCs w:val="24"/>
                <w:lang w:bidi="ar"/>
              </w:rPr>
              <w:br w:type="textWrapping"/>
            </w:r>
            <w:r>
              <w:rPr>
                <w:rFonts w:eastAsia="方正黑体_GBK"/>
                <w:color w:val="000000"/>
                <w:kern w:val="0"/>
                <w:sz w:val="24"/>
                <w:szCs w:val="24"/>
                <w:lang w:bidi="ar"/>
              </w:rPr>
              <w:t>性质</w:t>
            </w:r>
          </w:p>
        </w:tc>
        <w:tc>
          <w:tcPr>
            <w:tcW w:w="281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黑体_GBK"/>
                <w:color w:val="000000"/>
                <w:sz w:val="24"/>
                <w:szCs w:val="24"/>
              </w:rPr>
            </w:pPr>
            <w:r>
              <w:rPr>
                <w:rFonts w:eastAsia="方正黑体_GBK"/>
                <w:color w:val="000000"/>
                <w:kern w:val="0"/>
                <w:sz w:val="24"/>
                <w:szCs w:val="24"/>
                <w:lang w:bidi="ar"/>
              </w:rPr>
              <w:t>规划建设规模（m</w:t>
            </w:r>
            <w:r>
              <w:rPr>
                <w:rFonts w:eastAsia="方正黑体_GBK"/>
                <w:color w:val="000000"/>
                <w:kern w:val="0"/>
                <w:sz w:val="24"/>
                <w:szCs w:val="24"/>
                <w:vertAlign w:val="superscript"/>
                <w:lang w:bidi="ar"/>
              </w:rPr>
              <w:t>2</w:t>
            </w:r>
            <w:r>
              <w:rPr>
                <w:rFonts w:eastAsia="方正黑体_GBK"/>
                <w:color w:val="000000"/>
                <w:kern w:val="0"/>
                <w:sz w:val="24"/>
                <w:szCs w:val="24"/>
                <w:lang w:bidi="ar"/>
              </w:rPr>
              <w:t>）</w:t>
            </w:r>
          </w:p>
        </w:tc>
        <w:tc>
          <w:tcPr>
            <w:tcW w:w="1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黑体_GBK"/>
                <w:color w:val="000000"/>
                <w:sz w:val="24"/>
                <w:szCs w:val="24"/>
              </w:rPr>
            </w:pPr>
            <w:r>
              <w:rPr>
                <w:rFonts w:eastAsia="方正黑体_GBK"/>
                <w:color w:val="000000"/>
                <w:kern w:val="0"/>
                <w:sz w:val="24"/>
                <w:szCs w:val="24"/>
                <w:lang w:bidi="ar"/>
              </w:rPr>
              <w:t>规划投资建议（万元）</w:t>
            </w:r>
          </w:p>
        </w:tc>
        <w:tc>
          <w:tcPr>
            <w:tcW w:w="11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黑体_GBK"/>
                <w:color w:val="000000"/>
                <w:sz w:val="24"/>
                <w:szCs w:val="24"/>
              </w:rPr>
            </w:pPr>
            <w:r>
              <w:rPr>
                <w:rFonts w:eastAsia="方正黑体_GBK"/>
                <w:color w:val="000000"/>
                <w:kern w:val="0"/>
                <w:sz w:val="24"/>
                <w:szCs w:val="24"/>
                <w:lang w:bidi="ar"/>
              </w:rPr>
              <w:t>建设周期</w:t>
            </w:r>
          </w:p>
        </w:tc>
      </w:tr>
      <w:tr>
        <w:tblPrEx>
          <w:tblLayout w:type="fixed"/>
          <w:tblCellMar>
            <w:top w:w="0" w:type="dxa"/>
            <w:left w:w="0" w:type="dxa"/>
            <w:bottom w:w="0" w:type="dxa"/>
            <w:right w:w="0" w:type="dxa"/>
          </w:tblCellMar>
        </w:tblPrEx>
        <w:trPr>
          <w:trHeight w:val="500" w:hRule="atLeast"/>
          <w:tblHeader/>
        </w:trPr>
        <w:tc>
          <w:tcPr>
            <w:tcW w:w="5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eastAsia="方正黑体_GBK"/>
                <w:color w:val="000000"/>
                <w:sz w:val="24"/>
                <w:szCs w:val="24"/>
              </w:rPr>
            </w:pPr>
          </w:p>
        </w:tc>
        <w:tc>
          <w:tcPr>
            <w:tcW w:w="2503"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eastAsia="方正黑体_GBK"/>
                <w:color w:val="000000"/>
                <w:sz w:val="24"/>
                <w:szCs w:val="24"/>
              </w:rPr>
            </w:pPr>
          </w:p>
        </w:tc>
        <w:tc>
          <w:tcPr>
            <w:tcW w:w="42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eastAsia="方正黑体_GBK"/>
                <w:color w:val="000000"/>
                <w:sz w:val="24"/>
                <w:szCs w:val="24"/>
              </w:rPr>
            </w:pPr>
          </w:p>
        </w:tc>
        <w:tc>
          <w:tcPr>
            <w:tcW w:w="10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eastAsia="方正黑体_GBK"/>
                <w:color w:val="000000"/>
                <w:sz w:val="24"/>
                <w:szCs w:val="24"/>
              </w:rPr>
            </w:pPr>
          </w:p>
        </w:tc>
        <w:tc>
          <w:tcPr>
            <w:tcW w:w="9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黑体_GBK"/>
                <w:color w:val="000000"/>
                <w:sz w:val="24"/>
                <w:szCs w:val="24"/>
              </w:rPr>
            </w:pPr>
            <w:r>
              <w:rPr>
                <w:rFonts w:eastAsia="方正黑体_GBK"/>
                <w:color w:val="000000"/>
                <w:kern w:val="0"/>
                <w:sz w:val="24"/>
                <w:szCs w:val="24"/>
                <w:lang w:bidi="ar"/>
              </w:rPr>
              <w:t>合计</w:t>
            </w:r>
          </w:p>
        </w:tc>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黑体_GBK"/>
                <w:color w:val="000000"/>
                <w:sz w:val="24"/>
                <w:szCs w:val="24"/>
              </w:rPr>
            </w:pPr>
            <w:r>
              <w:rPr>
                <w:rFonts w:eastAsia="方正黑体_GBK"/>
                <w:color w:val="000000"/>
                <w:kern w:val="0"/>
                <w:sz w:val="24"/>
                <w:szCs w:val="24"/>
                <w:lang w:bidi="ar"/>
              </w:rPr>
              <w:t>新建</w:t>
            </w:r>
          </w:p>
        </w:tc>
        <w:tc>
          <w:tcPr>
            <w:tcW w:w="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黑体_GBK"/>
                <w:color w:val="000000"/>
                <w:sz w:val="24"/>
                <w:szCs w:val="24"/>
              </w:rPr>
            </w:pPr>
            <w:r>
              <w:rPr>
                <w:rFonts w:eastAsia="方正黑体_GBK"/>
                <w:color w:val="000000"/>
                <w:kern w:val="0"/>
                <w:sz w:val="24"/>
                <w:szCs w:val="24"/>
                <w:lang w:bidi="ar"/>
              </w:rPr>
              <w:t>改造</w:t>
            </w:r>
          </w:p>
        </w:tc>
        <w:tc>
          <w:tcPr>
            <w:tcW w:w="1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黑体_GBK"/>
                <w:color w:val="000000"/>
                <w:sz w:val="24"/>
                <w:szCs w:val="24"/>
              </w:rPr>
            </w:pPr>
            <w:r>
              <w:rPr>
                <w:rFonts w:eastAsia="方正黑体_GBK"/>
                <w:color w:val="000000"/>
                <w:kern w:val="0"/>
                <w:sz w:val="24"/>
                <w:szCs w:val="24"/>
                <w:lang w:bidi="ar"/>
              </w:rPr>
              <w:t>合  计</w:t>
            </w:r>
          </w:p>
        </w:tc>
        <w:tc>
          <w:tcPr>
            <w:tcW w:w="11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eastAsia="方正黑体_GBK"/>
                <w:color w:val="000000"/>
                <w:sz w:val="24"/>
                <w:szCs w:val="24"/>
              </w:rPr>
            </w:pPr>
          </w:p>
        </w:tc>
      </w:tr>
      <w:tr>
        <w:tblPrEx>
          <w:tblLayout w:type="fixed"/>
          <w:tblCellMar>
            <w:top w:w="0" w:type="dxa"/>
            <w:left w:w="0" w:type="dxa"/>
            <w:bottom w:w="0" w:type="dxa"/>
            <w:right w:w="0" w:type="dxa"/>
          </w:tblCellMar>
        </w:tblPrEx>
        <w:trPr>
          <w:trHeight w:val="963" w:hRule="atLeast"/>
        </w:trPr>
        <w:tc>
          <w:tcPr>
            <w:tcW w:w="5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1</w:t>
            </w:r>
          </w:p>
        </w:tc>
        <w:tc>
          <w:tcPr>
            <w:tcW w:w="2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黔江区疾病预防控制体系现代化建设项目</w:t>
            </w:r>
          </w:p>
        </w:tc>
        <w:tc>
          <w:tcPr>
            <w:tcW w:w="4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新建公共卫生应急处置实训基地4500㎡，改造装修实验室1000平方米。配备实验室检测相关设施设备。</w:t>
            </w:r>
          </w:p>
        </w:tc>
        <w:tc>
          <w:tcPr>
            <w:tcW w:w="10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新建</w:t>
            </w:r>
          </w:p>
        </w:tc>
        <w:tc>
          <w:tcPr>
            <w:tcW w:w="919"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5500</w:t>
            </w:r>
          </w:p>
        </w:tc>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4500</w:t>
            </w:r>
          </w:p>
        </w:tc>
        <w:tc>
          <w:tcPr>
            <w:tcW w:w="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1000</w:t>
            </w:r>
          </w:p>
        </w:tc>
        <w:tc>
          <w:tcPr>
            <w:tcW w:w="1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5000</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2021-2022</w:t>
            </w:r>
          </w:p>
        </w:tc>
      </w:tr>
      <w:tr>
        <w:tblPrEx>
          <w:tblLayout w:type="fixed"/>
          <w:tblCellMar>
            <w:top w:w="0" w:type="dxa"/>
            <w:left w:w="0" w:type="dxa"/>
            <w:bottom w:w="0" w:type="dxa"/>
            <w:right w:w="0" w:type="dxa"/>
          </w:tblCellMar>
        </w:tblPrEx>
        <w:trPr>
          <w:trHeight w:val="713" w:hRule="atLeast"/>
        </w:trPr>
        <w:tc>
          <w:tcPr>
            <w:tcW w:w="5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2</w:t>
            </w:r>
          </w:p>
        </w:tc>
        <w:tc>
          <w:tcPr>
            <w:tcW w:w="2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黔江区职业病防治能力提升建设项目</w:t>
            </w:r>
          </w:p>
        </w:tc>
        <w:tc>
          <w:tcPr>
            <w:tcW w:w="4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改建业务用房1000㎡，配备职业卫生监测及检测相关设施设备</w:t>
            </w:r>
          </w:p>
        </w:tc>
        <w:tc>
          <w:tcPr>
            <w:tcW w:w="10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单纯购置</w:t>
            </w:r>
          </w:p>
        </w:tc>
        <w:tc>
          <w:tcPr>
            <w:tcW w:w="919"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p>
        </w:tc>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2"/>
                <w:szCs w:val="22"/>
              </w:rPr>
            </w:pPr>
          </w:p>
        </w:tc>
        <w:tc>
          <w:tcPr>
            <w:tcW w:w="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2"/>
                <w:szCs w:val="22"/>
              </w:rPr>
            </w:pPr>
          </w:p>
        </w:tc>
        <w:tc>
          <w:tcPr>
            <w:tcW w:w="1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1200</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2021-2021</w:t>
            </w:r>
          </w:p>
        </w:tc>
      </w:tr>
      <w:tr>
        <w:tblPrEx>
          <w:tblLayout w:type="fixed"/>
          <w:tblCellMar>
            <w:top w:w="0" w:type="dxa"/>
            <w:left w:w="0" w:type="dxa"/>
            <w:bottom w:w="0" w:type="dxa"/>
            <w:right w:w="0" w:type="dxa"/>
          </w:tblCellMar>
        </w:tblPrEx>
        <w:trPr>
          <w:trHeight w:val="671" w:hRule="atLeast"/>
        </w:trPr>
        <w:tc>
          <w:tcPr>
            <w:tcW w:w="5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3</w:t>
            </w:r>
          </w:p>
        </w:tc>
        <w:tc>
          <w:tcPr>
            <w:tcW w:w="2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重庆市黔江中心医院住院综合楼项目装饰工程</w:t>
            </w:r>
          </w:p>
        </w:tc>
        <w:tc>
          <w:tcPr>
            <w:tcW w:w="4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对新建的住院业务用房55946㎡进行室内装饰及安装。</w:t>
            </w:r>
          </w:p>
        </w:tc>
        <w:tc>
          <w:tcPr>
            <w:tcW w:w="10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续建</w:t>
            </w:r>
          </w:p>
        </w:tc>
        <w:tc>
          <w:tcPr>
            <w:tcW w:w="919"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55946</w:t>
            </w:r>
          </w:p>
        </w:tc>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55946</w:t>
            </w:r>
          </w:p>
        </w:tc>
        <w:tc>
          <w:tcPr>
            <w:tcW w:w="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p>
        </w:tc>
        <w:tc>
          <w:tcPr>
            <w:tcW w:w="1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16555</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2020-2021</w:t>
            </w:r>
          </w:p>
        </w:tc>
      </w:tr>
      <w:tr>
        <w:tblPrEx>
          <w:tblLayout w:type="fixed"/>
          <w:tblCellMar>
            <w:top w:w="0" w:type="dxa"/>
            <w:left w:w="0" w:type="dxa"/>
            <w:bottom w:w="0" w:type="dxa"/>
            <w:right w:w="0" w:type="dxa"/>
          </w:tblCellMar>
        </w:tblPrEx>
        <w:trPr>
          <w:trHeight w:val="500" w:hRule="atLeast"/>
        </w:trPr>
        <w:tc>
          <w:tcPr>
            <w:tcW w:w="5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4</w:t>
            </w:r>
          </w:p>
        </w:tc>
        <w:tc>
          <w:tcPr>
            <w:tcW w:w="2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重庆市黔江中心医院科教大楼项目</w:t>
            </w:r>
          </w:p>
        </w:tc>
        <w:tc>
          <w:tcPr>
            <w:tcW w:w="4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建设国家级住院医师医师规范化培训基地，重庆市黔江中心医院科教大楼1栋，总建筑面积约14000㎡，建设内容包括房屋建筑及安装工程、室内外装修工程、设施设备工程及附属设施工程等。</w:t>
            </w:r>
          </w:p>
        </w:tc>
        <w:tc>
          <w:tcPr>
            <w:tcW w:w="10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新建</w:t>
            </w:r>
          </w:p>
        </w:tc>
        <w:tc>
          <w:tcPr>
            <w:tcW w:w="919"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14000</w:t>
            </w:r>
          </w:p>
        </w:tc>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14000</w:t>
            </w:r>
          </w:p>
        </w:tc>
        <w:tc>
          <w:tcPr>
            <w:tcW w:w="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p>
        </w:tc>
        <w:tc>
          <w:tcPr>
            <w:tcW w:w="1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5582</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2020-2021</w:t>
            </w:r>
          </w:p>
        </w:tc>
      </w:tr>
      <w:tr>
        <w:tblPrEx>
          <w:tblLayout w:type="fixed"/>
          <w:tblCellMar>
            <w:top w:w="0" w:type="dxa"/>
            <w:left w:w="0" w:type="dxa"/>
            <w:bottom w:w="0" w:type="dxa"/>
            <w:right w:w="0" w:type="dxa"/>
          </w:tblCellMar>
        </w:tblPrEx>
        <w:trPr>
          <w:trHeight w:val="1488" w:hRule="atLeast"/>
        </w:trPr>
        <w:tc>
          <w:tcPr>
            <w:tcW w:w="5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5</w:t>
            </w:r>
          </w:p>
        </w:tc>
        <w:tc>
          <w:tcPr>
            <w:tcW w:w="2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重庆市黔江中心医院2号车库及配套项目</w:t>
            </w:r>
          </w:p>
        </w:tc>
        <w:tc>
          <w:tcPr>
            <w:tcW w:w="4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2号车库及配套用房1栋，总建筑面积33242㎡，包含地下车库、设备用房、生活用房、房屋建筑及安装工程、室内外装修工程、附属设施工程等。</w:t>
            </w:r>
          </w:p>
        </w:tc>
        <w:tc>
          <w:tcPr>
            <w:tcW w:w="10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新建</w:t>
            </w:r>
          </w:p>
        </w:tc>
        <w:tc>
          <w:tcPr>
            <w:tcW w:w="919"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33242</w:t>
            </w:r>
          </w:p>
        </w:tc>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33242</w:t>
            </w:r>
          </w:p>
        </w:tc>
        <w:tc>
          <w:tcPr>
            <w:tcW w:w="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p>
        </w:tc>
        <w:tc>
          <w:tcPr>
            <w:tcW w:w="1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9050</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2020-2021</w:t>
            </w:r>
          </w:p>
        </w:tc>
      </w:tr>
      <w:tr>
        <w:tblPrEx>
          <w:tblLayout w:type="fixed"/>
          <w:tblCellMar>
            <w:top w:w="0" w:type="dxa"/>
            <w:left w:w="0" w:type="dxa"/>
            <w:bottom w:w="0" w:type="dxa"/>
            <w:right w:w="0" w:type="dxa"/>
          </w:tblCellMar>
        </w:tblPrEx>
        <w:trPr>
          <w:trHeight w:val="500" w:hRule="atLeast"/>
        </w:trPr>
        <w:tc>
          <w:tcPr>
            <w:tcW w:w="5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6</w:t>
            </w:r>
          </w:p>
        </w:tc>
        <w:tc>
          <w:tcPr>
            <w:tcW w:w="2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重庆市黔江中心医院外科大楼及配套工程</w:t>
            </w:r>
          </w:p>
        </w:tc>
        <w:tc>
          <w:tcPr>
            <w:tcW w:w="4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工程总建筑面积89753㎡。其中外科大楼67008㎡；3号车库21711㎡；2号废水处理站268㎡；医疗（含普通）垃圾站366㎡；高压氧舱、制氧站400㎡。包括主体工程、给排水、消防工程、室内外精装饰、电梯、空调、配电工程、智能化机电设备等建设内容。</w:t>
            </w:r>
          </w:p>
        </w:tc>
        <w:tc>
          <w:tcPr>
            <w:tcW w:w="10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新建</w:t>
            </w:r>
          </w:p>
        </w:tc>
        <w:tc>
          <w:tcPr>
            <w:tcW w:w="919"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89753</w:t>
            </w:r>
          </w:p>
        </w:tc>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89753</w:t>
            </w:r>
          </w:p>
        </w:tc>
        <w:tc>
          <w:tcPr>
            <w:tcW w:w="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p>
        </w:tc>
        <w:tc>
          <w:tcPr>
            <w:tcW w:w="1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51000</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2021-2023</w:t>
            </w:r>
          </w:p>
        </w:tc>
      </w:tr>
      <w:tr>
        <w:tblPrEx>
          <w:tblLayout w:type="fixed"/>
          <w:tblCellMar>
            <w:top w:w="0" w:type="dxa"/>
            <w:left w:w="0" w:type="dxa"/>
            <w:bottom w:w="0" w:type="dxa"/>
            <w:right w:w="0" w:type="dxa"/>
          </w:tblCellMar>
        </w:tblPrEx>
        <w:trPr>
          <w:trHeight w:val="500" w:hRule="atLeast"/>
        </w:trPr>
        <w:tc>
          <w:tcPr>
            <w:tcW w:w="5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7</w:t>
            </w:r>
          </w:p>
        </w:tc>
        <w:tc>
          <w:tcPr>
            <w:tcW w:w="2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武陵山区域医疗中心（应急医院）</w:t>
            </w:r>
          </w:p>
        </w:tc>
        <w:tc>
          <w:tcPr>
            <w:tcW w:w="4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建设总建筑面积2.78万㎡，规划床位600张，其中：固定床位150张，应急床位450张，主要包括新建门诊、住院、医技、保障、行政管理和院内生活等业务用房及配套设施。</w:t>
            </w:r>
          </w:p>
        </w:tc>
        <w:tc>
          <w:tcPr>
            <w:tcW w:w="10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新建</w:t>
            </w:r>
          </w:p>
        </w:tc>
        <w:tc>
          <w:tcPr>
            <w:tcW w:w="919"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27800</w:t>
            </w:r>
          </w:p>
        </w:tc>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27800</w:t>
            </w:r>
          </w:p>
        </w:tc>
        <w:tc>
          <w:tcPr>
            <w:tcW w:w="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p>
        </w:tc>
        <w:tc>
          <w:tcPr>
            <w:tcW w:w="1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40019</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2021-2022</w:t>
            </w:r>
          </w:p>
        </w:tc>
      </w:tr>
      <w:tr>
        <w:tblPrEx>
          <w:tblLayout w:type="fixed"/>
          <w:tblCellMar>
            <w:top w:w="0" w:type="dxa"/>
            <w:left w:w="0" w:type="dxa"/>
            <w:bottom w:w="0" w:type="dxa"/>
            <w:right w:w="0" w:type="dxa"/>
          </w:tblCellMar>
        </w:tblPrEx>
        <w:trPr>
          <w:trHeight w:val="500" w:hRule="atLeast"/>
        </w:trPr>
        <w:tc>
          <w:tcPr>
            <w:tcW w:w="5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8</w:t>
            </w:r>
          </w:p>
        </w:tc>
        <w:tc>
          <w:tcPr>
            <w:tcW w:w="2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重庆市黔江中心医院正阳院区院内配电工程电力电缆</w:t>
            </w:r>
          </w:p>
        </w:tc>
        <w:tc>
          <w:tcPr>
            <w:tcW w:w="4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加强医院后勤保障工作，采购并安装连接至院区内各建设项目与临近配电室的低压电缆和相应设备。</w:t>
            </w:r>
          </w:p>
        </w:tc>
        <w:tc>
          <w:tcPr>
            <w:tcW w:w="10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新建</w:t>
            </w:r>
          </w:p>
        </w:tc>
        <w:tc>
          <w:tcPr>
            <w:tcW w:w="919"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p>
        </w:tc>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2"/>
                <w:szCs w:val="22"/>
              </w:rPr>
            </w:pPr>
          </w:p>
        </w:tc>
        <w:tc>
          <w:tcPr>
            <w:tcW w:w="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2"/>
                <w:szCs w:val="22"/>
              </w:rPr>
            </w:pPr>
          </w:p>
        </w:tc>
        <w:tc>
          <w:tcPr>
            <w:tcW w:w="1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3000</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2021-2022</w:t>
            </w:r>
          </w:p>
        </w:tc>
      </w:tr>
      <w:tr>
        <w:tblPrEx>
          <w:tblLayout w:type="fixed"/>
          <w:tblCellMar>
            <w:top w:w="0" w:type="dxa"/>
            <w:left w:w="0" w:type="dxa"/>
            <w:bottom w:w="0" w:type="dxa"/>
            <w:right w:w="0" w:type="dxa"/>
          </w:tblCellMar>
        </w:tblPrEx>
        <w:trPr>
          <w:trHeight w:val="500" w:hRule="atLeast"/>
        </w:trPr>
        <w:tc>
          <w:tcPr>
            <w:tcW w:w="5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9</w:t>
            </w:r>
          </w:p>
        </w:tc>
        <w:tc>
          <w:tcPr>
            <w:tcW w:w="2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渝东南远程医疗项目（覆盖渝东南50个乡镇）</w:t>
            </w:r>
          </w:p>
        </w:tc>
        <w:tc>
          <w:tcPr>
            <w:tcW w:w="4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建设覆盖渝东南50个乡镇的渝东南远程医疗中心，包含远程影像会诊中心、远程心电会诊中心、区域检验中心、远程病理会诊中心、远程就诊平台大建设和远程医疗网络专线安装。</w:t>
            </w:r>
          </w:p>
        </w:tc>
        <w:tc>
          <w:tcPr>
            <w:tcW w:w="10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新建</w:t>
            </w:r>
          </w:p>
        </w:tc>
        <w:tc>
          <w:tcPr>
            <w:tcW w:w="919"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p>
        </w:tc>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2"/>
                <w:szCs w:val="22"/>
              </w:rPr>
            </w:pPr>
          </w:p>
        </w:tc>
        <w:tc>
          <w:tcPr>
            <w:tcW w:w="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2"/>
                <w:szCs w:val="22"/>
              </w:rPr>
            </w:pPr>
          </w:p>
        </w:tc>
        <w:tc>
          <w:tcPr>
            <w:tcW w:w="1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5480</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2021-2022</w:t>
            </w:r>
          </w:p>
        </w:tc>
      </w:tr>
      <w:tr>
        <w:tblPrEx>
          <w:tblLayout w:type="fixed"/>
          <w:tblCellMar>
            <w:top w:w="0" w:type="dxa"/>
            <w:left w:w="0" w:type="dxa"/>
            <w:bottom w:w="0" w:type="dxa"/>
            <w:right w:w="0" w:type="dxa"/>
          </w:tblCellMar>
        </w:tblPrEx>
        <w:trPr>
          <w:trHeight w:val="834" w:hRule="atLeast"/>
        </w:trPr>
        <w:tc>
          <w:tcPr>
            <w:tcW w:w="5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10</w:t>
            </w:r>
          </w:p>
        </w:tc>
        <w:tc>
          <w:tcPr>
            <w:tcW w:w="2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重庆市黔江中心医院紧急医学救治能力建设</w:t>
            </w:r>
          </w:p>
        </w:tc>
        <w:tc>
          <w:tcPr>
            <w:tcW w:w="4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建设重庆市急救医疗中心渝东南急救医疗中心，建设紧急医学救治基地。</w:t>
            </w:r>
          </w:p>
        </w:tc>
        <w:tc>
          <w:tcPr>
            <w:tcW w:w="10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新建</w:t>
            </w:r>
          </w:p>
        </w:tc>
        <w:tc>
          <w:tcPr>
            <w:tcW w:w="919"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p>
        </w:tc>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2"/>
                <w:szCs w:val="22"/>
              </w:rPr>
            </w:pPr>
          </w:p>
        </w:tc>
        <w:tc>
          <w:tcPr>
            <w:tcW w:w="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2"/>
                <w:szCs w:val="22"/>
              </w:rPr>
            </w:pPr>
          </w:p>
        </w:tc>
        <w:tc>
          <w:tcPr>
            <w:tcW w:w="1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3000</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2021-2022</w:t>
            </w:r>
          </w:p>
        </w:tc>
      </w:tr>
      <w:tr>
        <w:tblPrEx>
          <w:tblLayout w:type="fixed"/>
          <w:tblCellMar>
            <w:top w:w="0" w:type="dxa"/>
            <w:left w:w="0" w:type="dxa"/>
            <w:bottom w:w="0" w:type="dxa"/>
            <w:right w:w="0" w:type="dxa"/>
          </w:tblCellMar>
        </w:tblPrEx>
        <w:trPr>
          <w:trHeight w:val="1278" w:hRule="atLeast"/>
        </w:trPr>
        <w:tc>
          <w:tcPr>
            <w:tcW w:w="5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11</w:t>
            </w:r>
          </w:p>
        </w:tc>
        <w:tc>
          <w:tcPr>
            <w:tcW w:w="2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黔江中心医院县域综合服务能力提升项目</w:t>
            </w:r>
          </w:p>
        </w:tc>
        <w:tc>
          <w:tcPr>
            <w:tcW w:w="4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改扩建业务用房面面积20000㎡，提升心血管内科、消化内科、口腔科、肿瘤科、眼科、重症急救等重点专科能力建设，配套完善相应设施设备。</w:t>
            </w:r>
          </w:p>
        </w:tc>
        <w:tc>
          <w:tcPr>
            <w:tcW w:w="10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改扩建</w:t>
            </w:r>
          </w:p>
        </w:tc>
        <w:tc>
          <w:tcPr>
            <w:tcW w:w="919"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20000</w:t>
            </w:r>
          </w:p>
        </w:tc>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p>
        </w:tc>
        <w:tc>
          <w:tcPr>
            <w:tcW w:w="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20000</w:t>
            </w:r>
          </w:p>
        </w:tc>
        <w:tc>
          <w:tcPr>
            <w:tcW w:w="1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25000</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2021-2022</w:t>
            </w:r>
          </w:p>
        </w:tc>
      </w:tr>
      <w:tr>
        <w:tblPrEx>
          <w:tblLayout w:type="fixed"/>
          <w:tblCellMar>
            <w:top w:w="0" w:type="dxa"/>
            <w:left w:w="0" w:type="dxa"/>
            <w:bottom w:w="0" w:type="dxa"/>
            <w:right w:w="0" w:type="dxa"/>
          </w:tblCellMar>
        </w:tblPrEx>
        <w:trPr>
          <w:trHeight w:val="1479" w:hRule="atLeast"/>
        </w:trPr>
        <w:tc>
          <w:tcPr>
            <w:tcW w:w="5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12</w:t>
            </w:r>
          </w:p>
        </w:tc>
        <w:tc>
          <w:tcPr>
            <w:tcW w:w="2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重庆市黔江中心医院提标扩能后勤保障项目</w:t>
            </w:r>
          </w:p>
        </w:tc>
        <w:tc>
          <w:tcPr>
            <w:tcW w:w="4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完善停车场地坪漆施工；智能停车管理系统；院内安保监控系统；医疗废弃物和污水、污物处理跟踪；设施设备维修维护管理系统等后勤保障一体化管理平台建设。</w:t>
            </w:r>
          </w:p>
        </w:tc>
        <w:tc>
          <w:tcPr>
            <w:tcW w:w="10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新建</w:t>
            </w:r>
          </w:p>
        </w:tc>
        <w:tc>
          <w:tcPr>
            <w:tcW w:w="919"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p>
        </w:tc>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2"/>
                <w:szCs w:val="22"/>
              </w:rPr>
            </w:pPr>
          </w:p>
        </w:tc>
        <w:tc>
          <w:tcPr>
            <w:tcW w:w="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2"/>
                <w:szCs w:val="22"/>
              </w:rPr>
            </w:pPr>
          </w:p>
        </w:tc>
        <w:tc>
          <w:tcPr>
            <w:tcW w:w="1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5100</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2021-2022</w:t>
            </w:r>
          </w:p>
        </w:tc>
      </w:tr>
      <w:tr>
        <w:tblPrEx>
          <w:tblLayout w:type="fixed"/>
          <w:tblCellMar>
            <w:top w:w="0" w:type="dxa"/>
            <w:left w:w="0" w:type="dxa"/>
            <w:bottom w:w="0" w:type="dxa"/>
            <w:right w:w="0" w:type="dxa"/>
          </w:tblCellMar>
        </w:tblPrEx>
        <w:trPr>
          <w:trHeight w:val="1342" w:hRule="atLeast"/>
        </w:trPr>
        <w:tc>
          <w:tcPr>
            <w:tcW w:w="5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13</w:t>
            </w:r>
          </w:p>
        </w:tc>
        <w:tc>
          <w:tcPr>
            <w:tcW w:w="2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重庆市黔江中心医院正阳院区手术室装饰及医用设备</w:t>
            </w:r>
          </w:p>
        </w:tc>
        <w:tc>
          <w:tcPr>
            <w:tcW w:w="4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正阳院区手术室层流设计、建设，手术区域装饰装修工程、层流净化机组、吊塔、气体管装、无影灯、手术床及基础设备配置和安装等。</w:t>
            </w:r>
          </w:p>
        </w:tc>
        <w:tc>
          <w:tcPr>
            <w:tcW w:w="10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改扩建</w:t>
            </w:r>
          </w:p>
        </w:tc>
        <w:tc>
          <w:tcPr>
            <w:tcW w:w="919"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p>
        </w:tc>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2"/>
                <w:szCs w:val="22"/>
              </w:rPr>
            </w:pPr>
          </w:p>
        </w:tc>
        <w:tc>
          <w:tcPr>
            <w:tcW w:w="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2"/>
                <w:szCs w:val="22"/>
              </w:rPr>
            </w:pPr>
          </w:p>
        </w:tc>
        <w:tc>
          <w:tcPr>
            <w:tcW w:w="1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5130</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2021-2022</w:t>
            </w:r>
          </w:p>
        </w:tc>
      </w:tr>
      <w:tr>
        <w:tblPrEx>
          <w:tblLayout w:type="fixed"/>
          <w:tblCellMar>
            <w:top w:w="0" w:type="dxa"/>
            <w:left w:w="0" w:type="dxa"/>
            <w:bottom w:w="0" w:type="dxa"/>
            <w:right w:w="0" w:type="dxa"/>
          </w:tblCellMar>
        </w:tblPrEx>
        <w:trPr>
          <w:trHeight w:val="500" w:hRule="atLeast"/>
        </w:trPr>
        <w:tc>
          <w:tcPr>
            <w:tcW w:w="5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14</w:t>
            </w:r>
          </w:p>
        </w:tc>
        <w:tc>
          <w:tcPr>
            <w:tcW w:w="2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重庆市黔江中心医院医学装备</w:t>
            </w:r>
          </w:p>
        </w:tc>
        <w:tc>
          <w:tcPr>
            <w:tcW w:w="4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医用电子直线加速器（含配套设备）1套、3.0T核磁共振1台、PET-CT1套、256排螺旋CT1台、准分子激光治疗仪1套</w:t>
            </w:r>
          </w:p>
        </w:tc>
        <w:tc>
          <w:tcPr>
            <w:tcW w:w="10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改扩建</w:t>
            </w:r>
          </w:p>
        </w:tc>
        <w:tc>
          <w:tcPr>
            <w:tcW w:w="919"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p>
        </w:tc>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2"/>
                <w:szCs w:val="22"/>
              </w:rPr>
            </w:pPr>
          </w:p>
        </w:tc>
        <w:tc>
          <w:tcPr>
            <w:tcW w:w="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2"/>
                <w:szCs w:val="22"/>
              </w:rPr>
            </w:pPr>
          </w:p>
        </w:tc>
        <w:tc>
          <w:tcPr>
            <w:tcW w:w="1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11300</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2021-2022</w:t>
            </w:r>
          </w:p>
        </w:tc>
      </w:tr>
      <w:tr>
        <w:tblPrEx>
          <w:tblLayout w:type="fixed"/>
          <w:tblCellMar>
            <w:top w:w="0" w:type="dxa"/>
            <w:left w:w="0" w:type="dxa"/>
            <w:bottom w:w="0" w:type="dxa"/>
            <w:right w:w="0" w:type="dxa"/>
          </w:tblCellMar>
        </w:tblPrEx>
        <w:trPr>
          <w:trHeight w:val="500" w:hRule="atLeast"/>
        </w:trPr>
        <w:tc>
          <w:tcPr>
            <w:tcW w:w="5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15</w:t>
            </w:r>
          </w:p>
        </w:tc>
        <w:tc>
          <w:tcPr>
            <w:tcW w:w="2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重庆市黔江中心医院信息化建设</w:t>
            </w:r>
          </w:p>
        </w:tc>
        <w:tc>
          <w:tcPr>
            <w:tcW w:w="4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建设正阳院区智慧医院。建设智能导诊、智能导航、银医自助、HRP、DRGS、儿保系统、重症监护系统、血液透析系统、移动医护系统、生命体征智能采集系统、临床营养系统以及相应的基础设施（综合布线、基础网络设备、云桌面等），以提升医院精细化管理水平，提升医疗质量，提升患者就医体验。</w:t>
            </w:r>
          </w:p>
        </w:tc>
        <w:tc>
          <w:tcPr>
            <w:tcW w:w="10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改扩建</w:t>
            </w:r>
          </w:p>
        </w:tc>
        <w:tc>
          <w:tcPr>
            <w:tcW w:w="919"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p>
        </w:tc>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2"/>
                <w:szCs w:val="22"/>
              </w:rPr>
            </w:pPr>
          </w:p>
        </w:tc>
        <w:tc>
          <w:tcPr>
            <w:tcW w:w="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2"/>
                <w:szCs w:val="22"/>
              </w:rPr>
            </w:pPr>
          </w:p>
        </w:tc>
        <w:tc>
          <w:tcPr>
            <w:tcW w:w="1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11300</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2021-2022</w:t>
            </w:r>
          </w:p>
        </w:tc>
      </w:tr>
      <w:tr>
        <w:tblPrEx>
          <w:tblLayout w:type="fixed"/>
          <w:tblCellMar>
            <w:top w:w="0" w:type="dxa"/>
            <w:left w:w="0" w:type="dxa"/>
            <w:bottom w:w="0" w:type="dxa"/>
            <w:right w:w="0" w:type="dxa"/>
          </w:tblCellMar>
        </w:tblPrEx>
        <w:trPr>
          <w:trHeight w:val="500" w:hRule="atLeast"/>
        </w:trPr>
        <w:tc>
          <w:tcPr>
            <w:tcW w:w="5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16</w:t>
            </w:r>
          </w:p>
        </w:tc>
        <w:tc>
          <w:tcPr>
            <w:tcW w:w="2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重庆市黔江中心医院创伤医学中心建设</w:t>
            </w:r>
          </w:p>
        </w:tc>
        <w:tc>
          <w:tcPr>
            <w:tcW w:w="4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建设黔江区区域性创伤救治中心。</w:t>
            </w:r>
          </w:p>
        </w:tc>
        <w:tc>
          <w:tcPr>
            <w:tcW w:w="10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改扩建</w:t>
            </w:r>
          </w:p>
        </w:tc>
        <w:tc>
          <w:tcPr>
            <w:tcW w:w="919"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p>
        </w:tc>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2"/>
                <w:szCs w:val="22"/>
              </w:rPr>
            </w:pPr>
          </w:p>
        </w:tc>
        <w:tc>
          <w:tcPr>
            <w:tcW w:w="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2"/>
                <w:szCs w:val="22"/>
              </w:rPr>
            </w:pPr>
          </w:p>
        </w:tc>
        <w:tc>
          <w:tcPr>
            <w:tcW w:w="1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7800</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2021-2022</w:t>
            </w:r>
          </w:p>
        </w:tc>
      </w:tr>
      <w:tr>
        <w:tblPrEx>
          <w:tblLayout w:type="fixed"/>
          <w:tblCellMar>
            <w:top w:w="0" w:type="dxa"/>
            <w:left w:w="0" w:type="dxa"/>
            <w:bottom w:w="0" w:type="dxa"/>
            <w:right w:w="0" w:type="dxa"/>
          </w:tblCellMar>
        </w:tblPrEx>
        <w:trPr>
          <w:trHeight w:val="500" w:hRule="atLeast"/>
        </w:trPr>
        <w:tc>
          <w:tcPr>
            <w:tcW w:w="5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17</w:t>
            </w:r>
          </w:p>
        </w:tc>
        <w:tc>
          <w:tcPr>
            <w:tcW w:w="2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重庆市黔江中心医院心血管内科重点专科能力建设</w:t>
            </w:r>
          </w:p>
        </w:tc>
        <w:tc>
          <w:tcPr>
            <w:tcW w:w="4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提升心血管内科重点专科能力，建设渝东南片区胸痛中心。</w:t>
            </w:r>
          </w:p>
        </w:tc>
        <w:tc>
          <w:tcPr>
            <w:tcW w:w="10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改扩建</w:t>
            </w:r>
          </w:p>
        </w:tc>
        <w:tc>
          <w:tcPr>
            <w:tcW w:w="919"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p>
        </w:tc>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2"/>
                <w:szCs w:val="22"/>
              </w:rPr>
            </w:pPr>
          </w:p>
        </w:tc>
        <w:tc>
          <w:tcPr>
            <w:tcW w:w="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2"/>
                <w:szCs w:val="22"/>
              </w:rPr>
            </w:pPr>
          </w:p>
        </w:tc>
        <w:tc>
          <w:tcPr>
            <w:tcW w:w="1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2000</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2021-2022</w:t>
            </w:r>
          </w:p>
        </w:tc>
      </w:tr>
      <w:tr>
        <w:tblPrEx>
          <w:tblLayout w:type="fixed"/>
          <w:tblCellMar>
            <w:top w:w="0" w:type="dxa"/>
            <w:left w:w="0" w:type="dxa"/>
            <w:bottom w:w="0" w:type="dxa"/>
            <w:right w:w="0" w:type="dxa"/>
          </w:tblCellMar>
        </w:tblPrEx>
        <w:trPr>
          <w:trHeight w:val="500" w:hRule="atLeast"/>
        </w:trPr>
        <w:tc>
          <w:tcPr>
            <w:tcW w:w="5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18</w:t>
            </w:r>
          </w:p>
        </w:tc>
        <w:tc>
          <w:tcPr>
            <w:tcW w:w="2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重庆市黔江中心医院眼科重点专科能力建设</w:t>
            </w:r>
          </w:p>
        </w:tc>
        <w:tc>
          <w:tcPr>
            <w:tcW w:w="4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加强学科建设，推进眼科重点专科建设，提升医师业务能力，提升医疗服务范围及诊疗能力。</w:t>
            </w:r>
          </w:p>
        </w:tc>
        <w:tc>
          <w:tcPr>
            <w:tcW w:w="10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改扩建</w:t>
            </w:r>
          </w:p>
        </w:tc>
        <w:tc>
          <w:tcPr>
            <w:tcW w:w="919"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p>
        </w:tc>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2"/>
                <w:szCs w:val="22"/>
              </w:rPr>
            </w:pPr>
          </w:p>
        </w:tc>
        <w:tc>
          <w:tcPr>
            <w:tcW w:w="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2"/>
                <w:szCs w:val="22"/>
              </w:rPr>
            </w:pPr>
          </w:p>
        </w:tc>
        <w:tc>
          <w:tcPr>
            <w:tcW w:w="1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5000</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2021-2022</w:t>
            </w:r>
          </w:p>
        </w:tc>
      </w:tr>
      <w:tr>
        <w:tblPrEx>
          <w:tblLayout w:type="fixed"/>
          <w:tblCellMar>
            <w:top w:w="0" w:type="dxa"/>
            <w:left w:w="0" w:type="dxa"/>
            <w:bottom w:w="0" w:type="dxa"/>
            <w:right w:w="0" w:type="dxa"/>
          </w:tblCellMar>
        </w:tblPrEx>
        <w:trPr>
          <w:trHeight w:val="500" w:hRule="atLeast"/>
        </w:trPr>
        <w:tc>
          <w:tcPr>
            <w:tcW w:w="5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19</w:t>
            </w:r>
          </w:p>
        </w:tc>
        <w:tc>
          <w:tcPr>
            <w:tcW w:w="2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重庆市黔江中心医院肿瘤科重点专科能力建设</w:t>
            </w:r>
          </w:p>
        </w:tc>
        <w:tc>
          <w:tcPr>
            <w:tcW w:w="4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加强学科建设，提升医疗服务范围及诊疗能力，肿瘤科建成重庆市重点专科。</w:t>
            </w:r>
          </w:p>
        </w:tc>
        <w:tc>
          <w:tcPr>
            <w:tcW w:w="10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改扩建</w:t>
            </w:r>
          </w:p>
        </w:tc>
        <w:tc>
          <w:tcPr>
            <w:tcW w:w="919"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p>
        </w:tc>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2"/>
                <w:szCs w:val="22"/>
              </w:rPr>
            </w:pPr>
          </w:p>
        </w:tc>
        <w:tc>
          <w:tcPr>
            <w:tcW w:w="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2"/>
                <w:szCs w:val="22"/>
              </w:rPr>
            </w:pPr>
          </w:p>
        </w:tc>
        <w:tc>
          <w:tcPr>
            <w:tcW w:w="1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8500</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2021-2022</w:t>
            </w:r>
          </w:p>
        </w:tc>
      </w:tr>
      <w:tr>
        <w:tblPrEx>
          <w:tblLayout w:type="fixed"/>
          <w:tblCellMar>
            <w:top w:w="0" w:type="dxa"/>
            <w:left w:w="0" w:type="dxa"/>
            <w:bottom w:w="0" w:type="dxa"/>
            <w:right w:w="0" w:type="dxa"/>
          </w:tblCellMar>
        </w:tblPrEx>
        <w:trPr>
          <w:trHeight w:val="500" w:hRule="atLeast"/>
        </w:trPr>
        <w:tc>
          <w:tcPr>
            <w:tcW w:w="5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20</w:t>
            </w:r>
          </w:p>
        </w:tc>
        <w:tc>
          <w:tcPr>
            <w:tcW w:w="2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重庆市黔江中心医院消化内科重点专科能力建设</w:t>
            </w:r>
          </w:p>
        </w:tc>
        <w:tc>
          <w:tcPr>
            <w:tcW w:w="4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进一步加强消化内科重点专科能力建设，提升诊疗能力，扩展服务范围，建设渝东南内镜中心。</w:t>
            </w:r>
          </w:p>
        </w:tc>
        <w:tc>
          <w:tcPr>
            <w:tcW w:w="10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改扩建</w:t>
            </w:r>
          </w:p>
        </w:tc>
        <w:tc>
          <w:tcPr>
            <w:tcW w:w="919"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p>
        </w:tc>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2"/>
                <w:szCs w:val="22"/>
              </w:rPr>
            </w:pPr>
          </w:p>
        </w:tc>
        <w:tc>
          <w:tcPr>
            <w:tcW w:w="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2"/>
                <w:szCs w:val="22"/>
              </w:rPr>
            </w:pPr>
          </w:p>
        </w:tc>
        <w:tc>
          <w:tcPr>
            <w:tcW w:w="1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2000</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2021-2022</w:t>
            </w:r>
          </w:p>
        </w:tc>
      </w:tr>
      <w:tr>
        <w:tblPrEx>
          <w:tblLayout w:type="fixed"/>
          <w:tblCellMar>
            <w:top w:w="0" w:type="dxa"/>
            <w:left w:w="0" w:type="dxa"/>
            <w:bottom w:w="0" w:type="dxa"/>
            <w:right w:w="0" w:type="dxa"/>
          </w:tblCellMar>
        </w:tblPrEx>
        <w:trPr>
          <w:trHeight w:val="500" w:hRule="atLeast"/>
        </w:trPr>
        <w:tc>
          <w:tcPr>
            <w:tcW w:w="5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21</w:t>
            </w:r>
          </w:p>
        </w:tc>
        <w:tc>
          <w:tcPr>
            <w:tcW w:w="2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重庆市黔江中心医院重症急救能力建设</w:t>
            </w:r>
          </w:p>
        </w:tc>
        <w:tc>
          <w:tcPr>
            <w:tcW w:w="4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加快推进重症急救能力建设，补短板，强学科，降低急重症患者死亡率，建成重庆市急救中心黔江分中心。</w:t>
            </w:r>
          </w:p>
        </w:tc>
        <w:tc>
          <w:tcPr>
            <w:tcW w:w="10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改扩建</w:t>
            </w:r>
          </w:p>
        </w:tc>
        <w:tc>
          <w:tcPr>
            <w:tcW w:w="919"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p>
        </w:tc>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2"/>
                <w:szCs w:val="22"/>
              </w:rPr>
            </w:pPr>
          </w:p>
        </w:tc>
        <w:tc>
          <w:tcPr>
            <w:tcW w:w="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2"/>
                <w:szCs w:val="22"/>
              </w:rPr>
            </w:pPr>
          </w:p>
        </w:tc>
        <w:tc>
          <w:tcPr>
            <w:tcW w:w="1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6000</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2021-2022</w:t>
            </w:r>
          </w:p>
        </w:tc>
      </w:tr>
      <w:tr>
        <w:tblPrEx>
          <w:tblLayout w:type="fixed"/>
          <w:tblCellMar>
            <w:top w:w="0" w:type="dxa"/>
            <w:left w:w="0" w:type="dxa"/>
            <w:bottom w:w="0" w:type="dxa"/>
            <w:right w:w="0" w:type="dxa"/>
          </w:tblCellMar>
        </w:tblPrEx>
        <w:trPr>
          <w:trHeight w:val="500" w:hRule="atLeast"/>
        </w:trPr>
        <w:tc>
          <w:tcPr>
            <w:tcW w:w="5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22</w:t>
            </w:r>
          </w:p>
        </w:tc>
        <w:tc>
          <w:tcPr>
            <w:tcW w:w="2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黔江区中医院特色优势专科建设项目</w:t>
            </w:r>
          </w:p>
        </w:tc>
        <w:tc>
          <w:tcPr>
            <w:tcW w:w="4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改扩建业务用房1000㎡，配备中医专科仪器设备，提升专科医疗能力和信息化水平。</w:t>
            </w:r>
          </w:p>
        </w:tc>
        <w:tc>
          <w:tcPr>
            <w:tcW w:w="10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改扩建</w:t>
            </w:r>
          </w:p>
        </w:tc>
        <w:tc>
          <w:tcPr>
            <w:tcW w:w="919"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1000</w:t>
            </w:r>
          </w:p>
        </w:tc>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p>
        </w:tc>
        <w:tc>
          <w:tcPr>
            <w:tcW w:w="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1000</w:t>
            </w:r>
          </w:p>
        </w:tc>
        <w:tc>
          <w:tcPr>
            <w:tcW w:w="1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1800</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2"/>
                <w:szCs w:val="22"/>
              </w:rPr>
            </w:pPr>
          </w:p>
        </w:tc>
      </w:tr>
      <w:tr>
        <w:tblPrEx>
          <w:tblLayout w:type="fixed"/>
          <w:tblCellMar>
            <w:top w:w="0" w:type="dxa"/>
            <w:left w:w="0" w:type="dxa"/>
            <w:bottom w:w="0" w:type="dxa"/>
            <w:right w:w="0" w:type="dxa"/>
          </w:tblCellMar>
        </w:tblPrEx>
        <w:trPr>
          <w:trHeight w:val="1132" w:hRule="atLeast"/>
        </w:trPr>
        <w:tc>
          <w:tcPr>
            <w:tcW w:w="5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23</w:t>
            </w:r>
          </w:p>
        </w:tc>
        <w:tc>
          <w:tcPr>
            <w:tcW w:w="2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黔江区母婴应急救治中心改扩建项目</w:t>
            </w:r>
          </w:p>
        </w:tc>
        <w:tc>
          <w:tcPr>
            <w:tcW w:w="4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top"/>
              <w:rPr>
                <w:color w:val="000000"/>
                <w:sz w:val="22"/>
                <w:szCs w:val="22"/>
              </w:rPr>
            </w:pPr>
            <w:r>
              <w:rPr>
                <w:color w:val="000000"/>
                <w:kern w:val="0"/>
                <w:sz w:val="22"/>
                <w:szCs w:val="22"/>
                <w:lang w:bidi="ar"/>
              </w:rPr>
              <w:t>改扩建业务用房面积11100㎡，提高危重症孕产妇和新生儿救治能力，配套完善设施设备。</w:t>
            </w:r>
          </w:p>
        </w:tc>
        <w:tc>
          <w:tcPr>
            <w:tcW w:w="10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改扩建</w:t>
            </w:r>
          </w:p>
        </w:tc>
        <w:tc>
          <w:tcPr>
            <w:tcW w:w="919"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11100</w:t>
            </w:r>
          </w:p>
        </w:tc>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p>
        </w:tc>
        <w:tc>
          <w:tcPr>
            <w:tcW w:w="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11100</w:t>
            </w:r>
          </w:p>
        </w:tc>
        <w:tc>
          <w:tcPr>
            <w:tcW w:w="1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7000</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2023-2027</w:t>
            </w:r>
          </w:p>
        </w:tc>
      </w:tr>
      <w:tr>
        <w:tblPrEx>
          <w:tblLayout w:type="fixed"/>
          <w:tblCellMar>
            <w:top w:w="0" w:type="dxa"/>
            <w:left w:w="0" w:type="dxa"/>
            <w:bottom w:w="0" w:type="dxa"/>
            <w:right w:w="0" w:type="dxa"/>
          </w:tblCellMar>
        </w:tblPrEx>
        <w:trPr>
          <w:trHeight w:val="2000" w:hRule="atLeast"/>
        </w:trPr>
        <w:tc>
          <w:tcPr>
            <w:tcW w:w="5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24</w:t>
            </w:r>
          </w:p>
        </w:tc>
        <w:tc>
          <w:tcPr>
            <w:tcW w:w="2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color w:val="000000"/>
                <w:sz w:val="22"/>
                <w:szCs w:val="22"/>
              </w:rPr>
            </w:pPr>
            <w:r>
              <w:rPr>
                <w:color w:val="000000"/>
                <w:kern w:val="0"/>
                <w:sz w:val="22"/>
                <w:szCs w:val="22"/>
                <w:lang w:bidi="ar"/>
              </w:rPr>
              <w:t>黔江区妇幼保健院综合性托育服务机构</w:t>
            </w:r>
          </w:p>
        </w:tc>
        <w:tc>
          <w:tcPr>
            <w:tcW w:w="4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color w:val="000000"/>
                <w:sz w:val="22"/>
                <w:szCs w:val="22"/>
              </w:rPr>
            </w:pPr>
            <w:r>
              <w:rPr>
                <w:color w:val="000000"/>
                <w:kern w:val="0"/>
                <w:sz w:val="22"/>
                <w:szCs w:val="22"/>
                <w:lang w:bidi="ar"/>
              </w:rPr>
              <w:t>改扩建业务用房面积3000㎡，建设婴幼儿照护服务机构培训基地；开设托班，新建托位300个，包括小幼幼班教室、中幼幼班教室、大幼幼班教室、婴幼儿健康保健室、公共活动区域、盥洗间、厨房、教师办公室、教材教具储物间。</w:t>
            </w:r>
          </w:p>
        </w:tc>
        <w:tc>
          <w:tcPr>
            <w:tcW w:w="10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改建</w:t>
            </w:r>
          </w:p>
        </w:tc>
        <w:tc>
          <w:tcPr>
            <w:tcW w:w="919"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3000</w:t>
            </w:r>
          </w:p>
        </w:tc>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p>
        </w:tc>
        <w:tc>
          <w:tcPr>
            <w:tcW w:w="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3000</w:t>
            </w:r>
          </w:p>
        </w:tc>
        <w:tc>
          <w:tcPr>
            <w:tcW w:w="1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2500</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2022-2023</w:t>
            </w:r>
          </w:p>
        </w:tc>
      </w:tr>
      <w:tr>
        <w:tblPrEx>
          <w:tblLayout w:type="fixed"/>
          <w:tblCellMar>
            <w:top w:w="0" w:type="dxa"/>
            <w:left w:w="0" w:type="dxa"/>
            <w:bottom w:w="0" w:type="dxa"/>
            <w:right w:w="0" w:type="dxa"/>
          </w:tblCellMar>
        </w:tblPrEx>
        <w:trPr>
          <w:trHeight w:val="500" w:hRule="atLeast"/>
        </w:trPr>
        <w:tc>
          <w:tcPr>
            <w:tcW w:w="5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25</w:t>
            </w:r>
          </w:p>
        </w:tc>
        <w:tc>
          <w:tcPr>
            <w:tcW w:w="2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黔江中心血站业务用房迁建项目</w:t>
            </w:r>
          </w:p>
        </w:tc>
        <w:tc>
          <w:tcPr>
            <w:tcW w:w="4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新建业务用房7000㎡，地上建筑面积6000㎡，地下建筑面积1000㎡，建设内容含场平工程、主体建筑工程、室内装修工程、公用工程及绿化工程等。</w:t>
            </w:r>
          </w:p>
        </w:tc>
        <w:tc>
          <w:tcPr>
            <w:tcW w:w="10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新建</w:t>
            </w:r>
          </w:p>
        </w:tc>
        <w:tc>
          <w:tcPr>
            <w:tcW w:w="919"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7000</w:t>
            </w:r>
          </w:p>
        </w:tc>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7000</w:t>
            </w:r>
          </w:p>
        </w:tc>
        <w:tc>
          <w:tcPr>
            <w:tcW w:w="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2"/>
                <w:szCs w:val="22"/>
              </w:rPr>
            </w:pPr>
          </w:p>
        </w:tc>
        <w:tc>
          <w:tcPr>
            <w:tcW w:w="1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4200</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2020-2022</w:t>
            </w:r>
          </w:p>
        </w:tc>
      </w:tr>
      <w:tr>
        <w:tblPrEx>
          <w:tblLayout w:type="fixed"/>
          <w:tblCellMar>
            <w:top w:w="0" w:type="dxa"/>
            <w:left w:w="0" w:type="dxa"/>
            <w:bottom w:w="0" w:type="dxa"/>
            <w:right w:w="0" w:type="dxa"/>
          </w:tblCellMar>
        </w:tblPrEx>
        <w:trPr>
          <w:trHeight w:val="500" w:hRule="atLeast"/>
        </w:trPr>
        <w:tc>
          <w:tcPr>
            <w:tcW w:w="5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26</w:t>
            </w:r>
          </w:p>
        </w:tc>
        <w:tc>
          <w:tcPr>
            <w:tcW w:w="2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黔江区智慧医疗建设项目</w:t>
            </w:r>
          </w:p>
        </w:tc>
        <w:tc>
          <w:tcPr>
            <w:tcW w:w="4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建设黔江智慧医疗云平台，优化智慧医疗云平台运行环境。</w:t>
            </w:r>
          </w:p>
        </w:tc>
        <w:tc>
          <w:tcPr>
            <w:tcW w:w="10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新建</w:t>
            </w:r>
          </w:p>
        </w:tc>
        <w:tc>
          <w:tcPr>
            <w:tcW w:w="919"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p>
        </w:tc>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2"/>
                <w:szCs w:val="22"/>
              </w:rPr>
            </w:pPr>
          </w:p>
        </w:tc>
        <w:tc>
          <w:tcPr>
            <w:tcW w:w="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2"/>
                <w:szCs w:val="22"/>
              </w:rPr>
            </w:pPr>
          </w:p>
        </w:tc>
        <w:tc>
          <w:tcPr>
            <w:tcW w:w="1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12100</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2"/>
                <w:szCs w:val="22"/>
              </w:rPr>
            </w:pPr>
          </w:p>
        </w:tc>
      </w:tr>
      <w:tr>
        <w:tblPrEx>
          <w:tblLayout w:type="fixed"/>
          <w:tblCellMar>
            <w:top w:w="0" w:type="dxa"/>
            <w:left w:w="0" w:type="dxa"/>
            <w:bottom w:w="0" w:type="dxa"/>
            <w:right w:w="0" w:type="dxa"/>
          </w:tblCellMar>
        </w:tblPrEx>
        <w:trPr>
          <w:trHeight w:val="500" w:hRule="atLeast"/>
        </w:trPr>
        <w:tc>
          <w:tcPr>
            <w:tcW w:w="5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27</w:t>
            </w:r>
          </w:p>
        </w:tc>
        <w:tc>
          <w:tcPr>
            <w:tcW w:w="2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黔江区基层医疗卫生机构医废处置与放射防护生态环保项目</w:t>
            </w:r>
          </w:p>
        </w:tc>
        <w:tc>
          <w:tcPr>
            <w:tcW w:w="4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改造30个基层医疗机构医源性废水废物放处置与放射防护改造，配套相应设施设备。</w:t>
            </w:r>
          </w:p>
        </w:tc>
        <w:tc>
          <w:tcPr>
            <w:tcW w:w="10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新建</w:t>
            </w:r>
          </w:p>
        </w:tc>
        <w:tc>
          <w:tcPr>
            <w:tcW w:w="919"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p>
        </w:tc>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2"/>
                <w:szCs w:val="22"/>
              </w:rPr>
            </w:pPr>
          </w:p>
        </w:tc>
        <w:tc>
          <w:tcPr>
            <w:tcW w:w="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2"/>
                <w:szCs w:val="22"/>
              </w:rPr>
            </w:pPr>
          </w:p>
        </w:tc>
        <w:tc>
          <w:tcPr>
            <w:tcW w:w="1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3600</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2"/>
                <w:szCs w:val="22"/>
              </w:rPr>
            </w:pPr>
          </w:p>
        </w:tc>
      </w:tr>
      <w:tr>
        <w:tblPrEx>
          <w:tblLayout w:type="fixed"/>
          <w:tblCellMar>
            <w:top w:w="0" w:type="dxa"/>
            <w:left w:w="0" w:type="dxa"/>
            <w:bottom w:w="0" w:type="dxa"/>
            <w:right w:w="0" w:type="dxa"/>
          </w:tblCellMar>
        </w:tblPrEx>
        <w:trPr>
          <w:trHeight w:val="500" w:hRule="atLeast"/>
        </w:trPr>
        <w:tc>
          <w:tcPr>
            <w:tcW w:w="5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28</w:t>
            </w:r>
          </w:p>
        </w:tc>
        <w:tc>
          <w:tcPr>
            <w:tcW w:w="2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黔江区基层医疗机构能力提升工程项目</w:t>
            </w:r>
          </w:p>
        </w:tc>
        <w:tc>
          <w:tcPr>
            <w:tcW w:w="4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改建30个乡镇街道发热门诊、肠道门诊、手术室、妇产科、数字化预防接种门诊、监护室共20000㎡，配套相应设施设备。</w:t>
            </w:r>
          </w:p>
        </w:tc>
        <w:tc>
          <w:tcPr>
            <w:tcW w:w="10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改扩建</w:t>
            </w:r>
          </w:p>
        </w:tc>
        <w:tc>
          <w:tcPr>
            <w:tcW w:w="919"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p>
        </w:tc>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2"/>
                <w:szCs w:val="22"/>
              </w:rPr>
            </w:pPr>
          </w:p>
        </w:tc>
        <w:tc>
          <w:tcPr>
            <w:tcW w:w="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2"/>
                <w:szCs w:val="22"/>
              </w:rPr>
            </w:pPr>
          </w:p>
        </w:tc>
        <w:tc>
          <w:tcPr>
            <w:tcW w:w="1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9000</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2"/>
                <w:szCs w:val="22"/>
              </w:rPr>
            </w:pPr>
          </w:p>
        </w:tc>
      </w:tr>
      <w:tr>
        <w:tblPrEx>
          <w:tblLayout w:type="fixed"/>
          <w:tblCellMar>
            <w:top w:w="0" w:type="dxa"/>
            <w:left w:w="0" w:type="dxa"/>
            <w:bottom w:w="0" w:type="dxa"/>
            <w:right w:w="0" w:type="dxa"/>
          </w:tblCellMar>
        </w:tblPrEx>
        <w:trPr>
          <w:trHeight w:val="500" w:hRule="atLeast"/>
        </w:trPr>
        <w:tc>
          <w:tcPr>
            <w:tcW w:w="5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29</w:t>
            </w:r>
          </w:p>
        </w:tc>
        <w:tc>
          <w:tcPr>
            <w:tcW w:w="2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黔江区村卫生室业务用房建设项目</w:t>
            </w:r>
          </w:p>
        </w:tc>
        <w:tc>
          <w:tcPr>
            <w:tcW w:w="4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改扩建业务用房13000㎡，配套设施设备等。</w:t>
            </w:r>
          </w:p>
        </w:tc>
        <w:tc>
          <w:tcPr>
            <w:tcW w:w="10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改扩建</w:t>
            </w:r>
          </w:p>
        </w:tc>
        <w:tc>
          <w:tcPr>
            <w:tcW w:w="919"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13000</w:t>
            </w:r>
          </w:p>
        </w:tc>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2"/>
                <w:szCs w:val="22"/>
              </w:rPr>
            </w:pPr>
          </w:p>
        </w:tc>
        <w:tc>
          <w:tcPr>
            <w:tcW w:w="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13000</w:t>
            </w:r>
          </w:p>
        </w:tc>
        <w:tc>
          <w:tcPr>
            <w:tcW w:w="1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1300</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2"/>
                <w:szCs w:val="22"/>
              </w:rPr>
            </w:pPr>
          </w:p>
        </w:tc>
      </w:tr>
      <w:tr>
        <w:tblPrEx>
          <w:tblLayout w:type="fixed"/>
          <w:tblCellMar>
            <w:top w:w="0" w:type="dxa"/>
            <w:left w:w="0" w:type="dxa"/>
            <w:bottom w:w="0" w:type="dxa"/>
            <w:right w:w="0" w:type="dxa"/>
          </w:tblCellMar>
        </w:tblPrEx>
        <w:trPr>
          <w:trHeight w:val="500" w:hRule="atLeast"/>
        </w:trPr>
        <w:tc>
          <w:tcPr>
            <w:tcW w:w="5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30</w:t>
            </w:r>
          </w:p>
        </w:tc>
        <w:tc>
          <w:tcPr>
            <w:tcW w:w="2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黔江区城西医养结合中心建设项目</w:t>
            </w:r>
          </w:p>
        </w:tc>
        <w:tc>
          <w:tcPr>
            <w:tcW w:w="4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新建及改扩建业务用房7000㎡，配套消毒供应、污水处置、配电发电、医疗设备及信息化建设等。</w:t>
            </w:r>
          </w:p>
        </w:tc>
        <w:tc>
          <w:tcPr>
            <w:tcW w:w="10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新建及改扩建</w:t>
            </w:r>
          </w:p>
        </w:tc>
        <w:tc>
          <w:tcPr>
            <w:tcW w:w="919"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7000</w:t>
            </w:r>
          </w:p>
        </w:tc>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5000</w:t>
            </w:r>
          </w:p>
        </w:tc>
        <w:tc>
          <w:tcPr>
            <w:tcW w:w="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2000</w:t>
            </w:r>
          </w:p>
        </w:tc>
        <w:tc>
          <w:tcPr>
            <w:tcW w:w="1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2450</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2"/>
                <w:szCs w:val="22"/>
              </w:rPr>
            </w:pPr>
          </w:p>
        </w:tc>
      </w:tr>
      <w:tr>
        <w:tblPrEx>
          <w:tblLayout w:type="fixed"/>
          <w:tblCellMar>
            <w:top w:w="0" w:type="dxa"/>
            <w:left w:w="0" w:type="dxa"/>
            <w:bottom w:w="0" w:type="dxa"/>
            <w:right w:w="0" w:type="dxa"/>
          </w:tblCellMar>
        </w:tblPrEx>
        <w:trPr>
          <w:trHeight w:val="500" w:hRule="atLeast"/>
        </w:trPr>
        <w:tc>
          <w:tcPr>
            <w:tcW w:w="5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31</w:t>
            </w:r>
          </w:p>
        </w:tc>
        <w:tc>
          <w:tcPr>
            <w:tcW w:w="2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黔江中心医院石会分院建设项目</w:t>
            </w:r>
          </w:p>
        </w:tc>
        <w:tc>
          <w:tcPr>
            <w:tcW w:w="4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改扩建业务用房7000㎡，开放病床 120张，配套消毒供应、污水处置、配电发电、医疗设备及信息化建设等。</w:t>
            </w:r>
          </w:p>
        </w:tc>
        <w:tc>
          <w:tcPr>
            <w:tcW w:w="10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改扩建</w:t>
            </w:r>
          </w:p>
        </w:tc>
        <w:tc>
          <w:tcPr>
            <w:tcW w:w="919"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7000</w:t>
            </w:r>
          </w:p>
        </w:tc>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7000</w:t>
            </w:r>
          </w:p>
        </w:tc>
        <w:tc>
          <w:tcPr>
            <w:tcW w:w="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2"/>
                <w:szCs w:val="22"/>
              </w:rPr>
            </w:pPr>
          </w:p>
        </w:tc>
        <w:tc>
          <w:tcPr>
            <w:tcW w:w="1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5000</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2"/>
                <w:szCs w:val="22"/>
              </w:rPr>
            </w:pPr>
          </w:p>
        </w:tc>
      </w:tr>
      <w:tr>
        <w:tblPrEx>
          <w:tblLayout w:type="fixed"/>
          <w:tblCellMar>
            <w:top w:w="0" w:type="dxa"/>
            <w:left w:w="0" w:type="dxa"/>
            <w:bottom w:w="0" w:type="dxa"/>
            <w:right w:w="0" w:type="dxa"/>
          </w:tblCellMar>
        </w:tblPrEx>
        <w:trPr>
          <w:trHeight w:val="500" w:hRule="atLeast"/>
        </w:trPr>
        <w:tc>
          <w:tcPr>
            <w:tcW w:w="5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32</w:t>
            </w:r>
          </w:p>
        </w:tc>
        <w:tc>
          <w:tcPr>
            <w:tcW w:w="2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黔江区中医院黄溪分院建设项目</w:t>
            </w:r>
          </w:p>
        </w:tc>
        <w:tc>
          <w:tcPr>
            <w:tcW w:w="4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改扩建业务用房7000㎡，开放病床 120张，配套消毒供应、污水处置、配电发电、医疗设备及信息化建设等。</w:t>
            </w:r>
          </w:p>
        </w:tc>
        <w:tc>
          <w:tcPr>
            <w:tcW w:w="10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改扩建</w:t>
            </w:r>
          </w:p>
        </w:tc>
        <w:tc>
          <w:tcPr>
            <w:tcW w:w="919"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7000</w:t>
            </w:r>
          </w:p>
        </w:tc>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7000</w:t>
            </w:r>
          </w:p>
        </w:tc>
        <w:tc>
          <w:tcPr>
            <w:tcW w:w="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2"/>
                <w:szCs w:val="22"/>
              </w:rPr>
            </w:pPr>
          </w:p>
        </w:tc>
        <w:tc>
          <w:tcPr>
            <w:tcW w:w="1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5000</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2"/>
                <w:szCs w:val="22"/>
              </w:rPr>
            </w:pPr>
          </w:p>
        </w:tc>
      </w:tr>
      <w:tr>
        <w:tblPrEx>
          <w:tblLayout w:type="fixed"/>
          <w:tblCellMar>
            <w:top w:w="0" w:type="dxa"/>
            <w:left w:w="0" w:type="dxa"/>
            <w:bottom w:w="0" w:type="dxa"/>
            <w:right w:w="0" w:type="dxa"/>
          </w:tblCellMar>
        </w:tblPrEx>
        <w:trPr>
          <w:trHeight w:val="500" w:hRule="atLeast"/>
        </w:trPr>
        <w:tc>
          <w:tcPr>
            <w:tcW w:w="5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33</w:t>
            </w:r>
          </w:p>
        </w:tc>
        <w:tc>
          <w:tcPr>
            <w:tcW w:w="2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黔江中心医院濯水分院建设项目</w:t>
            </w:r>
          </w:p>
        </w:tc>
        <w:tc>
          <w:tcPr>
            <w:tcW w:w="4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改扩建业务用房7000㎡，开放病床 120张，配套消毒供应、污水处置、配电发电、医疗设备及信息化建设等。</w:t>
            </w:r>
          </w:p>
        </w:tc>
        <w:tc>
          <w:tcPr>
            <w:tcW w:w="10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新建</w:t>
            </w:r>
          </w:p>
        </w:tc>
        <w:tc>
          <w:tcPr>
            <w:tcW w:w="919"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7000</w:t>
            </w:r>
          </w:p>
        </w:tc>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7000</w:t>
            </w:r>
          </w:p>
        </w:tc>
        <w:tc>
          <w:tcPr>
            <w:tcW w:w="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2"/>
                <w:szCs w:val="22"/>
              </w:rPr>
            </w:pPr>
          </w:p>
        </w:tc>
        <w:tc>
          <w:tcPr>
            <w:tcW w:w="1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5000</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2"/>
                <w:szCs w:val="22"/>
              </w:rPr>
            </w:pPr>
          </w:p>
        </w:tc>
      </w:tr>
      <w:tr>
        <w:tblPrEx>
          <w:tblLayout w:type="fixed"/>
          <w:tblCellMar>
            <w:top w:w="0" w:type="dxa"/>
            <w:left w:w="0" w:type="dxa"/>
            <w:bottom w:w="0" w:type="dxa"/>
            <w:right w:w="0" w:type="dxa"/>
          </w:tblCellMar>
        </w:tblPrEx>
        <w:trPr>
          <w:trHeight w:val="500" w:hRule="atLeast"/>
        </w:trPr>
        <w:tc>
          <w:tcPr>
            <w:tcW w:w="5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34</w:t>
            </w:r>
          </w:p>
        </w:tc>
        <w:tc>
          <w:tcPr>
            <w:tcW w:w="2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黔江区中医院马喇分院建设项目</w:t>
            </w:r>
          </w:p>
        </w:tc>
        <w:tc>
          <w:tcPr>
            <w:tcW w:w="4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改扩建业务用房7000㎡，开放病床 120张，配套消毒供应、污水处置、配电发电、医疗设备及信息化建设等。</w:t>
            </w:r>
          </w:p>
        </w:tc>
        <w:tc>
          <w:tcPr>
            <w:tcW w:w="10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改扩建</w:t>
            </w:r>
          </w:p>
        </w:tc>
        <w:tc>
          <w:tcPr>
            <w:tcW w:w="919"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7000</w:t>
            </w:r>
          </w:p>
        </w:tc>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7000</w:t>
            </w:r>
          </w:p>
        </w:tc>
        <w:tc>
          <w:tcPr>
            <w:tcW w:w="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2"/>
                <w:szCs w:val="22"/>
              </w:rPr>
            </w:pPr>
          </w:p>
        </w:tc>
        <w:tc>
          <w:tcPr>
            <w:tcW w:w="1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5000</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2"/>
                <w:szCs w:val="22"/>
              </w:rPr>
            </w:pPr>
          </w:p>
        </w:tc>
      </w:tr>
      <w:tr>
        <w:tblPrEx>
          <w:tblLayout w:type="fixed"/>
          <w:tblCellMar>
            <w:top w:w="0" w:type="dxa"/>
            <w:left w:w="0" w:type="dxa"/>
            <w:bottom w:w="0" w:type="dxa"/>
            <w:right w:w="0" w:type="dxa"/>
          </w:tblCellMar>
        </w:tblPrEx>
        <w:trPr>
          <w:trHeight w:val="500" w:hRule="atLeast"/>
        </w:trPr>
        <w:tc>
          <w:tcPr>
            <w:tcW w:w="5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35</w:t>
            </w:r>
          </w:p>
        </w:tc>
        <w:tc>
          <w:tcPr>
            <w:tcW w:w="2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黔江区黑溪镇卫生院业务用房建设项目</w:t>
            </w:r>
          </w:p>
        </w:tc>
        <w:tc>
          <w:tcPr>
            <w:tcW w:w="4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新建业务用房3000㎡，配套消毒供应、污水处置、配电发电、医疗设备及信息化建设等。</w:t>
            </w:r>
          </w:p>
        </w:tc>
        <w:tc>
          <w:tcPr>
            <w:tcW w:w="10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新建</w:t>
            </w:r>
          </w:p>
        </w:tc>
        <w:tc>
          <w:tcPr>
            <w:tcW w:w="919"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3000</w:t>
            </w:r>
          </w:p>
        </w:tc>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3000</w:t>
            </w:r>
          </w:p>
        </w:tc>
        <w:tc>
          <w:tcPr>
            <w:tcW w:w="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2"/>
                <w:szCs w:val="22"/>
              </w:rPr>
            </w:pPr>
          </w:p>
        </w:tc>
        <w:tc>
          <w:tcPr>
            <w:tcW w:w="1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2560</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2"/>
                <w:szCs w:val="22"/>
              </w:rPr>
            </w:pPr>
          </w:p>
        </w:tc>
      </w:tr>
      <w:tr>
        <w:tblPrEx>
          <w:tblLayout w:type="fixed"/>
          <w:tblCellMar>
            <w:top w:w="0" w:type="dxa"/>
            <w:left w:w="0" w:type="dxa"/>
            <w:bottom w:w="0" w:type="dxa"/>
            <w:right w:w="0" w:type="dxa"/>
          </w:tblCellMar>
        </w:tblPrEx>
        <w:trPr>
          <w:trHeight w:val="500" w:hRule="atLeast"/>
        </w:trPr>
        <w:tc>
          <w:tcPr>
            <w:tcW w:w="5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36</w:t>
            </w:r>
          </w:p>
        </w:tc>
        <w:tc>
          <w:tcPr>
            <w:tcW w:w="2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黔江区冯家社区医院业务用房建设项目</w:t>
            </w:r>
          </w:p>
        </w:tc>
        <w:tc>
          <w:tcPr>
            <w:tcW w:w="4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新建业务用房6000㎡，配套消毒供应、污水处置、配电发电、医疗设备及信息化建设等。</w:t>
            </w:r>
          </w:p>
        </w:tc>
        <w:tc>
          <w:tcPr>
            <w:tcW w:w="10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新建</w:t>
            </w:r>
          </w:p>
        </w:tc>
        <w:tc>
          <w:tcPr>
            <w:tcW w:w="919"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6000</w:t>
            </w:r>
          </w:p>
        </w:tc>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6000</w:t>
            </w:r>
          </w:p>
        </w:tc>
        <w:tc>
          <w:tcPr>
            <w:tcW w:w="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2"/>
                <w:szCs w:val="22"/>
              </w:rPr>
            </w:pPr>
          </w:p>
        </w:tc>
        <w:tc>
          <w:tcPr>
            <w:tcW w:w="1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4200</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2"/>
                <w:szCs w:val="22"/>
              </w:rPr>
            </w:pPr>
          </w:p>
        </w:tc>
      </w:tr>
      <w:tr>
        <w:tblPrEx>
          <w:tblLayout w:type="fixed"/>
          <w:tblCellMar>
            <w:top w:w="0" w:type="dxa"/>
            <w:left w:w="0" w:type="dxa"/>
            <w:bottom w:w="0" w:type="dxa"/>
            <w:right w:w="0" w:type="dxa"/>
          </w:tblCellMar>
        </w:tblPrEx>
        <w:trPr>
          <w:trHeight w:val="500" w:hRule="atLeast"/>
        </w:trPr>
        <w:tc>
          <w:tcPr>
            <w:tcW w:w="5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37</w:t>
            </w:r>
          </w:p>
        </w:tc>
        <w:tc>
          <w:tcPr>
            <w:tcW w:w="2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黔江区城东社区卫生服务中心业务用房改造项目</w:t>
            </w:r>
          </w:p>
        </w:tc>
        <w:tc>
          <w:tcPr>
            <w:tcW w:w="4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改造业务用房11000㎡，配套相应设施设备等。</w:t>
            </w:r>
          </w:p>
        </w:tc>
        <w:tc>
          <w:tcPr>
            <w:tcW w:w="10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改扩建</w:t>
            </w:r>
          </w:p>
        </w:tc>
        <w:tc>
          <w:tcPr>
            <w:tcW w:w="919"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11000</w:t>
            </w:r>
          </w:p>
        </w:tc>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2"/>
                <w:szCs w:val="22"/>
              </w:rPr>
            </w:pPr>
          </w:p>
        </w:tc>
        <w:tc>
          <w:tcPr>
            <w:tcW w:w="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11000</w:t>
            </w:r>
          </w:p>
        </w:tc>
        <w:tc>
          <w:tcPr>
            <w:tcW w:w="1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3500</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2"/>
                <w:szCs w:val="22"/>
              </w:rPr>
            </w:pPr>
          </w:p>
        </w:tc>
      </w:tr>
      <w:tr>
        <w:tblPrEx>
          <w:tblLayout w:type="fixed"/>
          <w:tblCellMar>
            <w:top w:w="0" w:type="dxa"/>
            <w:left w:w="0" w:type="dxa"/>
            <w:bottom w:w="0" w:type="dxa"/>
            <w:right w:w="0" w:type="dxa"/>
          </w:tblCellMar>
        </w:tblPrEx>
        <w:trPr>
          <w:trHeight w:val="500" w:hRule="atLeast"/>
        </w:trPr>
        <w:tc>
          <w:tcPr>
            <w:tcW w:w="5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38</w:t>
            </w:r>
          </w:p>
        </w:tc>
        <w:tc>
          <w:tcPr>
            <w:tcW w:w="2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黔江区太极乡卫生院业务用房建设项目</w:t>
            </w:r>
          </w:p>
        </w:tc>
        <w:tc>
          <w:tcPr>
            <w:tcW w:w="4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新建业务用房3000㎡，配套医疗废水、医疗废物处置等。</w:t>
            </w:r>
          </w:p>
        </w:tc>
        <w:tc>
          <w:tcPr>
            <w:tcW w:w="10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新建</w:t>
            </w:r>
          </w:p>
        </w:tc>
        <w:tc>
          <w:tcPr>
            <w:tcW w:w="919"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3000</w:t>
            </w:r>
          </w:p>
        </w:tc>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3000</w:t>
            </w:r>
          </w:p>
        </w:tc>
        <w:tc>
          <w:tcPr>
            <w:tcW w:w="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2"/>
                <w:szCs w:val="22"/>
              </w:rPr>
            </w:pPr>
          </w:p>
        </w:tc>
        <w:tc>
          <w:tcPr>
            <w:tcW w:w="1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1500</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2"/>
                <w:szCs w:val="22"/>
              </w:rPr>
            </w:pPr>
          </w:p>
        </w:tc>
      </w:tr>
      <w:tr>
        <w:tblPrEx>
          <w:tblLayout w:type="fixed"/>
          <w:tblCellMar>
            <w:top w:w="0" w:type="dxa"/>
            <w:left w:w="0" w:type="dxa"/>
            <w:bottom w:w="0" w:type="dxa"/>
            <w:right w:w="0" w:type="dxa"/>
          </w:tblCellMar>
        </w:tblPrEx>
        <w:trPr>
          <w:trHeight w:val="500" w:hRule="atLeast"/>
        </w:trPr>
        <w:tc>
          <w:tcPr>
            <w:tcW w:w="5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39</w:t>
            </w:r>
          </w:p>
        </w:tc>
        <w:tc>
          <w:tcPr>
            <w:tcW w:w="2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黔江区舟白街道社区卫生服务中心业务用房建设项目</w:t>
            </w:r>
          </w:p>
        </w:tc>
        <w:tc>
          <w:tcPr>
            <w:tcW w:w="4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新建业务用房3000㎡，配套消毒供应、污水处置、配电发电、医疗设备及信息化建设等。</w:t>
            </w:r>
          </w:p>
        </w:tc>
        <w:tc>
          <w:tcPr>
            <w:tcW w:w="10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新建</w:t>
            </w:r>
          </w:p>
        </w:tc>
        <w:tc>
          <w:tcPr>
            <w:tcW w:w="919"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3000</w:t>
            </w:r>
          </w:p>
        </w:tc>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3000</w:t>
            </w:r>
          </w:p>
        </w:tc>
        <w:tc>
          <w:tcPr>
            <w:tcW w:w="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2"/>
                <w:szCs w:val="22"/>
              </w:rPr>
            </w:pPr>
          </w:p>
        </w:tc>
        <w:tc>
          <w:tcPr>
            <w:tcW w:w="1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1500</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2"/>
                <w:szCs w:val="22"/>
              </w:rPr>
            </w:pPr>
          </w:p>
        </w:tc>
      </w:tr>
      <w:tr>
        <w:tblPrEx>
          <w:tblLayout w:type="fixed"/>
          <w:tblCellMar>
            <w:top w:w="0" w:type="dxa"/>
            <w:left w:w="0" w:type="dxa"/>
            <w:bottom w:w="0" w:type="dxa"/>
            <w:right w:w="0" w:type="dxa"/>
          </w:tblCellMar>
        </w:tblPrEx>
        <w:trPr>
          <w:trHeight w:val="500" w:hRule="atLeast"/>
        </w:trPr>
        <w:tc>
          <w:tcPr>
            <w:tcW w:w="5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40</w:t>
            </w:r>
          </w:p>
        </w:tc>
        <w:tc>
          <w:tcPr>
            <w:tcW w:w="2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黔江区正阳街道社区卫生服务中心迁建项目</w:t>
            </w:r>
          </w:p>
        </w:tc>
        <w:tc>
          <w:tcPr>
            <w:tcW w:w="4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新建业务用房7000㎡，配套消毒供应、污水处置、配电发电、医疗设备及信息化建设等。</w:t>
            </w:r>
          </w:p>
        </w:tc>
        <w:tc>
          <w:tcPr>
            <w:tcW w:w="10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新建</w:t>
            </w:r>
          </w:p>
        </w:tc>
        <w:tc>
          <w:tcPr>
            <w:tcW w:w="919"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7000</w:t>
            </w:r>
          </w:p>
        </w:tc>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7000</w:t>
            </w:r>
          </w:p>
        </w:tc>
        <w:tc>
          <w:tcPr>
            <w:tcW w:w="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2"/>
                <w:szCs w:val="22"/>
              </w:rPr>
            </w:pPr>
          </w:p>
        </w:tc>
        <w:tc>
          <w:tcPr>
            <w:tcW w:w="1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6000</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2"/>
                <w:szCs w:val="22"/>
              </w:rPr>
            </w:pPr>
          </w:p>
        </w:tc>
      </w:tr>
      <w:tr>
        <w:tblPrEx>
          <w:tblLayout w:type="fixed"/>
          <w:tblCellMar>
            <w:top w:w="0" w:type="dxa"/>
            <w:left w:w="0" w:type="dxa"/>
            <w:bottom w:w="0" w:type="dxa"/>
            <w:right w:w="0" w:type="dxa"/>
          </w:tblCellMar>
        </w:tblPrEx>
        <w:trPr>
          <w:trHeight w:val="500" w:hRule="atLeast"/>
        </w:trPr>
        <w:tc>
          <w:tcPr>
            <w:tcW w:w="5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41</w:t>
            </w:r>
          </w:p>
        </w:tc>
        <w:tc>
          <w:tcPr>
            <w:tcW w:w="2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黔江城南医养结合中心建设项目</w:t>
            </w:r>
          </w:p>
        </w:tc>
        <w:tc>
          <w:tcPr>
            <w:tcW w:w="4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新建及改扩建业务用房15000㎡，设置床位500张，配套消毒供应、污水处置、配电发电、医疗办公设备及信息化建设等。</w:t>
            </w:r>
          </w:p>
        </w:tc>
        <w:tc>
          <w:tcPr>
            <w:tcW w:w="10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新建</w:t>
            </w:r>
          </w:p>
        </w:tc>
        <w:tc>
          <w:tcPr>
            <w:tcW w:w="9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15000</w:t>
            </w:r>
          </w:p>
        </w:tc>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12000</w:t>
            </w:r>
          </w:p>
        </w:tc>
        <w:tc>
          <w:tcPr>
            <w:tcW w:w="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3000</w:t>
            </w:r>
          </w:p>
        </w:tc>
        <w:tc>
          <w:tcPr>
            <w:tcW w:w="1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7650</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2022-2024</w:t>
            </w:r>
          </w:p>
        </w:tc>
      </w:tr>
      <w:tr>
        <w:tblPrEx>
          <w:tblLayout w:type="fixed"/>
          <w:tblCellMar>
            <w:top w:w="0" w:type="dxa"/>
            <w:left w:w="0" w:type="dxa"/>
            <w:bottom w:w="0" w:type="dxa"/>
            <w:right w:w="0" w:type="dxa"/>
          </w:tblCellMar>
        </w:tblPrEx>
        <w:trPr>
          <w:trHeight w:val="500" w:hRule="atLeast"/>
        </w:trPr>
        <w:tc>
          <w:tcPr>
            <w:tcW w:w="5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42</w:t>
            </w:r>
          </w:p>
        </w:tc>
        <w:tc>
          <w:tcPr>
            <w:tcW w:w="2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黔江区中医院县域综合服务能力提标扩能建设项目</w:t>
            </w:r>
          </w:p>
        </w:tc>
        <w:tc>
          <w:tcPr>
            <w:tcW w:w="4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改扩建西山院区业务用房总建筑面积40000㎡；配套消毒供应、供氧负压、污水处置、配电发电、医疗设备及信息化建设等。</w:t>
            </w:r>
          </w:p>
        </w:tc>
        <w:tc>
          <w:tcPr>
            <w:tcW w:w="10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改扩建</w:t>
            </w:r>
          </w:p>
        </w:tc>
        <w:tc>
          <w:tcPr>
            <w:tcW w:w="9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40000</w:t>
            </w:r>
          </w:p>
        </w:tc>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2"/>
                <w:szCs w:val="22"/>
              </w:rPr>
            </w:pPr>
          </w:p>
        </w:tc>
        <w:tc>
          <w:tcPr>
            <w:tcW w:w="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40000</w:t>
            </w:r>
          </w:p>
        </w:tc>
        <w:tc>
          <w:tcPr>
            <w:tcW w:w="1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7000</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2023-2025</w:t>
            </w:r>
          </w:p>
        </w:tc>
      </w:tr>
      <w:tr>
        <w:tblPrEx>
          <w:tblLayout w:type="fixed"/>
          <w:tblCellMar>
            <w:top w:w="0" w:type="dxa"/>
            <w:left w:w="0" w:type="dxa"/>
            <w:bottom w:w="0" w:type="dxa"/>
            <w:right w:w="0" w:type="dxa"/>
          </w:tblCellMar>
        </w:tblPrEx>
        <w:trPr>
          <w:trHeight w:val="500" w:hRule="atLeast"/>
        </w:trPr>
        <w:tc>
          <w:tcPr>
            <w:tcW w:w="5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43</w:t>
            </w:r>
          </w:p>
        </w:tc>
        <w:tc>
          <w:tcPr>
            <w:tcW w:w="2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黔江区中医院县域综合服务能力提升（传承创新中心新建）项目</w:t>
            </w:r>
          </w:p>
        </w:tc>
        <w:tc>
          <w:tcPr>
            <w:tcW w:w="4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新建业务用房面积20000㎡，配套完善设施设备。</w:t>
            </w:r>
          </w:p>
        </w:tc>
        <w:tc>
          <w:tcPr>
            <w:tcW w:w="10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新建</w:t>
            </w:r>
          </w:p>
        </w:tc>
        <w:tc>
          <w:tcPr>
            <w:tcW w:w="9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20000</w:t>
            </w:r>
          </w:p>
        </w:tc>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2"/>
                <w:szCs w:val="22"/>
              </w:rPr>
            </w:pPr>
          </w:p>
        </w:tc>
        <w:tc>
          <w:tcPr>
            <w:tcW w:w="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20000</w:t>
            </w:r>
          </w:p>
        </w:tc>
        <w:tc>
          <w:tcPr>
            <w:tcW w:w="1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15000</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2023-2025</w:t>
            </w:r>
          </w:p>
        </w:tc>
      </w:tr>
      <w:tr>
        <w:tblPrEx>
          <w:tblLayout w:type="fixed"/>
          <w:tblCellMar>
            <w:top w:w="0" w:type="dxa"/>
            <w:left w:w="0" w:type="dxa"/>
            <w:bottom w:w="0" w:type="dxa"/>
            <w:right w:w="0" w:type="dxa"/>
          </w:tblCellMar>
        </w:tblPrEx>
        <w:trPr>
          <w:trHeight w:val="500" w:hRule="atLeast"/>
        </w:trPr>
        <w:tc>
          <w:tcPr>
            <w:tcW w:w="5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22"/>
                <w:szCs w:val="22"/>
                <w:lang w:bidi="ar"/>
              </w:rPr>
            </w:pPr>
            <w:r>
              <w:rPr>
                <w:color w:val="000000"/>
                <w:kern w:val="0"/>
                <w:sz w:val="22"/>
                <w:szCs w:val="22"/>
                <w:lang w:bidi="ar"/>
              </w:rPr>
              <w:t>44</w:t>
            </w:r>
          </w:p>
        </w:tc>
        <w:tc>
          <w:tcPr>
            <w:tcW w:w="2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kern w:val="0"/>
                <w:sz w:val="22"/>
                <w:szCs w:val="22"/>
                <w:lang w:bidi="ar"/>
              </w:rPr>
            </w:pPr>
            <w:r>
              <w:rPr>
                <w:color w:val="000000"/>
                <w:kern w:val="0"/>
                <w:sz w:val="22"/>
                <w:lang w:bidi="ar"/>
              </w:rPr>
              <w:t>黔江口腔医院</w:t>
            </w:r>
          </w:p>
        </w:tc>
        <w:tc>
          <w:tcPr>
            <w:tcW w:w="4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kern w:val="0"/>
                <w:sz w:val="22"/>
                <w:szCs w:val="22"/>
                <w:lang w:bidi="ar"/>
              </w:rPr>
            </w:pPr>
            <w:r>
              <w:rPr>
                <w:color w:val="000000"/>
                <w:kern w:val="0"/>
                <w:sz w:val="22"/>
                <w:lang w:bidi="ar"/>
              </w:rPr>
              <w:t>新建业务用房15000㎡。</w:t>
            </w:r>
          </w:p>
        </w:tc>
        <w:tc>
          <w:tcPr>
            <w:tcW w:w="10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22"/>
                <w:szCs w:val="22"/>
                <w:lang w:bidi="ar"/>
              </w:rPr>
            </w:pPr>
            <w:r>
              <w:rPr>
                <w:color w:val="000000"/>
                <w:kern w:val="0"/>
                <w:sz w:val="22"/>
                <w:szCs w:val="22"/>
                <w:lang w:bidi="ar"/>
              </w:rPr>
              <w:t>新建</w:t>
            </w:r>
          </w:p>
        </w:tc>
        <w:tc>
          <w:tcPr>
            <w:tcW w:w="9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22"/>
                <w:szCs w:val="22"/>
                <w:lang w:bidi="ar"/>
              </w:rPr>
            </w:pPr>
            <w:r>
              <w:rPr>
                <w:color w:val="000000"/>
                <w:kern w:val="0"/>
                <w:sz w:val="22"/>
                <w:szCs w:val="22"/>
                <w:lang w:bidi="ar"/>
              </w:rPr>
              <w:t>15000</w:t>
            </w:r>
          </w:p>
        </w:tc>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2"/>
                <w:szCs w:val="22"/>
              </w:rPr>
            </w:pPr>
            <w:r>
              <w:rPr>
                <w:color w:val="000000"/>
                <w:sz w:val="22"/>
                <w:szCs w:val="22"/>
              </w:rPr>
              <w:t>15000</w:t>
            </w:r>
          </w:p>
        </w:tc>
        <w:tc>
          <w:tcPr>
            <w:tcW w:w="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22"/>
                <w:szCs w:val="22"/>
                <w:lang w:bidi="ar"/>
              </w:rPr>
            </w:pPr>
          </w:p>
        </w:tc>
        <w:tc>
          <w:tcPr>
            <w:tcW w:w="1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22"/>
                <w:szCs w:val="22"/>
                <w:lang w:bidi="ar"/>
              </w:rPr>
            </w:pPr>
            <w:r>
              <w:rPr>
                <w:color w:val="000000"/>
                <w:kern w:val="0"/>
                <w:sz w:val="22"/>
                <w:szCs w:val="22"/>
                <w:lang w:bidi="ar"/>
              </w:rPr>
              <w:t>20000</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22"/>
                <w:szCs w:val="22"/>
                <w:lang w:bidi="ar"/>
              </w:rPr>
            </w:pPr>
            <w:r>
              <w:rPr>
                <w:color w:val="000000"/>
                <w:kern w:val="0"/>
                <w:sz w:val="22"/>
                <w:szCs w:val="22"/>
                <w:lang w:bidi="ar"/>
              </w:rPr>
              <w:t>2021-2025</w:t>
            </w:r>
          </w:p>
        </w:tc>
      </w:tr>
      <w:tr>
        <w:tblPrEx>
          <w:tblLayout w:type="fixed"/>
          <w:tblCellMar>
            <w:top w:w="0" w:type="dxa"/>
            <w:left w:w="0" w:type="dxa"/>
            <w:bottom w:w="0" w:type="dxa"/>
            <w:right w:w="0" w:type="dxa"/>
          </w:tblCellMar>
        </w:tblPrEx>
        <w:trPr>
          <w:trHeight w:val="500" w:hRule="atLeast"/>
        </w:trPr>
        <w:tc>
          <w:tcPr>
            <w:tcW w:w="5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22"/>
                <w:szCs w:val="22"/>
                <w:lang w:bidi="ar"/>
              </w:rPr>
            </w:pPr>
            <w:r>
              <w:rPr>
                <w:color w:val="000000"/>
                <w:kern w:val="0"/>
                <w:sz w:val="22"/>
                <w:szCs w:val="22"/>
                <w:lang w:bidi="ar"/>
              </w:rPr>
              <w:t>合计</w:t>
            </w:r>
          </w:p>
        </w:tc>
        <w:tc>
          <w:tcPr>
            <w:tcW w:w="2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22"/>
                <w:lang w:bidi="ar"/>
              </w:rPr>
            </w:pPr>
          </w:p>
        </w:tc>
        <w:tc>
          <w:tcPr>
            <w:tcW w:w="4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kern w:val="0"/>
                <w:sz w:val="22"/>
                <w:lang w:bidi="ar"/>
              </w:rPr>
            </w:pPr>
          </w:p>
        </w:tc>
        <w:tc>
          <w:tcPr>
            <w:tcW w:w="10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22"/>
                <w:szCs w:val="22"/>
                <w:lang w:bidi="ar"/>
              </w:rPr>
            </w:pPr>
          </w:p>
        </w:tc>
        <w:tc>
          <w:tcPr>
            <w:tcW w:w="9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22"/>
                <w:szCs w:val="22"/>
                <w:lang w:bidi="ar"/>
              </w:rPr>
            </w:pPr>
          </w:p>
        </w:tc>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2"/>
                <w:szCs w:val="22"/>
              </w:rPr>
            </w:pPr>
          </w:p>
        </w:tc>
        <w:tc>
          <w:tcPr>
            <w:tcW w:w="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22"/>
                <w:szCs w:val="22"/>
                <w:lang w:bidi="ar"/>
              </w:rPr>
            </w:pPr>
          </w:p>
        </w:tc>
        <w:tc>
          <w:tcPr>
            <w:tcW w:w="1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22"/>
                <w:szCs w:val="22"/>
                <w:lang w:bidi="ar"/>
              </w:rPr>
            </w:pPr>
            <w:r>
              <w:rPr>
                <w:color w:val="000000"/>
                <w:kern w:val="0"/>
                <w:sz w:val="22"/>
                <w:szCs w:val="22"/>
                <w:lang w:bidi="ar"/>
              </w:rPr>
              <w:t>361876</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22"/>
                <w:szCs w:val="22"/>
                <w:lang w:bidi="ar"/>
              </w:rPr>
            </w:pPr>
          </w:p>
        </w:tc>
      </w:tr>
    </w:tbl>
    <w:p>
      <w:pPr>
        <w:rPr>
          <w:color w:val="000000"/>
        </w:rPr>
      </w:pPr>
    </w:p>
    <w:p>
      <w:pPr>
        <w:sectPr>
          <w:pgSz w:w="16838" w:h="11906" w:orient="landscape"/>
          <w:pgMar w:top="2098" w:right="1531" w:bottom="1985" w:left="1531" w:header="1418" w:footer="1304" w:gutter="0"/>
          <w:cols w:space="720" w:num="1"/>
          <w:docGrid w:linePitch="442" w:charSpace="0"/>
        </w:sectPr>
      </w:pPr>
    </w:p>
    <w:p>
      <w:pPr>
        <w:spacing w:line="500" w:lineRule="exact"/>
        <w:rPr>
          <w:rFonts w:hint="eastAsia"/>
        </w:rPr>
      </w:pPr>
    </w:p>
    <w:p>
      <w:pPr>
        <w:spacing w:line="500" w:lineRule="exact"/>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Bdr>
          <w:top w:val="single" w:color="auto" w:sz="4" w:space="1"/>
          <w:bottom w:val="single" w:color="auto" w:sz="8" w:space="1"/>
        </w:pBdr>
      </w:pPr>
      <w:r>
        <w:rPr>
          <w:rFonts w:hint="eastAsia"/>
          <w:sz w:val="28"/>
          <w:szCs w:val="28"/>
        </w:rPr>
        <w:t>重庆市黔江区</w:t>
      </w:r>
      <w:r>
        <w:rPr>
          <w:rFonts w:hint="eastAsia"/>
          <w:sz w:val="28"/>
          <w:szCs w:val="28"/>
          <w:lang w:eastAsia="zh-CN"/>
        </w:rPr>
        <w:t>人民政府办公室</w:t>
      </w:r>
      <w:r>
        <w:rPr>
          <w:rFonts w:hint="eastAsia"/>
          <w:sz w:val="28"/>
          <w:szCs w:val="28"/>
        </w:rPr>
        <w:t xml:space="preserve">              </w:t>
      </w:r>
      <w:r>
        <w:rPr>
          <w:rFonts w:hint="eastAsia"/>
          <w:sz w:val="28"/>
          <w:szCs w:val="28"/>
          <w:lang w:val="en-US" w:eastAsia="zh-CN"/>
        </w:rPr>
        <w:t xml:space="preserve">     </w:t>
      </w:r>
      <w:r>
        <w:rPr>
          <w:rFonts w:hint="eastAsia"/>
          <w:sz w:val="28"/>
          <w:szCs w:val="28"/>
        </w:rPr>
        <w:t>2021年</w:t>
      </w:r>
      <w:r>
        <w:rPr>
          <w:rFonts w:hint="eastAsia"/>
          <w:sz w:val="28"/>
          <w:szCs w:val="28"/>
          <w:lang w:val="en-US" w:eastAsia="zh-CN"/>
        </w:rPr>
        <w:t>12</w:t>
      </w:r>
      <w:r>
        <w:rPr>
          <w:rFonts w:hint="eastAsia"/>
          <w:sz w:val="28"/>
          <w:szCs w:val="28"/>
        </w:rPr>
        <w:t>月</w:t>
      </w:r>
      <w:r>
        <w:rPr>
          <w:rFonts w:hint="eastAsia"/>
          <w:sz w:val="28"/>
          <w:szCs w:val="28"/>
          <w:lang w:val="en-US" w:eastAsia="zh-CN"/>
        </w:rPr>
        <w:t>29</w:t>
      </w:r>
      <w:r>
        <w:rPr>
          <w:rFonts w:hint="eastAsia"/>
          <w:sz w:val="28"/>
          <w:szCs w:val="28"/>
        </w:rPr>
        <w:t>日印</w:t>
      </w:r>
    </w:p>
    <w:sectPr>
      <w:pgSz w:w="11906" w:h="16838"/>
      <w:pgMar w:top="1418" w:right="1531" w:bottom="1418" w:left="1531" w:header="851" w:footer="907"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2074651"/>
      <w:docPartObj>
        <w:docPartGallery w:val="autotext"/>
      </w:docPartObj>
    </w:sdtPr>
    <w:sdtEndPr>
      <w:rPr>
        <w:rFonts w:asciiTheme="majorEastAsia" w:hAnsiTheme="majorEastAsia" w:eastAsiaTheme="majorEastAsia"/>
        <w:sz w:val="28"/>
        <w:szCs w:val="28"/>
      </w:rPr>
    </w:sdtEndPr>
    <w:sdtContent>
      <w:p>
        <w:pPr>
          <w:pStyle w:val="7"/>
          <w:jc w:val="right"/>
          <w:rPr>
            <w:rFonts w:asciiTheme="majorEastAsia" w:hAnsiTheme="majorEastAsia" w:eastAsiaTheme="majorEastAsia"/>
            <w:sz w:val="28"/>
            <w:szCs w:val="28"/>
          </w:rPr>
        </w:pPr>
        <w:r>
          <w:rPr>
            <w:rFonts w:asciiTheme="majorEastAsia" w:hAnsiTheme="majorEastAsia" w:eastAsiaTheme="majorEastAsia"/>
            <w:sz w:val="28"/>
            <w:szCs w:val="28"/>
          </w:rPr>
          <w:t xml:space="preserve">— </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5</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 xml:space="preserve"> </w:t>
        </w:r>
        <w:r>
          <w:rPr>
            <w:rFonts w:asciiTheme="majorEastAsia" w:hAnsiTheme="majorEastAsia" w:eastAsiaTheme="majorEastAsia"/>
            <w:sz w:val="28"/>
            <w:szCs w:val="28"/>
          </w:rPr>
          <w:t>—</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60155630"/>
      <w:docPartObj>
        <w:docPartGallery w:val="autotext"/>
      </w:docPartObj>
    </w:sdtPr>
    <w:sdtEndPr>
      <w:rPr>
        <w:rFonts w:asciiTheme="majorEastAsia" w:hAnsiTheme="majorEastAsia" w:eastAsiaTheme="majorEastAsia"/>
        <w:sz w:val="28"/>
        <w:szCs w:val="28"/>
      </w:rPr>
    </w:sdtEndPr>
    <w:sdtContent>
      <w:p>
        <w:pPr>
          <w:pStyle w:val="7"/>
          <w:rPr>
            <w:rFonts w:asciiTheme="majorEastAsia" w:hAnsiTheme="majorEastAsia" w:eastAsiaTheme="majorEastAsia"/>
            <w:sz w:val="28"/>
            <w:szCs w:val="28"/>
          </w:rPr>
        </w:pPr>
        <w:r>
          <w:rPr>
            <w:rFonts w:asciiTheme="majorEastAsia" w:hAnsiTheme="majorEastAsia" w:eastAsiaTheme="majorEastAsia"/>
            <w:sz w:val="28"/>
            <w:szCs w:val="28"/>
          </w:rPr>
          <w:t xml:space="preserve">— </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6</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 xml:space="preserve"> </w:t>
        </w:r>
        <w:r>
          <w:rPr>
            <w:rFonts w:asciiTheme="majorEastAsia" w:hAnsiTheme="majorEastAsia" w:eastAsiaTheme="majorEastAsia"/>
            <w:sz w:val="28"/>
            <w:szCs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000"/>
    <w:rsid w:val="00046578"/>
    <w:rsid w:val="00061AA0"/>
    <w:rsid w:val="00070E28"/>
    <w:rsid w:val="00135DEE"/>
    <w:rsid w:val="001515EE"/>
    <w:rsid w:val="003B48AD"/>
    <w:rsid w:val="00442AF7"/>
    <w:rsid w:val="005F795F"/>
    <w:rsid w:val="00637615"/>
    <w:rsid w:val="00651704"/>
    <w:rsid w:val="00684DB8"/>
    <w:rsid w:val="0083111A"/>
    <w:rsid w:val="008D21E7"/>
    <w:rsid w:val="0098196A"/>
    <w:rsid w:val="00A0453A"/>
    <w:rsid w:val="00A40B11"/>
    <w:rsid w:val="00AB1000"/>
    <w:rsid w:val="00B46930"/>
    <w:rsid w:val="00BB1502"/>
    <w:rsid w:val="00C25C3F"/>
    <w:rsid w:val="00C65E11"/>
    <w:rsid w:val="00C75D81"/>
    <w:rsid w:val="00D21CE4"/>
    <w:rsid w:val="00D73011"/>
    <w:rsid w:val="00DD5D14"/>
    <w:rsid w:val="00E2133E"/>
    <w:rsid w:val="00E21916"/>
    <w:rsid w:val="00F236A6"/>
    <w:rsid w:val="00F63F42"/>
    <w:rsid w:val="00F774CA"/>
    <w:rsid w:val="0ECF11F2"/>
    <w:rsid w:val="11A97A90"/>
    <w:rsid w:val="1A354AA5"/>
    <w:rsid w:val="20CB1276"/>
    <w:rsid w:val="2F243FD0"/>
    <w:rsid w:val="34E2509B"/>
    <w:rsid w:val="36043889"/>
    <w:rsid w:val="36935415"/>
    <w:rsid w:val="375B3F07"/>
    <w:rsid w:val="3DE71466"/>
    <w:rsid w:val="4876473B"/>
    <w:rsid w:val="50CB1163"/>
    <w:rsid w:val="6DF771FA"/>
    <w:rsid w:val="71862DB3"/>
    <w:rsid w:val="72B0587C"/>
    <w:rsid w:val="73D22720"/>
    <w:rsid w:val="763650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0" w:semiHidden="0" w:name="toc 1"/>
    <w:lsdException w:qFormat="1"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0"/>
      <w:lang w:val="en-US" w:eastAsia="zh-CN" w:bidi="ar-SA"/>
    </w:rPr>
  </w:style>
  <w:style w:type="paragraph" w:styleId="3">
    <w:name w:val="heading 1"/>
    <w:basedOn w:val="1"/>
    <w:next w:val="1"/>
    <w:link w:val="19"/>
    <w:qFormat/>
    <w:uiPriority w:val="0"/>
    <w:pPr>
      <w:keepNext/>
      <w:keepLines/>
      <w:spacing w:line="576" w:lineRule="auto"/>
      <w:outlineLvl w:val="0"/>
    </w:pPr>
    <w:rPr>
      <w:b/>
      <w:kern w:val="44"/>
      <w:sz w:val="44"/>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20"/>
    <w:qFormat/>
    <w:uiPriority w:val="0"/>
    <w:pPr>
      <w:spacing w:after="120"/>
    </w:pPr>
    <w:rPr>
      <w:szCs w:val="24"/>
    </w:rPr>
  </w:style>
  <w:style w:type="paragraph" w:styleId="4">
    <w:name w:val="Body Text Indent"/>
    <w:basedOn w:val="1"/>
    <w:link w:val="21"/>
    <w:qFormat/>
    <w:uiPriority w:val="0"/>
    <w:pPr>
      <w:ind w:right="-2" w:rightChars="-1" w:firstLine="948" w:firstLineChars="300"/>
    </w:pPr>
    <w:rPr>
      <w:rFonts w:ascii="仿宋_GB2312" w:eastAsia="仿宋_GB2312"/>
      <w:bCs/>
      <w:szCs w:val="24"/>
    </w:rPr>
  </w:style>
  <w:style w:type="paragraph" w:styleId="5">
    <w:name w:val="Date"/>
    <w:basedOn w:val="1"/>
    <w:next w:val="1"/>
    <w:link w:val="22"/>
    <w:qFormat/>
    <w:uiPriority w:val="0"/>
    <w:pPr>
      <w:ind w:left="100" w:leftChars="2500"/>
    </w:pPr>
  </w:style>
  <w:style w:type="paragraph" w:styleId="6">
    <w:name w:val="Balloon Text"/>
    <w:basedOn w:val="1"/>
    <w:link w:val="23"/>
    <w:qFormat/>
    <w:uiPriority w:val="0"/>
    <w:rPr>
      <w:sz w:val="18"/>
      <w:szCs w:val="18"/>
    </w:rPr>
  </w:style>
  <w:style w:type="paragraph" w:styleId="7">
    <w:name w:val="footer"/>
    <w:basedOn w:val="1"/>
    <w:link w:val="24"/>
    <w:unhideWhenUsed/>
    <w:qFormat/>
    <w:uiPriority w:val="99"/>
    <w:pPr>
      <w:tabs>
        <w:tab w:val="center" w:pos="4153"/>
        <w:tab w:val="right" w:pos="8306"/>
      </w:tabs>
      <w:snapToGrid w:val="0"/>
      <w:jc w:val="left"/>
    </w:pPr>
    <w:rPr>
      <w:kern w:val="0"/>
      <w:sz w:val="18"/>
      <w:szCs w:val="18"/>
    </w:rPr>
  </w:style>
  <w:style w:type="paragraph" w:styleId="8">
    <w:name w:val="header"/>
    <w:basedOn w:val="1"/>
    <w:link w:val="25"/>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0"/>
    <w:pPr>
      <w:tabs>
        <w:tab w:val="right" w:leader="dot" w:pos="8296"/>
      </w:tabs>
      <w:spacing w:line="560" w:lineRule="exact"/>
    </w:pPr>
    <w:rPr>
      <w:rFonts w:ascii="方正仿宋_GBK"/>
      <w:b/>
      <w:bCs/>
      <w:sz w:val="24"/>
      <w:szCs w:val="24"/>
    </w:rPr>
  </w:style>
  <w:style w:type="paragraph" w:styleId="10">
    <w:name w:val="Body Text Indent 3"/>
    <w:basedOn w:val="1"/>
    <w:link w:val="26"/>
    <w:qFormat/>
    <w:uiPriority w:val="0"/>
    <w:pPr>
      <w:spacing w:after="120"/>
      <w:ind w:left="420" w:leftChars="200"/>
    </w:pPr>
    <w:rPr>
      <w:sz w:val="16"/>
      <w:szCs w:val="16"/>
    </w:rPr>
  </w:style>
  <w:style w:type="paragraph" w:styleId="11">
    <w:name w:val="toc 2"/>
    <w:basedOn w:val="1"/>
    <w:next w:val="1"/>
    <w:unhideWhenUsed/>
    <w:qFormat/>
    <w:uiPriority w:val="0"/>
    <w:pPr>
      <w:tabs>
        <w:tab w:val="right" w:leader="dot" w:pos="8296"/>
      </w:tabs>
      <w:spacing w:line="520" w:lineRule="exact"/>
    </w:pPr>
  </w:style>
  <w:style w:type="paragraph" w:styleId="12">
    <w:name w:val="Normal (Web)"/>
    <w:basedOn w:val="1"/>
    <w:unhideWhenUsed/>
    <w:qFormat/>
    <w:uiPriority w:val="0"/>
    <w:pPr>
      <w:jc w:val="left"/>
    </w:pPr>
    <w:rPr>
      <w:kern w:val="0"/>
      <w:sz w:val="24"/>
    </w:rPr>
  </w:style>
  <w:style w:type="paragraph" w:styleId="13">
    <w:name w:val="Body Text First Indent 2"/>
    <w:basedOn w:val="4"/>
    <w:link w:val="27"/>
    <w:qFormat/>
    <w:uiPriority w:val="0"/>
    <w:pPr>
      <w:spacing w:after="120"/>
      <w:ind w:left="420" w:leftChars="200" w:right="0" w:rightChars="0" w:firstLine="420" w:firstLineChars="200"/>
    </w:pPr>
    <w:rPr>
      <w:rFonts w:ascii="Times New Roman" w:eastAsia="方正仿宋_GBK"/>
      <w:bCs w:val="0"/>
      <w:szCs w:val="20"/>
    </w:rPr>
  </w:style>
  <w:style w:type="character" w:styleId="16">
    <w:name w:val="page number"/>
    <w:qFormat/>
    <w:uiPriority w:val="0"/>
  </w:style>
  <w:style w:type="character" w:styleId="17">
    <w:name w:val="Hyperlink"/>
    <w:unhideWhenUsed/>
    <w:qFormat/>
    <w:uiPriority w:val="0"/>
    <w:rPr>
      <w:color w:val="333333"/>
      <w:u w:val="none"/>
    </w:rPr>
  </w:style>
  <w:style w:type="paragraph" w:customStyle="1" w:styleId="18">
    <w:name w:val="Default"/>
    <w:qFormat/>
    <w:uiPriority w:val="0"/>
    <w:pPr>
      <w:widowControl w:val="0"/>
      <w:autoSpaceDE w:val="0"/>
      <w:autoSpaceDN w:val="0"/>
      <w:adjustRightInd w:val="0"/>
    </w:pPr>
    <w:rPr>
      <w:rFonts w:ascii="仿宋_GB2312" w:hAnsi="Times New Roman" w:eastAsia="仿宋_GB2312" w:cs="仿宋_GB2312"/>
      <w:color w:val="000000"/>
      <w:kern w:val="0"/>
      <w:sz w:val="24"/>
      <w:szCs w:val="24"/>
      <w:lang w:val="en-US" w:eastAsia="zh-CN" w:bidi="ar-SA"/>
    </w:rPr>
  </w:style>
  <w:style w:type="character" w:customStyle="1" w:styleId="19">
    <w:name w:val="标题 1 Char"/>
    <w:basedOn w:val="15"/>
    <w:link w:val="3"/>
    <w:qFormat/>
    <w:uiPriority w:val="0"/>
    <w:rPr>
      <w:rFonts w:ascii="Times New Roman" w:hAnsi="Times New Roman" w:eastAsia="方正仿宋_GBK" w:cs="Times New Roman"/>
      <w:b/>
      <w:kern w:val="44"/>
      <w:sz w:val="44"/>
      <w:szCs w:val="20"/>
    </w:rPr>
  </w:style>
  <w:style w:type="character" w:customStyle="1" w:styleId="20">
    <w:name w:val="正文文本 Char"/>
    <w:basedOn w:val="15"/>
    <w:link w:val="2"/>
    <w:qFormat/>
    <w:uiPriority w:val="0"/>
    <w:rPr>
      <w:rFonts w:ascii="Times New Roman" w:hAnsi="Times New Roman" w:eastAsia="方正仿宋_GBK" w:cs="Times New Roman"/>
      <w:sz w:val="32"/>
      <w:szCs w:val="24"/>
    </w:rPr>
  </w:style>
  <w:style w:type="character" w:customStyle="1" w:styleId="21">
    <w:name w:val="正文文本缩进 Char"/>
    <w:basedOn w:val="15"/>
    <w:link w:val="4"/>
    <w:qFormat/>
    <w:uiPriority w:val="0"/>
    <w:rPr>
      <w:rFonts w:ascii="仿宋_GB2312" w:hAnsi="Times New Roman" w:eastAsia="仿宋_GB2312" w:cs="Times New Roman"/>
      <w:bCs/>
      <w:sz w:val="32"/>
      <w:szCs w:val="24"/>
    </w:rPr>
  </w:style>
  <w:style w:type="character" w:customStyle="1" w:styleId="22">
    <w:name w:val="日期 Char"/>
    <w:basedOn w:val="15"/>
    <w:link w:val="5"/>
    <w:qFormat/>
    <w:uiPriority w:val="0"/>
    <w:rPr>
      <w:rFonts w:ascii="Times New Roman" w:hAnsi="Times New Roman" w:eastAsia="方正仿宋_GBK" w:cs="Times New Roman"/>
      <w:sz w:val="32"/>
      <w:szCs w:val="20"/>
    </w:rPr>
  </w:style>
  <w:style w:type="character" w:customStyle="1" w:styleId="23">
    <w:name w:val="批注框文本 Char"/>
    <w:basedOn w:val="15"/>
    <w:link w:val="6"/>
    <w:qFormat/>
    <w:uiPriority w:val="0"/>
    <w:rPr>
      <w:rFonts w:ascii="Times New Roman" w:hAnsi="Times New Roman" w:eastAsia="方正仿宋_GBK" w:cs="Times New Roman"/>
      <w:sz w:val="18"/>
      <w:szCs w:val="18"/>
    </w:rPr>
  </w:style>
  <w:style w:type="character" w:customStyle="1" w:styleId="24">
    <w:name w:val="页脚 Char"/>
    <w:basedOn w:val="15"/>
    <w:link w:val="7"/>
    <w:qFormat/>
    <w:uiPriority w:val="99"/>
    <w:rPr>
      <w:rFonts w:ascii="Times New Roman" w:hAnsi="Times New Roman" w:eastAsia="方正仿宋_GBK" w:cs="Times New Roman"/>
      <w:kern w:val="0"/>
      <w:sz w:val="18"/>
      <w:szCs w:val="18"/>
    </w:rPr>
  </w:style>
  <w:style w:type="character" w:customStyle="1" w:styleId="25">
    <w:name w:val="页眉 Char"/>
    <w:basedOn w:val="15"/>
    <w:link w:val="8"/>
    <w:qFormat/>
    <w:uiPriority w:val="99"/>
    <w:rPr>
      <w:rFonts w:ascii="Times New Roman" w:hAnsi="Times New Roman" w:eastAsia="方正仿宋_GBK" w:cs="Times New Roman"/>
      <w:sz w:val="18"/>
      <w:szCs w:val="18"/>
    </w:rPr>
  </w:style>
  <w:style w:type="character" w:customStyle="1" w:styleId="26">
    <w:name w:val="正文文本缩进 3 Char"/>
    <w:basedOn w:val="15"/>
    <w:link w:val="10"/>
    <w:qFormat/>
    <w:uiPriority w:val="0"/>
    <w:rPr>
      <w:rFonts w:ascii="Times New Roman" w:hAnsi="Times New Roman" w:eastAsia="方正仿宋_GBK" w:cs="Times New Roman"/>
      <w:sz w:val="16"/>
      <w:szCs w:val="16"/>
    </w:rPr>
  </w:style>
  <w:style w:type="character" w:customStyle="1" w:styleId="27">
    <w:name w:val="正文首行缩进 2 Char"/>
    <w:basedOn w:val="21"/>
    <w:link w:val="13"/>
    <w:qFormat/>
    <w:uiPriority w:val="0"/>
    <w:rPr>
      <w:rFonts w:ascii="Times New Roman" w:hAnsi="Times New Roman" w:eastAsia="方正仿宋_GBK" w:cs="Times New Roman"/>
      <w:bCs w:val="0"/>
      <w:sz w:val="32"/>
      <w:szCs w:val="20"/>
    </w:rPr>
  </w:style>
  <w:style w:type="paragraph" w:customStyle="1" w:styleId="28">
    <w:name w:val="列出段落1"/>
    <w:basedOn w:val="1"/>
    <w:qFormat/>
    <w:uiPriority w:val="0"/>
    <w:pPr>
      <w:ind w:firstLine="420" w:firstLineChars="200"/>
    </w:pPr>
    <w:rPr>
      <w:rFonts w:ascii="Calibri" w:hAnsi="Calibri"/>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48</Pages>
  <Words>23467</Words>
  <Characters>24538</Characters>
  <Lines>187</Lines>
  <Paragraphs>52</Paragraphs>
  <TotalTime>1</TotalTime>
  <ScaleCrop>false</ScaleCrop>
  <LinksUpToDate>false</LinksUpToDate>
  <CharactersWithSpaces>24675</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2021-12-27T01:56:00Z</dcterms:created>
  <dc:creator>方茜</dc:creator>
  <cp:lastModifiedBy>政府办用户</cp:lastModifiedBy>
  <cp:lastPrinted>2021-12-28T08:03:00Z</cp:lastPrinted>
  <dcterms:modified xsi:type="dcterms:W3CDTF">2021-12-30T03:51:36Z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