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792"/>
        </w:tabs>
        <w:ind w:right="210" w:rightChars="100"/>
        <w:jc w:val="distribute"/>
        <w:rPr>
          <w:rFonts w:ascii="方正小标宋_GBK" w:eastAsia="方正小标宋_GBK"/>
          <w:b/>
          <w:w w:val="53"/>
          <w:sz w:val="96"/>
          <w:szCs w:val="96"/>
        </w:rPr>
      </w:pPr>
      <w:r>
        <w:rPr>
          <w:rFonts w:hint="eastAsia" w:ascii="方正小标宋_GBK" w:eastAsia="方正小标宋_GBK"/>
          <w:b/>
          <w:bCs/>
          <w:color w:val="FF0000"/>
          <w:w w:val="53"/>
          <w:sz w:val="96"/>
          <w:szCs w:val="96"/>
        </w:rPr>
        <w:t>重庆市黔江区人民政府电子公文</w:t>
      </w:r>
    </w:p>
    <w:p>
      <w:pPr>
        <w:spacing w:line="530" w:lineRule="exact"/>
        <w:ind w:right="63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r>
        <w:rPr>
          <w:rFonts w:hint="eastAsia" w:ascii="方正仿宋_GBK" w:hAnsi="方正仿宋_GBK" w:eastAsia="方正仿宋_GBK" w:cs="方正仿宋_GBK"/>
          <w:sz w:val="32"/>
          <w:szCs w:val="24"/>
        </w:rPr>
        <w:t>黔江府发〔2021〕67号</w:t>
      </w:r>
      <w:r>
        <w:rPr>
          <w:rFonts w:hint="eastAsia" w:ascii="方正仿宋_GBK" w:hAnsi="方正仿宋_GBK" w:eastAsia="方正仿宋_GBK" w:cs="方正仿宋_GBK"/>
          <w:sz w:val="32"/>
          <w:szCs w:val="32"/>
        </w:rPr>
        <w:t xml:space="preserve">       </w:t>
      </w:r>
      <w:r>
        <w:rPr>
          <w:rFonts w:hint="eastAsia" w:ascii="方正仿宋_GBK" w:hAnsi="方正仿宋_GBK" w:cs="方正仿宋_GBK"/>
          <w:sz w:val="32"/>
          <w:szCs w:val="32"/>
        </w:rPr>
        <w:t xml:space="preserve">  </w:t>
      </w:r>
      <w:r>
        <w:rPr>
          <w:rFonts w:hint="eastAsia" w:ascii="方正仿宋_GBK" w:hAnsi="方正仿宋_GBK" w:eastAsia="方正仿宋_GBK" w:cs="方正仿宋_GBK"/>
          <w:sz w:val="32"/>
          <w:szCs w:val="32"/>
        </w:rPr>
        <w:t xml:space="preserve"> </w:t>
      </w:r>
      <w:r>
        <w:rPr>
          <w:rFonts w:hint="eastAsia" w:ascii="方正仿宋_GBK" w:hAnsi="方正仿宋_GBK" w:cs="方正仿宋_GBK"/>
          <w:sz w:val="32"/>
          <w:szCs w:val="32"/>
        </w:rPr>
        <w:t xml:space="preserve"> </w:t>
      </w:r>
      <w:r>
        <w:rPr>
          <w:rFonts w:hint="eastAsia" w:ascii="方正仿宋_GBK" w:hAnsi="方正仿宋_GBK" w:eastAsia="方正仿宋_GBK" w:cs="方正仿宋_GBK"/>
          <w:sz w:val="32"/>
          <w:szCs w:val="32"/>
        </w:rPr>
        <w:t xml:space="preserve">  电子公文专用章</w:t>
      </w:r>
    </w:p>
    <w:p>
      <w:pPr>
        <w:spacing w:line="530" w:lineRule="exact"/>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t xml:space="preserve"> </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t xml:space="preserve">          核收：</w:t>
      </w:r>
    </w:p>
    <w:p>
      <w:pPr>
        <w:rPr>
          <w:rFonts w:hint="eastAsia"/>
          <w:sz w:val="32"/>
          <w:szCs w:val="24"/>
        </w:rPr>
      </w:pPr>
    </w:p>
    <w:p>
      <w:pPr>
        <w:rPr>
          <w:rFonts w:hint="eastAsia"/>
          <w:sz w:val="32"/>
          <w:szCs w:val="24"/>
        </w:rPr>
      </w:pPr>
    </w:p>
    <w:p>
      <w:pPr>
        <w:rPr>
          <w:rFonts w:hint="eastAsia"/>
          <w:sz w:val="32"/>
          <w:szCs w:val="24"/>
        </w:rPr>
      </w:pPr>
    </w:p>
    <w:p>
      <w:pPr>
        <w:jc w:val="center"/>
        <w:rPr>
          <w:rFonts w:hint="eastAsia" w:ascii="方正仿宋_GBK" w:hAnsi="方正仿宋_GBK" w:eastAsia="方正仿宋_GBK" w:cs="方正仿宋_GBK"/>
          <w:sz w:val="32"/>
          <w:szCs w:val="24"/>
        </w:rPr>
      </w:pPr>
    </w:p>
    <w:p>
      <w:pPr>
        <w:jc w:val="center"/>
        <w:rPr>
          <w:rFonts w:hint="eastAsia"/>
          <w:sz w:val="32"/>
          <w:szCs w:val="24"/>
        </w:rPr>
      </w:pPr>
    </w:p>
    <w:p>
      <w:pPr>
        <w:spacing w:line="800" w:lineRule="exact"/>
        <w:jc w:val="center"/>
        <w:rPr>
          <w:rFonts w:hint="eastAsia" w:ascii="方正小标宋_GBK" w:eastAsia="方正小标宋_GBK"/>
          <w:sz w:val="44"/>
          <w:szCs w:val="44"/>
        </w:rPr>
      </w:pPr>
    </w:p>
    <w:p>
      <w:pPr>
        <w:spacing w:line="594" w:lineRule="exact"/>
        <w:jc w:val="center"/>
        <w:rPr>
          <w:rFonts w:hint="eastAsia" w:ascii="方正小标宋_GBK" w:eastAsia="方正小标宋_GBK"/>
          <w:sz w:val="44"/>
          <w:szCs w:val="44"/>
        </w:rPr>
      </w:pPr>
      <w:r>
        <w:rPr>
          <w:rFonts w:hint="eastAsia" w:ascii="方正小标宋_GBK" w:eastAsia="方正小标宋_GBK"/>
          <w:sz w:val="44"/>
          <w:szCs w:val="44"/>
        </w:rPr>
        <w:t>重庆市黔江区人民政府</w:t>
      </w:r>
    </w:p>
    <w:p>
      <w:pPr>
        <w:spacing w:line="594" w:lineRule="exact"/>
        <w:jc w:val="center"/>
        <w:rPr>
          <w:rFonts w:hint="eastAsia" w:ascii="方正小标宋_GBK" w:eastAsia="方正小标宋_GBK"/>
          <w:sz w:val="44"/>
          <w:szCs w:val="44"/>
        </w:rPr>
      </w:pPr>
      <w:r>
        <w:rPr>
          <w:rFonts w:hint="eastAsia" w:ascii="方正小标宋_GBK" w:eastAsia="方正小标宋_GBK"/>
          <w:sz w:val="44"/>
          <w:szCs w:val="44"/>
        </w:rPr>
        <w:t>关于印发黔江区水安全保障“十四五”</w:t>
      </w:r>
    </w:p>
    <w:p>
      <w:pPr>
        <w:spacing w:line="594" w:lineRule="exact"/>
        <w:jc w:val="center"/>
        <w:rPr>
          <w:rFonts w:hint="eastAsia" w:ascii="方正小标宋_GBK" w:eastAsia="方正小标宋_GBK"/>
          <w:sz w:val="44"/>
          <w:szCs w:val="44"/>
        </w:rPr>
      </w:pPr>
      <w:r>
        <w:rPr>
          <w:rFonts w:hint="eastAsia" w:ascii="方正小标宋_GBK" w:eastAsia="方正小标宋_GBK"/>
          <w:sz w:val="44"/>
          <w:szCs w:val="44"/>
        </w:rPr>
        <w:t>规划的通知</w:t>
      </w:r>
    </w:p>
    <w:p>
      <w:pPr>
        <w:pStyle w:val="9"/>
        <w:spacing w:line="594" w:lineRule="exact"/>
        <w:rPr>
          <w:rFonts w:hint="eastAsia"/>
        </w:rPr>
      </w:pPr>
    </w:p>
    <w:p>
      <w:pPr>
        <w:spacing w:line="594" w:lineRule="exact"/>
        <w:rPr>
          <w:rFonts w:hint="eastAsia" w:ascii="方正仿宋_GBK" w:eastAsia="方正仿宋_GBK"/>
          <w:sz w:val="32"/>
          <w:szCs w:val="32"/>
        </w:rPr>
      </w:pPr>
      <w:r>
        <w:rPr>
          <w:rFonts w:hint="eastAsia" w:ascii="方正仿宋_GBK" w:eastAsia="方正仿宋_GBK"/>
          <w:sz w:val="32"/>
          <w:szCs w:val="32"/>
        </w:rPr>
        <w:t>各乡、镇人民政府，各街道办事处，区政府各部门，有关单位</w:t>
      </w:r>
    </w:p>
    <w:p>
      <w:pPr>
        <w:spacing w:line="594" w:lineRule="exact"/>
        <w:ind w:firstLine="640" w:firstLineChars="200"/>
        <w:rPr>
          <w:rFonts w:hint="eastAsia" w:ascii="方正仿宋_GBK" w:eastAsia="方正仿宋_GBK"/>
          <w:sz w:val="32"/>
          <w:szCs w:val="32"/>
        </w:rPr>
      </w:pPr>
      <w:r>
        <w:rPr>
          <w:rFonts w:hint="eastAsia" w:ascii="方正仿宋_GBK" w:eastAsia="方正仿宋_GBK"/>
          <w:sz w:val="32"/>
          <w:szCs w:val="32"/>
        </w:rPr>
        <w:t>现将《黔江区水安全保障“十四五”规划》印发给你们，请认真贯彻执行。</w:t>
      </w:r>
    </w:p>
    <w:p>
      <w:pPr>
        <w:spacing w:line="594" w:lineRule="exact"/>
        <w:jc w:val="right"/>
        <w:rPr>
          <w:rFonts w:hint="eastAsia" w:ascii="方正仿宋_GBK" w:eastAsia="方正仿宋_GBK"/>
          <w:sz w:val="32"/>
          <w:szCs w:val="32"/>
        </w:rPr>
      </w:pPr>
    </w:p>
    <w:p>
      <w:pPr>
        <w:spacing w:line="594" w:lineRule="exact"/>
        <w:ind w:right="640"/>
        <w:jc w:val="center"/>
        <w:rPr>
          <w:rFonts w:hint="eastAsia" w:ascii="方正仿宋_GBK" w:eastAsia="方正仿宋_GBK"/>
          <w:sz w:val="32"/>
          <w:szCs w:val="32"/>
        </w:rPr>
      </w:pPr>
      <w:r>
        <w:rPr>
          <w:rFonts w:hint="eastAsia" w:ascii="方正仿宋_GBK" w:eastAsia="方正仿宋_GBK"/>
          <w:sz w:val="32"/>
          <w:szCs w:val="32"/>
        </w:rPr>
        <w:t xml:space="preserve">                        </w:t>
      </w:r>
    </w:p>
    <w:p>
      <w:pPr>
        <w:spacing w:line="594" w:lineRule="exact"/>
        <w:ind w:right="640"/>
        <w:jc w:val="center"/>
        <w:rPr>
          <w:rFonts w:hint="eastAsia" w:ascii="方正仿宋_GBK" w:eastAsia="方正仿宋_GBK"/>
          <w:sz w:val="32"/>
          <w:szCs w:val="32"/>
        </w:rPr>
      </w:pPr>
      <w:r>
        <w:rPr>
          <w:rFonts w:hint="eastAsia" w:ascii="方正仿宋_GBK" w:eastAsia="方正仿宋_GBK"/>
          <w:sz w:val="32"/>
          <w:szCs w:val="32"/>
        </w:rPr>
        <w:t xml:space="preserve">                          重庆市黔江区人民政府</w:t>
      </w:r>
    </w:p>
    <w:p>
      <w:pPr>
        <w:spacing w:line="594" w:lineRule="exact"/>
        <w:ind w:right="640"/>
        <w:jc w:val="center"/>
        <w:rPr>
          <w:rFonts w:hint="eastAsia" w:ascii="方正仿宋_GBK" w:eastAsia="方正仿宋_GBK"/>
          <w:sz w:val="32"/>
          <w:szCs w:val="32"/>
        </w:rPr>
      </w:pPr>
      <w:r>
        <w:rPr>
          <w:rFonts w:hint="eastAsia" w:ascii="方正仿宋_GBK" w:eastAsia="方正仿宋_GBK"/>
          <w:sz w:val="32"/>
          <w:szCs w:val="32"/>
        </w:rPr>
        <w:t xml:space="preserve">                           2021年12月15日</w:t>
      </w:r>
    </w:p>
    <w:p>
      <w:pPr>
        <w:spacing w:line="594" w:lineRule="exact"/>
        <w:ind w:firstLine="640" w:firstLineChars="200"/>
        <w:jc w:val="left"/>
        <w:rPr>
          <w:rFonts w:hint="eastAsia" w:ascii="方正仿宋_GBK" w:eastAsia="方正仿宋_GBK"/>
          <w:sz w:val="32"/>
          <w:szCs w:val="32"/>
        </w:rPr>
      </w:pPr>
      <w:r>
        <w:rPr>
          <w:rFonts w:hint="eastAsia" w:ascii="方正仿宋_GBK" w:eastAsia="方正仿宋_GBK"/>
          <w:sz w:val="32"/>
          <w:szCs w:val="32"/>
        </w:rPr>
        <w:t>（此件公开发布）</w:t>
      </w:r>
    </w:p>
    <w:p>
      <w:pPr>
        <w:pStyle w:val="10"/>
        <w:rPr>
          <w:rFonts w:hint="eastAsia"/>
        </w:rPr>
      </w:pPr>
    </w:p>
    <w:p>
      <w:pPr>
        <w:rPr>
          <w:rFonts w:hint="eastAsia"/>
        </w:rPr>
      </w:pPr>
    </w:p>
    <w:p>
      <w:pPr>
        <w:spacing w:before="240" w:beforeLines="100" w:after="240" w:afterLines="100"/>
        <w:jc w:val="center"/>
        <w:rPr>
          <w:rFonts w:hint="eastAsia" w:ascii="宋体" w:hAnsi="宋体" w:eastAsia="方正小标宋_GBK"/>
          <w:w w:val="90"/>
          <w:sz w:val="56"/>
          <w:szCs w:val="52"/>
        </w:rPr>
      </w:pPr>
      <w:r>
        <w:rPr>
          <w:rFonts w:hint="eastAsia" w:ascii="宋体" w:hAnsi="宋体" w:eastAsia="方正小标宋_GBK"/>
          <w:w w:val="90"/>
          <w:sz w:val="56"/>
          <w:szCs w:val="52"/>
        </w:rPr>
        <w:br w:type="page"/>
      </w:r>
    </w:p>
    <w:p>
      <w:pPr>
        <w:spacing w:before="240" w:beforeLines="100" w:after="240" w:afterLines="100"/>
        <w:jc w:val="center"/>
        <w:rPr>
          <w:rFonts w:hint="eastAsia" w:ascii="宋体" w:hAnsi="宋体" w:eastAsia="方正小标宋_GBK"/>
          <w:w w:val="90"/>
          <w:sz w:val="56"/>
          <w:szCs w:val="52"/>
        </w:rPr>
      </w:pPr>
    </w:p>
    <w:p>
      <w:pPr>
        <w:spacing w:before="240" w:beforeLines="100" w:after="240" w:afterLines="100"/>
        <w:jc w:val="center"/>
        <w:rPr>
          <w:rFonts w:hint="eastAsia" w:ascii="宋体" w:hAnsi="宋体" w:eastAsia="方正小标宋_GBK"/>
          <w:w w:val="90"/>
          <w:sz w:val="56"/>
          <w:szCs w:val="52"/>
        </w:rPr>
      </w:pPr>
      <w:r>
        <w:rPr>
          <w:rFonts w:hint="eastAsia" w:ascii="宋体" w:hAnsi="宋体" w:eastAsia="方正小标宋_GBK"/>
          <w:w w:val="90"/>
          <w:sz w:val="44"/>
          <w:szCs w:val="44"/>
        </w:rPr>
        <w:t>黔江区水安全保障“十四五”规划</w:t>
      </w:r>
    </w:p>
    <w:p>
      <w:pPr>
        <w:spacing w:line="594" w:lineRule="exact"/>
        <w:jc w:val="center"/>
        <w:rPr>
          <w:rFonts w:hint="eastAsia" w:ascii="宋体" w:hAnsi="宋体" w:eastAsia="方正黑体_GBK"/>
          <w:b/>
          <w:sz w:val="32"/>
          <w:szCs w:val="52"/>
        </w:rPr>
      </w:pPr>
    </w:p>
    <w:p>
      <w:pPr>
        <w:pStyle w:val="9"/>
        <w:jc w:val="center"/>
        <w:rPr>
          <w:rFonts w:ascii="宋体" w:hAnsi="宋体"/>
        </w:rPr>
      </w:pPr>
    </w:p>
    <w:p>
      <w:pPr>
        <w:spacing w:before="240" w:beforeLines="100" w:after="240" w:afterLines="100" w:line="594" w:lineRule="exact"/>
        <w:jc w:val="center"/>
        <w:rPr>
          <w:rFonts w:ascii="宋体" w:hAnsi="宋体" w:eastAsia="方正仿宋_GBK"/>
          <w:sz w:val="32"/>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hint="eastAsia" w:ascii="宋体" w:hAnsi="宋体"/>
        </w:rPr>
      </w:pPr>
    </w:p>
    <w:p>
      <w:pPr>
        <w:pStyle w:val="9"/>
        <w:jc w:val="center"/>
        <w:rPr>
          <w:rFonts w:hint="eastAsia" w:ascii="宋体" w:hAnsi="宋体"/>
        </w:rPr>
      </w:pPr>
    </w:p>
    <w:p>
      <w:pPr>
        <w:spacing w:before="240" w:beforeLines="100" w:after="240" w:afterLines="100" w:line="594" w:lineRule="exact"/>
        <w:jc w:val="center"/>
        <w:rPr>
          <w:rFonts w:hint="eastAsia" w:ascii="宋体" w:hAnsi="宋体" w:eastAsia="方正仿宋_GBK"/>
          <w:sz w:val="32"/>
        </w:rPr>
      </w:pPr>
    </w:p>
    <w:p>
      <w:pPr>
        <w:pStyle w:val="9"/>
        <w:jc w:val="center"/>
        <w:rPr>
          <w:rFonts w:hint="eastAsia" w:ascii="宋体" w:hAnsi="宋体"/>
        </w:rPr>
      </w:pPr>
    </w:p>
    <w:p>
      <w:pPr>
        <w:spacing w:before="240" w:beforeLines="100" w:after="240" w:afterLines="100" w:line="594" w:lineRule="exact"/>
        <w:jc w:val="center"/>
        <w:rPr>
          <w:rFonts w:hint="eastAsia" w:ascii="宋体" w:hAnsi="宋体" w:eastAsia="方正仿宋_GBK"/>
          <w:sz w:val="32"/>
        </w:rPr>
      </w:pPr>
    </w:p>
    <w:p>
      <w:pPr>
        <w:jc w:val="center"/>
        <w:rPr>
          <w:rFonts w:ascii="Times New Roman" w:hAnsi="Times New Roman" w:eastAsia="黑体"/>
          <w:sz w:val="36"/>
        </w:rPr>
      </w:pPr>
    </w:p>
    <w:p>
      <w:pPr>
        <w:jc w:val="center"/>
        <w:rPr>
          <w:rFonts w:ascii="Times New Roman" w:hAnsi="Times New Roman" w:eastAsia="黑体"/>
          <w:sz w:val="36"/>
        </w:rPr>
      </w:pPr>
    </w:p>
    <w:p>
      <w:pPr>
        <w:jc w:val="center"/>
        <w:rPr>
          <w:rFonts w:ascii="宋体" w:hAnsi="宋体" w:eastAsia="黑体"/>
          <w:sz w:val="36"/>
        </w:rPr>
      </w:pPr>
      <w:r>
        <w:rPr>
          <w:rFonts w:ascii="Times New Roman" w:hAnsi="Times New Roman" w:eastAsia="黑体"/>
          <w:sz w:val="36"/>
        </w:rPr>
        <w:t>2021</w:t>
      </w:r>
      <w:r>
        <w:rPr>
          <w:rFonts w:ascii="宋体" w:hAnsi="宋体" w:eastAsia="黑体"/>
          <w:sz w:val="36"/>
        </w:rPr>
        <w:t>年</w:t>
      </w:r>
      <w:r>
        <w:rPr>
          <w:rFonts w:hint="eastAsia" w:ascii="Times New Roman" w:hAnsi="Times New Roman" w:eastAsia="黑体"/>
          <w:sz w:val="36"/>
        </w:rPr>
        <w:t>12</w:t>
      </w:r>
      <w:r>
        <w:rPr>
          <w:rFonts w:ascii="宋体" w:hAnsi="宋体" w:eastAsia="黑体"/>
          <w:sz w:val="36"/>
        </w:rPr>
        <w:t>月</w:t>
      </w:r>
    </w:p>
    <w:p>
      <w:pPr>
        <w:spacing w:before="120" w:beforeLines="50" w:after="120" w:afterLines="50" w:line="594" w:lineRule="exact"/>
        <w:jc w:val="center"/>
        <w:rPr>
          <w:rFonts w:ascii="宋体" w:hAnsi="宋体" w:eastAsia="方正小标宋_GBK"/>
          <w:spacing w:val="-9"/>
          <w:sz w:val="36"/>
          <w:szCs w:val="36"/>
        </w:rPr>
        <w:sectPr>
          <w:headerReference r:id="rId3" w:type="default"/>
          <w:footerReference r:id="rId5" w:type="default"/>
          <w:headerReference r:id="rId4" w:type="even"/>
          <w:footerReference r:id="rId6" w:type="even"/>
          <w:pgSz w:w="11905" w:h="16838"/>
          <w:pgMar w:top="1984" w:right="1446" w:bottom="1644" w:left="1446" w:header="1134" w:footer="1134" w:gutter="0"/>
          <w:pgNumType w:fmt="numberInDash"/>
          <w:cols w:space="720" w:num="1"/>
          <w:docGrid w:linePitch="312" w:charSpace="0"/>
        </w:sectPr>
      </w:pPr>
    </w:p>
    <w:p>
      <w:pPr>
        <w:spacing w:line="594"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前  言</w:t>
      </w:r>
    </w:p>
    <w:p>
      <w:pPr>
        <w:pStyle w:val="9"/>
        <w:spacing w:line="594" w:lineRule="exact"/>
        <w:ind w:firstLine="560"/>
        <w:rPr>
          <w:rFonts w:hint="eastAsia" w:ascii="方正仿宋_GBK" w:hAnsi="方正仿宋_GBK" w:eastAsia="方正仿宋_GBK" w:cs="方正仿宋_GBK"/>
          <w:szCs w:val="32"/>
        </w:rPr>
      </w:pPr>
    </w:p>
    <w:p>
      <w:pPr>
        <w:pStyle w:val="9"/>
        <w:spacing w:line="594" w:lineRule="exact"/>
        <w:ind w:firstLine="640" w:firstLineChars="200"/>
        <w:rPr>
          <w:rFonts w:ascii="方正仿宋_GBK" w:hAnsi="方正仿宋_GBK" w:eastAsia="方正仿宋_GBK" w:cs="方正仿宋_GBK"/>
          <w:szCs w:val="32"/>
        </w:rPr>
      </w:pPr>
      <w:r>
        <w:rPr>
          <w:rFonts w:hint="eastAsia" w:ascii="方正仿宋_GBK" w:hAnsi="方正仿宋_GBK" w:eastAsia="方正仿宋_GBK" w:cs="方正仿宋_GBK"/>
          <w:szCs w:val="32"/>
        </w:rPr>
        <w:t>水安全是水旱灾害总体可控，城乡用水得到有效保障，水生态系统基本健康，水环境状况达到优良，涉水重大安全风险挑战可有效应对，其他重要涉水事务相对处于没有危险和不受威胁的状态，是国家安全的重要组成部分，关系到资源安全、生态安全、经济安全和社会安全。党的十八大以来，党中央、国务院高度重视水安全工作，习近平总书记明确提出“节水优先、空间均衡、系统治理、两手发力”新时代治水方针，把水安全上升为国家战略，做出一系列重大决策部署，为解决新老水问题、保障水安全提供了根本遵循和行动指南。</w:t>
      </w:r>
    </w:p>
    <w:p>
      <w:pPr>
        <w:pStyle w:val="9"/>
        <w:spacing w:line="594" w:lineRule="exact"/>
        <w:ind w:firstLine="640" w:firstLineChars="200"/>
        <w:rPr>
          <w:rFonts w:ascii="方正仿宋_GBK" w:hAnsi="方正仿宋_GBK" w:eastAsia="方正仿宋_GBK" w:cs="方正仿宋_GBK"/>
          <w:szCs w:val="32"/>
        </w:rPr>
      </w:pPr>
      <w:r>
        <w:rPr>
          <w:rFonts w:hint="eastAsia" w:ascii="方正仿宋_GBK" w:hAnsi="方正仿宋_GBK" w:eastAsia="方正仿宋_GBK" w:cs="方正仿宋_GBK"/>
          <w:szCs w:val="32"/>
        </w:rPr>
        <w:t>“十三五”期间，党中央做出推动成渝地区双城经济圈建设的重大决策部署，支持黔江建设渝东南区域中心城市被提升到党中央、国务院的战略高度，为黔江赋予了战略使命、带来了重大机遇。黔江区在市级水行政主管部门和区委区政府的领导下，始终遵循中央新时代治水方针，认真落实“创新、协调、绿色、开放、共享”五大发展新理念，紧紧围绕全区“工业强区、旅游大区、城市靓区”三大发展战略，坚持改善民生，助推发展，推进水生态文明。加快农田水利保障能力、防灾减灾能力、城乡供水保障能力和水环境生态能力建设，初步构建“黔江全面小康社会和渝东南中心城市”水利保障体系。</w:t>
      </w:r>
    </w:p>
    <w:p>
      <w:pPr>
        <w:pStyle w:val="9"/>
        <w:spacing w:line="594" w:lineRule="exact"/>
        <w:ind w:firstLine="640" w:firstLineChars="200"/>
        <w:rPr>
          <w:rFonts w:ascii="方正仿宋_GBK" w:hAnsi="方正仿宋_GBK" w:eastAsia="方正仿宋_GBK" w:cs="方正仿宋_GBK"/>
          <w:szCs w:val="32"/>
        </w:rPr>
      </w:pPr>
      <w:r>
        <w:rPr>
          <w:rFonts w:hint="eastAsia" w:ascii="方正仿宋_GBK" w:hAnsi="方正仿宋_GBK" w:eastAsia="方正仿宋_GBK" w:cs="方正仿宋_GBK"/>
          <w:szCs w:val="32"/>
        </w:rPr>
        <w:t>“十四五”时期，全区水利发展以习近平新时代中国特色社会主义思想为指导，全面贯彻党的十九大和十九届二中、三中、四中、五中全会精神，坚持新发展理念，深入落实“节水优先、空间均衡、系统治理、两手发力”的治水方针，以永不懈怠的精神状态和一往无前的奋斗姿态，推动新阶段水利高质量发展，把水安全风险防控作为底线，把水资源开发能力作为刚性约束上限，把水生态保护作为控制红线，加快水利基础设施网络建设，强化涉水事务监管，全面提升水安全保障能力，满足人民群众对防洪保安全、优质水资源、健康水生态、宜居水环境、先进水文化的需求，建设人水和谐的幸福河</w:t>
      </w:r>
      <w:r>
        <w:rPr>
          <w:rFonts w:hint="eastAsia" w:ascii="方正仿宋_GBK" w:hAnsi="方正仿宋_GBK" w:eastAsia="方正仿宋_GBK" w:cs="方正仿宋_GBK"/>
          <w:szCs w:val="32"/>
          <w:lang w:eastAsia="zh-CN"/>
        </w:rPr>
        <w:t>流</w:t>
      </w:r>
      <w:r>
        <w:rPr>
          <w:rFonts w:hint="eastAsia" w:ascii="方正仿宋_GBK" w:hAnsi="方正仿宋_GBK" w:eastAsia="方正仿宋_GBK" w:cs="方正仿宋_GBK"/>
          <w:szCs w:val="32"/>
        </w:rPr>
        <w:t>，确保“十四五”水利发展始终沿着习近平总书记和党中央指引的方向前进，为高质量发展和生态文明建设提供有力支撑，为巩固脱贫攻坚成果，保持经济社会持续健康发展，全面建设社会主义现代化国家提供有力的水安全保障。</w:t>
      </w:r>
    </w:p>
    <w:p>
      <w:pPr>
        <w:pStyle w:val="9"/>
        <w:spacing w:line="594" w:lineRule="exact"/>
        <w:ind w:firstLine="640" w:firstLineChars="200"/>
        <w:rPr>
          <w:rFonts w:ascii="方正仿宋_GBK" w:hAnsi="方正仿宋_GBK" w:eastAsia="方正仿宋_GBK" w:cs="方正仿宋_GBK"/>
          <w:szCs w:val="32"/>
        </w:rPr>
      </w:pPr>
      <w:r>
        <w:rPr>
          <w:rFonts w:hint="eastAsia" w:ascii="方正仿宋_GBK" w:hAnsi="方正仿宋_GBK" w:eastAsia="方正仿宋_GBK" w:cs="方正仿宋_GBK"/>
          <w:szCs w:val="32"/>
        </w:rPr>
        <w:t>按照中共中央国务院《关于统一规划体系更好发挥国家发展规划战略导向作用的意见》和《重庆市发展和改革委员会关于组织开展全市“十四五”规划编制工作的通知》，结合《重庆市黔江区国民经济和社会发展第十四个五年规划和二〇三五年远景目标纲要》，在深入调研、充分听取各方意见的基础上，全面总结评估水利改革发展“十三五”规划实施情况，系统分析水安全保障面临新形势，在确立全区水利发展战略的基础上，分析测算了水安全保障“十四五”主要目标指标，研究了今后五年水安全保障规划的总体思路、目标任务、工程措施、管理手段等。并立足于将黔江区建设成为渝东南区域中心城市角度出发，依托黔江区水利自然禀赋条件，理清并补齐当前水利工作中存在的短板，建立全面的水利行业监管体系，强化最严格的水资源管理制度，编制完成了《黔江区水安全保障“十四五”规划》。</w:t>
      </w:r>
    </w:p>
    <w:p>
      <w:pPr>
        <w:spacing w:line="594" w:lineRule="exact"/>
        <w:ind w:firstLine="880" w:firstLineChars="200"/>
        <w:jc w:val="center"/>
        <w:rPr>
          <w:rFonts w:hint="eastAsia" w:ascii="方正小标宋_GBK" w:hAnsi="宋体" w:eastAsia="方正小标宋_GBK"/>
          <w:sz w:val="44"/>
          <w:szCs w:val="44"/>
        </w:rPr>
      </w:pPr>
    </w:p>
    <w:p>
      <w:pPr>
        <w:spacing w:line="594" w:lineRule="exact"/>
        <w:ind w:firstLine="640" w:firstLineChars="200"/>
        <w:rPr>
          <w:rFonts w:ascii="宋体" w:hAnsi="宋体" w:eastAsia="方正仿宋_GBK"/>
          <w:sz w:val="32"/>
        </w:rPr>
        <w:sectPr>
          <w:headerReference r:id="rId7" w:type="default"/>
          <w:footerReference r:id="rId9" w:type="default"/>
          <w:headerReference r:id="rId8" w:type="even"/>
          <w:footerReference r:id="rId10" w:type="even"/>
          <w:pgSz w:w="11905" w:h="16838"/>
          <w:pgMar w:top="1984" w:right="1446" w:bottom="1644" w:left="1446" w:header="1134" w:footer="1134" w:gutter="0"/>
          <w:pgNumType w:fmt="numberInDash" w:start="3"/>
          <w:cols w:space="720" w:num="1"/>
          <w:docGrid w:linePitch="312" w:charSpace="0"/>
        </w:sectPr>
      </w:pPr>
    </w:p>
    <w:p>
      <w:pPr>
        <w:pStyle w:val="114"/>
        <w:widowControl w:val="0"/>
        <w:spacing w:before="0" w:beforeAutospacing="0" w:after="0" w:afterAutospacing="0" w:line="574" w:lineRule="exact"/>
        <w:jc w:val="center"/>
        <w:rPr>
          <w:rFonts w:hint="eastAsia" w:ascii="方正小标宋_GBK" w:eastAsia="方正小标宋_GBK" w:cs="Times New Roman"/>
          <w:sz w:val="44"/>
          <w:szCs w:val="44"/>
        </w:rPr>
      </w:pPr>
      <w:r>
        <w:rPr>
          <w:rFonts w:hint="eastAsia" w:ascii="方正小标宋_GBK" w:eastAsia="方正小标宋_GBK" w:cs="Times New Roman"/>
          <w:sz w:val="44"/>
          <w:szCs w:val="44"/>
        </w:rPr>
        <w:t>目  录</w:t>
      </w:r>
    </w:p>
    <w:p>
      <w:pPr>
        <w:pStyle w:val="114"/>
        <w:widowControl w:val="0"/>
        <w:spacing w:before="0" w:beforeAutospacing="0" w:after="0" w:afterAutospacing="0" w:line="574" w:lineRule="exact"/>
        <w:jc w:val="center"/>
        <w:rPr>
          <w:rFonts w:hint="eastAsia" w:ascii="方正小标宋_GBK" w:eastAsia="方正小标宋_GBK" w:cs="Times New Roman"/>
          <w:sz w:val="44"/>
          <w:szCs w:val="44"/>
        </w:rPr>
      </w:pPr>
    </w:p>
    <w:p>
      <w:pPr>
        <w:pStyle w:val="19"/>
        <w:tabs>
          <w:tab w:val="right" w:leader="dot" w:pos="9013"/>
          <w:tab w:val="clear" w:pos="8890"/>
        </w:tabs>
        <w:rPr>
          <w:rFonts w:hint="eastAsia"/>
          <w:b w:val="0"/>
        </w:rPr>
      </w:pPr>
      <w:r>
        <w:rPr>
          <w:rFonts w:hint="eastAsia" w:ascii="仿宋" w:hAnsi="仿宋" w:eastAsia="仿宋"/>
        </w:rPr>
        <w:fldChar w:fldCharType="begin"/>
      </w:r>
      <w:r>
        <w:rPr>
          <w:rFonts w:hint="eastAsia" w:ascii="仿宋" w:hAnsi="仿宋" w:eastAsia="仿宋"/>
        </w:rPr>
        <w:instrText xml:space="preserve">TOC \o "1-2" \h \u </w:instrText>
      </w:r>
      <w:r>
        <w:rPr>
          <w:rFonts w:hint="eastAsia" w:ascii="仿宋" w:hAnsi="仿宋" w:eastAsia="仿宋"/>
        </w:rPr>
        <w:fldChar w:fldCharType="separate"/>
      </w:r>
      <w:r>
        <w:rPr>
          <w:rFonts w:hint="eastAsia" w:hAnsi="仿宋"/>
        </w:rPr>
        <w:fldChar w:fldCharType="begin"/>
      </w:r>
      <w:r>
        <w:rPr>
          <w:rFonts w:hint="eastAsia" w:hAnsi="仿宋"/>
        </w:rPr>
        <w:instrText xml:space="preserve"> HYPERLINK \l _Toc31599 </w:instrText>
      </w:r>
      <w:r>
        <w:rPr>
          <w:rFonts w:hint="eastAsia" w:hAnsi="仿宋"/>
        </w:rPr>
        <w:fldChar w:fldCharType="separate"/>
      </w:r>
      <w:r>
        <w:rPr>
          <w:rFonts w:hint="eastAsia"/>
          <w:b w:val="0"/>
          <w:spacing w:val="6"/>
          <w:szCs w:val="32"/>
        </w:rPr>
        <w:t>第一章 “十三五”发展成就与经验</w:t>
      </w:r>
      <w:r>
        <w:rPr>
          <w:rFonts w:hint="eastAsia"/>
          <w:b w:val="0"/>
        </w:rPr>
        <w:tab/>
      </w:r>
      <w:r>
        <w:rPr>
          <w:rFonts w:hint="eastAsia"/>
          <w:b w:val="0"/>
        </w:rPr>
        <w:fldChar w:fldCharType="begin"/>
      </w:r>
      <w:r>
        <w:rPr>
          <w:rFonts w:hint="eastAsia"/>
          <w:b w:val="0"/>
        </w:rPr>
        <w:instrText xml:space="preserve"> PAGEREF _Toc31599 \h </w:instrText>
      </w:r>
      <w:r>
        <w:rPr>
          <w:rFonts w:hint="eastAsia"/>
          <w:b w:val="0"/>
        </w:rPr>
        <w:fldChar w:fldCharType="separate"/>
      </w:r>
      <w:r>
        <w:rPr>
          <w:rFonts w:hint="eastAsia"/>
          <w:b w:val="0"/>
        </w:rPr>
        <w:t>- 8 -</w:t>
      </w:r>
      <w:r>
        <w:rPr>
          <w:rFonts w:hint="eastAsia"/>
          <w:b w:val="0"/>
        </w:rPr>
        <w:fldChar w:fldCharType="end"/>
      </w:r>
      <w:r>
        <w:rPr>
          <w:rFonts w:hint="eastAsia" w:hAnsi="仿宋"/>
          <w:b w:val="0"/>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_Toc4709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第一节  概 况</w:t>
      </w:r>
      <w:r>
        <w:tab/>
      </w:r>
      <w:r>
        <w:rPr>
          <w:bCs/>
          <w:caps/>
          <w:smallCaps w:val="0"/>
        </w:rPr>
        <w:fldChar w:fldCharType="begin"/>
      </w:r>
      <w:r>
        <w:rPr>
          <w:bCs/>
          <w:caps/>
          <w:smallCaps w:val="0"/>
        </w:rPr>
        <w:instrText xml:space="preserve"> PAGEREF _Toc4709 \h </w:instrText>
      </w:r>
      <w:r>
        <w:rPr>
          <w:bCs/>
          <w:caps/>
          <w:smallCaps w:val="0"/>
        </w:rPr>
        <w:fldChar w:fldCharType="separate"/>
      </w:r>
      <w:r>
        <w:rPr>
          <w:bCs/>
          <w:caps/>
          <w:smallCaps w:val="0"/>
        </w:rPr>
        <w:t>- 8 -</w:t>
      </w:r>
      <w:r>
        <w:rPr>
          <w:bCs/>
          <w:caps/>
          <w:smallCaps w:val="0"/>
        </w:rP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_Toc3860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第二节“十三五”时期水利改革发展主要成就</w:t>
      </w:r>
      <w:r>
        <w:tab/>
      </w:r>
      <w:r>
        <w:fldChar w:fldCharType="begin"/>
      </w:r>
      <w:r>
        <w:instrText xml:space="preserve"> PAGEREF _Toc3860 \h </w:instrText>
      </w:r>
      <w:r>
        <w:fldChar w:fldCharType="separate"/>
      </w:r>
      <w:r>
        <w:t>- 10 -</w:t>
      </w:r>
      <w:r>
        <w:fldChar w:fldCharType="end"/>
      </w:r>
      <w:r>
        <w:rPr>
          <w:rFonts w:hint="eastAsia" w:ascii="仿宋" w:hAnsi="仿宋" w:eastAsia="仿宋"/>
        </w:rPr>
        <w:fldChar w:fldCharType="end"/>
      </w:r>
    </w:p>
    <w:p>
      <w:pPr>
        <w:pStyle w:val="19"/>
        <w:tabs>
          <w:tab w:val="right" w:leader="dot" w:pos="9013"/>
          <w:tab w:val="clear" w:pos="8890"/>
        </w:tabs>
        <w:rPr>
          <w:rFonts w:hint="eastAsia"/>
          <w:b w:val="0"/>
        </w:rPr>
      </w:pPr>
      <w:r>
        <w:rPr>
          <w:rFonts w:hint="eastAsia" w:hAnsi="仿宋"/>
          <w:b w:val="0"/>
        </w:rPr>
        <w:fldChar w:fldCharType="begin"/>
      </w:r>
      <w:r>
        <w:rPr>
          <w:rFonts w:hint="eastAsia" w:hAnsi="仿宋"/>
          <w:b w:val="0"/>
        </w:rPr>
        <w:instrText xml:space="preserve"> HYPERLINK \l _Toc28824 </w:instrText>
      </w:r>
      <w:r>
        <w:rPr>
          <w:rFonts w:hint="eastAsia" w:hAnsi="仿宋"/>
          <w:b w:val="0"/>
        </w:rPr>
        <w:fldChar w:fldCharType="separate"/>
      </w:r>
      <w:r>
        <w:rPr>
          <w:rFonts w:hint="eastAsia"/>
          <w:b w:val="0"/>
          <w:spacing w:val="6"/>
          <w:szCs w:val="32"/>
        </w:rPr>
        <w:t>第二章 面临的形势</w:t>
      </w:r>
      <w:r>
        <w:rPr>
          <w:rFonts w:hint="eastAsia"/>
          <w:b w:val="0"/>
        </w:rPr>
        <w:tab/>
      </w:r>
      <w:r>
        <w:rPr>
          <w:rFonts w:hint="eastAsia"/>
          <w:b w:val="0"/>
        </w:rPr>
        <w:fldChar w:fldCharType="begin"/>
      </w:r>
      <w:r>
        <w:rPr>
          <w:rFonts w:hint="eastAsia"/>
          <w:b w:val="0"/>
        </w:rPr>
        <w:instrText xml:space="preserve"> PAGEREF _Toc28824 \h </w:instrText>
      </w:r>
      <w:r>
        <w:rPr>
          <w:rFonts w:hint="eastAsia"/>
          <w:b w:val="0"/>
        </w:rPr>
        <w:fldChar w:fldCharType="separate"/>
      </w:r>
      <w:r>
        <w:rPr>
          <w:rFonts w:hint="eastAsia"/>
          <w:b w:val="0"/>
        </w:rPr>
        <w:t>- 18 -</w:t>
      </w:r>
      <w:r>
        <w:rPr>
          <w:rFonts w:hint="eastAsia"/>
          <w:b w:val="0"/>
        </w:rPr>
        <w:fldChar w:fldCharType="end"/>
      </w:r>
      <w:r>
        <w:rPr>
          <w:rFonts w:hint="eastAsia" w:hAnsi="仿宋"/>
          <w:b w:val="0"/>
        </w:rPr>
        <w:fldChar w:fldCharType="end"/>
      </w:r>
    </w:p>
    <w:p>
      <w:pPr>
        <w:pStyle w:val="19"/>
        <w:tabs>
          <w:tab w:val="right" w:leader="dot" w:pos="9013"/>
          <w:tab w:val="clear" w:pos="8890"/>
        </w:tabs>
        <w:rPr>
          <w:rFonts w:hint="eastAsia"/>
          <w:b w:val="0"/>
        </w:rPr>
      </w:pPr>
      <w:r>
        <w:rPr>
          <w:rFonts w:hint="eastAsia" w:hAnsi="仿宋"/>
          <w:b w:val="0"/>
        </w:rPr>
        <w:fldChar w:fldCharType="begin"/>
      </w:r>
      <w:r>
        <w:rPr>
          <w:rFonts w:hint="eastAsia" w:hAnsi="仿宋"/>
          <w:b w:val="0"/>
        </w:rPr>
        <w:instrText xml:space="preserve"> HYPERLINK \l _Toc18870 </w:instrText>
      </w:r>
      <w:r>
        <w:rPr>
          <w:rFonts w:hint="eastAsia" w:hAnsi="仿宋"/>
          <w:b w:val="0"/>
        </w:rPr>
        <w:fldChar w:fldCharType="separate"/>
      </w:r>
      <w:r>
        <w:rPr>
          <w:rFonts w:hint="eastAsia"/>
          <w:b w:val="0"/>
          <w:spacing w:val="6"/>
          <w:szCs w:val="32"/>
        </w:rPr>
        <w:t>第三章 水利改革发展总体思路</w:t>
      </w:r>
      <w:r>
        <w:rPr>
          <w:rFonts w:hint="eastAsia"/>
          <w:b w:val="0"/>
        </w:rPr>
        <w:tab/>
      </w:r>
      <w:r>
        <w:rPr>
          <w:rFonts w:hint="eastAsia"/>
          <w:b w:val="0"/>
        </w:rPr>
        <w:fldChar w:fldCharType="begin"/>
      </w:r>
      <w:r>
        <w:rPr>
          <w:rFonts w:hint="eastAsia"/>
          <w:b w:val="0"/>
        </w:rPr>
        <w:instrText xml:space="preserve"> PAGEREF _Toc18870 \h </w:instrText>
      </w:r>
      <w:r>
        <w:rPr>
          <w:rFonts w:hint="eastAsia"/>
          <w:b w:val="0"/>
        </w:rPr>
        <w:fldChar w:fldCharType="separate"/>
      </w:r>
      <w:r>
        <w:rPr>
          <w:rFonts w:hint="eastAsia"/>
          <w:b w:val="0"/>
        </w:rPr>
        <w:t>- 25 -</w:t>
      </w:r>
      <w:r>
        <w:rPr>
          <w:rFonts w:hint="eastAsia"/>
          <w:b w:val="0"/>
        </w:rPr>
        <w:fldChar w:fldCharType="end"/>
      </w:r>
      <w:r>
        <w:rPr>
          <w:rFonts w:hint="eastAsia" w:hAnsi="仿宋"/>
          <w:b w:val="0"/>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_Toc25063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第一节 指导思想</w:t>
      </w:r>
      <w:r>
        <w:tab/>
      </w:r>
      <w:r>
        <w:fldChar w:fldCharType="begin"/>
      </w:r>
      <w:r>
        <w:instrText xml:space="preserve"> PAGEREF _Toc25063 \h </w:instrText>
      </w:r>
      <w:r>
        <w:fldChar w:fldCharType="separate"/>
      </w:r>
      <w:r>
        <w:t>- 25 -</w:t>
      </w:r>
      <w: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_Toc20198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第二节  基本原则</w:t>
      </w:r>
      <w:r>
        <w:tab/>
      </w:r>
      <w:r>
        <w:fldChar w:fldCharType="begin"/>
      </w:r>
      <w:r>
        <w:instrText xml:space="preserve"> PAGEREF _Toc20198 \h </w:instrText>
      </w:r>
      <w:r>
        <w:fldChar w:fldCharType="separate"/>
      </w:r>
      <w:r>
        <w:t>- 26 -</w:t>
      </w:r>
      <w: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_Toc18085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第三节  发展目标</w:t>
      </w:r>
      <w:r>
        <w:tab/>
      </w:r>
      <w:r>
        <w:fldChar w:fldCharType="begin"/>
      </w:r>
      <w:r>
        <w:instrText xml:space="preserve"> PAGEREF _Toc18085 \h </w:instrText>
      </w:r>
      <w:r>
        <w:fldChar w:fldCharType="separate"/>
      </w:r>
      <w:r>
        <w:t>- 28 -</w:t>
      </w:r>
      <w: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_Toc17635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第四节  总体布局</w:t>
      </w:r>
      <w:r>
        <w:tab/>
      </w:r>
      <w:r>
        <w:fldChar w:fldCharType="begin"/>
      </w:r>
      <w:r>
        <w:instrText xml:space="preserve"> PAGEREF _Toc17635 \h </w:instrText>
      </w:r>
      <w:r>
        <w:fldChar w:fldCharType="separate"/>
      </w:r>
      <w:r>
        <w:t>- 31 -</w:t>
      </w:r>
      <w:r>
        <w:fldChar w:fldCharType="end"/>
      </w:r>
      <w:r>
        <w:rPr>
          <w:rFonts w:hint="eastAsia" w:ascii="仿宋" w:hAnsi="仿宋" w:eastAsia="仿宋"/>
        </w:rPr>
        <w:fldChar w:fldCharType="end"/>
      </w:r>
    </w:p>
    <w:p>
      <w:pPr>
        <w:pStyle w:val="19"/>
        <w:tabs>
          <w:tab w:val="right" w:leader="dot" w:pos="9013"/>
          <w:tab w:val="clear" w:pos="8890"/>
        </w:tabs>
        <w:rPr>
          <w:b w:val="0"/>
        </w:rPr>
      </w:pPr>
      <w:r>
        <w:rPr>
          <w:rFonts w:hint="eastAsia" w:ascii="仿宋" w:hAnsi="仿宋" w:eastAsia="仿宋"/>
          <w:b w:val="0"/>
        </w:rPr>
        <w:fldChar w:fldCharType="begin"/>
      </w:r>
      <w:r>
        <w:rPr>
          <w:rFonts w:hint="eastAsia" w:ascii="仿宋" w:hAnsi="仿宋" w:eastAsia="仿宋"/>
          <w:b w:val="0"/>
        </w:rPr>
        <w:instrText xml:space="preserve"> HYPERLINK \l _Toc29867 </w:instrText>
      </w:r>
      <w:r>
        <w:rPr>
          <w:rFonts w:hint="eastAsia" w:ascii="仿宋" w:hAnsi="仿宋" w:eastAsia="仿宋"/>
          <w:b w:val="0"/>
        </w:rPr>
        <w:fldChar w:fldCharType="separate"/>
      </w:r>
      <w:r>
        <w:rPr>
          <w:rFonts w:hint="eastAsia"/>
          <w:b w:val="0"/>
          <w:spacing w:val="6"/>
          <w:szCs w:val="32"/>
        </w:rPr>
        <w:t>第四章 消隐患防洪水，保障水旱灾害防御安全</w:t>
      </w:r>
      <w:r>
        <w:rPr>
          <w:b w:val="0"/>
        </w:rPr>
        <w:tab/>
      </w:r>
      <w:r>
        <w:rPr>
          <w:b w:val="0"/>
        </w:rPr>
        <w:fldChar w:fldCharType="begin"/>
      </w:r>
      <w:r>
        <w:rPr>
          <w:b w:val="0"/>
        </w:rPr>
        <w:instrText xml:space="preserve"> PAGEREF _Toc29867 \h </w:instrText>
      </w:r>
      <w:r>
        <w:rPr>
          <w:b w:val="0"/>
        </w:rPr>
        <w:fldChar w:fldCharType="separate"/>
      </w:r>
      <w:r>
        <w:rPr>
          <w:b w:val="0"/>
        </w:rPr>
        <w:t>- 33 -</w:t>
      </w:r>
      <w:r>
        <w:rPr>
          <w:b w:val="0"/>
        </w:rPr>
        <w:fldChar w:fldCharType="end"/>
      </w:r>
      <w:r>
        <w:rPr>
          <w:rFonts w:hint="eastAsia" w:ascii="仿宋" w:hAnsi="仿宋" w:eastAsia="仿宋"/>
          <w:b w:val="0"/>
        </w:rPr>
        <w:fldChar w:fldCharType="end"/>
      </w:r>
    </w:p>
    <w:p>
      <w:pPr>
        <w:pStyle w:val="19"/>
        <w:tabs>
          <w:tab w:val="right" w:leader="dot" w:pos="9013"/>
          <w:tab w:val="clear" w:pos="8890"/>
        </w:tabs>
        <w:rPr>
          <w:b w:val="0"/>
        </w:rPr>
      </w:pPr>
      <w:r>
        <w:rPr>
          <w:rFonts w:hint="eastAsia" w:ascii="仿宋" w:hAnsi="仿宋" w:eastAsia="仿宋"/>
          <w:b w:val="0"/>
        </w:rPr>
        <w:fldChar w:fldCharType="begin"/>
      </w:r>
      <w:r>
        <w:rPr>
          <w:rFonts w:hint="eastAsia" w:ascii="仿宋" w:hAnsi="仿宋" w:eastAsia="仿宋"/>
          <w:b w:val="0"/>
        </w:rPr>
        <w:instrText xml:space="preserve"> HYPERLINK \l _Toc22399 </w:instrText>
      </w:r>
      <w:r>
        <w:rPr>
          <w:rFonts w:hint="eastAsia" w:ascii="仿宋" w:hAnsi="仿宋" w:eastAsia="仿宋"/>
          <w:b w:val="0"/>
        </w:rPr>
        <w:fldChar w:fldCharType="separate"/>
      </w:r>
      <w:r>
        <w:rPr>
          <w:rFonts w:hint="eastAsia"/>
          <w:b w:val="0"/>
          <w:spacing w:val="6"/>
          <w:szCs w:val="32"/>
        </w:rPr>
        <w:t>第五章 抓节水保供水，保障供水安全</w:t>
      </w:r>
      <w:r>
        <w:rPr>
          <w:b w:val="0"/>
        </w:rPr>
        <w:tab/>
      </w:r>
      <w:r>
        <w:rPr>
          <w:b w:val="0"/>
        </w:rPr>
        <w:fldChar w:fldCharType="begin"/>
      </w:r>
      <w:r>
        <w:rPr>
          <w:b w:val="0"/>
        </w:rPr>
        <w:instrText xml:space="preserve"> PAGEREF _Toc22399 \h </w:instrText>
      </w:r>
      <w:r>
        <w:rPr>
          <w:b w:val="0"/>
        </w:rPr>
        <w:fldChar w:fldCharType="separate"/>
      </w:r>
      <w:r>
        <w:rPr>
          <w:b w:val="0"/>
        </w:rPr>
        <w:t>- 38 -</w:t>
      </w:r>
      <w:r>
        <w:rPr>
          <w:b w:val="0"/>
        </w:rPr>
        <w:fldChar w:fldCharType="end"/>
      </w:r>
      <w:r>
        <w:rPr>
          <w:rFonts w:hint="eastAsia" w:ascii="仿宋" w:hAnsi="仿宋" w:eastAsia="仿宋"/>
          <w:b w:val="0"/>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_Toc20044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第一节  加强重点领域节水，完成节水型社会建设</w:t>
      </w:r>
      <w:r>
        <w:tab/>
      </w:r>
      <w:r>
        <w:fldChar w:fldCharType="begin"/>
      </w:r>
      <w:r>
        <w:instrText xml:space="preserve"> PAGEREF _Toc20044 \h </w:instrText>
      </w:r>
      <w:r>
        <w:fldChar w:fldCharType="separate"/>
      </w:r>
      <w:r>
        <w:t>- 38 -</w:t>
      </w:r>
      <w: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_Toc29899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第二节  提升供水保障能力，建设重点水源工程</w:t>
      </w:r>
      <w:r>
        <w:tab/>
      </w:r>
      <w:r>
        <w:fldChar w:fldCharType="begin"/>
      </w:r>
      <w:r>
        <w:instrText xml:space="preserve"> PAGEREF _Toc29899 \h </w:instrText>
      </w:r>
      <w:r>
        <w:fldChar w:fldCharType="separate"/>
      </w:r>
      <w:r>
        <w:t>- 40 -</w:t>
      </w:r>
      <w: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_Toc20173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第三节  加快现代水网布局，构建城乡一体化供水格局</w:t>
      </w:r>
      <w:r>
        <w:tab/>
      </w:r>
      <w:r>
        <w:fldChar w:fldCharType="begin"/>
      </w:r>
      <w:r>
        <w:instrText xml:space="preserve"> PAGEREF _Toc20173 \h </w:instrText>
      </w:r>
      <w:r>
        <w:fldChar w:fldCharType="separate"/>
      </w:r>
      <w:r>
        <w:t>- 41 -</w:t>
      </w:r>
      <w:r>
        <w:fldChar w:fldCharType="end"/>
      </w:r>
      <w:r>
        <w:rPr>
          <w:rFonts w:hint="eastAsia" w:ascii="仿宋" w:hAnsi="仿宋" w:eastAsia="仿宋"/>
        </w:rPr>
        <w:fldChar w:fldCharType="end"/>
      </w:r>
    </w:p>
    <w:p>
      <w:pPr>
        <w:pStyle w:val="19"/>
        <w:tabs>
          <w:tab w:val="right" w:leader="dot" w:pos="9013"/>
          <w:tab w:val="clear" w:pos="8890"/>
        </w:tabs>
        <w:rPr>
          <w:b w:val="0"/>
        </w:rPr>
      </w:pPr>
      <w:r>
        <w:rPr>
          <w:rFonts w:hint="eastAsia" w:ascii="仿宋" w:hAnsi="仿宋" w:eastAsia="仿宋"/>
          <w:b w:val="0"/>
        </w:rPr>
        <w:fldChar w:fldCharType="begin"/>
      </w:r>
      <w:r>
        <w:rPr>
          <w:rFonts w:hint="eastAsia" w:ascii="仿宋" w:hAnsi="仿宋" w:eastAsia="仿宋"/>
          <w:b w:val="0"/>
        </w:rPr>
        <w:instrText xml:space="preserve"> HYPERLINK \l _Toc19898 </w:instrText>
      </w:r>
      <w:r>
        <w:rPr>
          <w:rFonts w:hint="eastAsia" w:ascii="仿宋" w:hAnsi="仿宋" w:eastAsia="仿宋"/>
          <w:b w:val="0"/>
        </w:rPr>
        <w:fldChar w:fldCharType="separate"/>
      </w:r>
      <w:r>
        <w:rPr>
          <w:rFonts w:hint="eastAsia"/>
          <w:b w:val="0"/>
          <w:spacing w:val="6"/>
          <w:szCs w:val="32"/>
        </w:rPr>
        <w:t>第六章 重保护强修复，建设幸福河湖</w:t>
      </w:r>
      <w:r>
        <w:rPr>
          <w:b w:val="0"/>
        </w:rPr>
        <w:tab/>
      </w:r>
      <w:r>
        <w:rPr>
          <w:b w:val="0"/>
        </w:rPr>
        <w:fldChar w:fldCharType="begin"/>
      </w:r>
      <w:r>
        <w:rPr>
          <w:b w:val="0"/>
        </w:rPr>
        <w:instrText xml:space="preserve"> PAGEREF _Toc19898 \h </w:instrText>
      </w:r>
      <w:r>
        <w:rPr>
          <w:b w:val="0"/>
        </w:rPr>
        <w:fldChar w:fldCharType="separate"/>
      </w:r>
      <w:r>
        <w:rPr>
          <w:b w:val="0"/>
        </w:rPr>
        <w:t>- 43 -</w:t>
      </w:r>
      <w:r>
        <w:rPr>
          <w:b w:val="0"/>
        </w:rPr>
        <w:fldChar w:fldCharType="end"/>
      </w:r>
      <w:r>
        <w:rPr>
          <w:rFonts w:hint="eastAsia" w:ascii="仿宋" w:hAnsi="仿宋" w:eastAsia="仿宋"/>
          <w:b w:val="0"/>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_Toc2503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第一节  实施水生态保护及修复治理</w:t>
      </w:r>
      <w:r>
        <w:tab/>
      </w:r>
      <w:r>
        <w:fldChar w:fldCharType="begin"/>
      </w:r>
      <w:r>
        <w:instrText xml:space="preserve"> PAGEREF _Toc2503 \h </w:instrText>
      </w:r>
      <w:r>
        <w:fldChar w:fldCharType="separate"/>
      </w:r>
      <w:r>
        <w:t>- 43 -</w:t>
      </w:r>
      <w: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_Toc19477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第二节  推进水土保持生态建设</w:t>
      </w:r>
      <w:r>
        <w:tab/>
      </w:r>
      <w:r>
        <w:fldChar w:fldCharType="begin"/>
      </w:r>
      <w:r>
        <w:instrText xml:space="preserve"> PAGEREF _Toc19477 \h </w:instrText>
      </w:r>
      <w:r>
        <w:fldChar w:fldCharType="separate"/>
      </w:r>
      <w:r>
        <w:t>- 45 -</w:t>
      </w:r>
      <w: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_Toc32506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第三节  加强水环境治理，营造良好生态环境</w:t>
      </w:r>
      <w:r>
        <w:tab/>
      </w:r>
      <w:r>
        <w:fldChar w:fldCharType="begin"/>
      </w:r>
      <w:r>
        <w:instrText xml:space="preserve"> PAGEREF _Toc32506 \h </w:instrText>
      </w:r>
      <w:r>
        <w:fldChar w:fldCharType="separate"/>
      </w:r>
      <w:r>
        <w:t>- 45 -</w:t>
      </w:r>
      <w: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_Toc8525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第四节  实施黔江区水系连通及水美乡村试点项目建设</w:t>
      </w:r>
      <w:r>
        <w:tab/>
      </w:r>
      <w:r>
        <w:fldChar w:fldCharType="begin"/>
      </w:r>
      <w:r>
        <w:instrText xml:space="preserve"> PAGEREF _Toc8525 \h </w:instrText>
      </w:r>
      <w:r>
        <w:fldChar w:fldCharType="separate"/>
      </w:r>
      <w:r>
        <w:t>- 46 -</w:t>
      </w:r>
      <w:r>
        <w:fldChar w:fldCharType="end"/>
      </w:r>
      <w:r>
        <w:rPr>
          <w:rFonts w:hint="eastAsia" w:ascii="仿宋" w:hAnsi="仿宋" w:eastAsia="仿宋"/>
        </w:rPr>
        <w:fldChar w:fldCharType="end"/>
      </w:r>
    </w:p>
    <w:p>
      <w:pPr>
        <w:pStyle w:val="19"/>
        <w:tabs>
          <w:tab w:val="right" w:leader="dot" w:pos="9013"/>
          <w:tab w:val="clear" w:pos="8890"/>
        </w:tabs>
        <w:rPr>
          <w:b w:val="0"/>
        </w:rPr>
      </w:pPr>
      <w:r>
        <w:rPr>
          <w:rFonts w:hint="eastAsia" w:ascii="仿宋" w:hAnsi="仿宋" w:eastAsia="仿宋"/>
          <w:b w:val="0"/>
        </w:rPr>
        <w:fldChar w:fldCharType="begin"/>
      </w:r>
      <w:r>
        <w:rPr>
          <w:rFonts w:hint="eastAsia" w:ascii="仿宋" w:hAnsi="仿宋" w:eastAsia="仿宋"/>
          <w:b w:val="0"/>
        </w:rPr>
        <w:instrText xml:space="preserve"> HYPERLINK \l _Toc28377 </w:instrText>
      </w:r>
      <w:r>
        <w:rPr>
          <w:rFonts w:hint="eastAsia" w:ascii="仿宋" w:hAnsi="仿宋" w:eastAsia="仿宋"/>
          <w:b w:val="0"/>
        </w:rPr>
        <w:fldChar w:fldCharType="separate"/>
      </w:r>
      <w:r>
        <w:rPr>
          <w:rFonts w:hint="eastAsia"/>
          <w:b w:val="0"/>
          <w:spacing w:val="6"/>
          <w:szCs w:val="32"/>
        </w:rPr>
        <w:t>第七章 强感知促应用，搭建智慧水利</w:t>
      </w:r>
      <w:r>
        <w:rPr>
          <w:b w:val="0"/>
        </w:rPr>
        <w:tab/>
      </w:r>
      <w:r>
        <w:rPr>
          <w:b w:val="0"/>
        </w:rPr>
        <w:fldChar w:fldCharType="begin"/>
      </w:r>
      <w:r>
        <w:rPr>
          <w:b w:val="0"/>
        </w:rPr>
        <w:instrText xml:space="preserve"> PAGEREF _Toc28377 \h </w:instrText>
      </w:r>
      <w:r>
        <w:rPr>
          <w:b w:val="0"/>
        </w:rPr>
        <w:fldChar w:fldCharType="separate"/>
      </w:r>
      <w:r>
        <w:rPr>
          <w:b w:val="0"/>
        </w:rPr>
        <w:t>- 47 -</w:t>
      </w:r>
      <w:r>
        <w:rPr>
          <w:b w:val="0"/>
        </w:rPr>
        <w:fldChar w:fldCharType="end"/>
      </w:r>
      <w:r>
        <w:rPr>
          <w:rFonts w:hint="eastAsia" w:ascii="仿宋" w:hAnsi="仿宋" w:eastAsia="仿宋"/>
          <w:b w:val="0"/>
        </w:rPr>
        <w:fldChar w:fldCharType="end"/>
      </w:r>
    </w:p>
    <w:p>
      <w:pPr>
        <w:pStyle w:val="19"/>
        <w:tabs>
          <w:tab w:val="right" w:leader="dot" w:pos="9013"/>
          <w:tab w:val="clear" w:pos="8890"/>
        </w:tabs>
        <w:rPr>
          <w:b w:val="0"/>
        </w:rPr>
      </w:pPr>
      <w:r>
        <w:rPr>
          <w:rFonts w:hint="eastAsia" w:ascii="仿宋" w:hAnsi="仿宋" w:eastAsia="仿宋"/>
          <w:b w:val="0"/>
        </w:rPr>
        <w:fldChar w:fldCharType="begin"/>
      </w:r>
      <w:r>
        <w:rPr>
          <w:rFonts w:hint="eastAsia" w:ascii="仿宋" w:hAnsi="仿宋" w:eastAsia="仿宋"/>
          <w:b w:val="0"/>
        </w:rPr>
        <w:instrText xml:space="preserve"> HYPERLINK \l _Toc2710 </w:instrText>
      </w:r>
      <w:r>
        <w:rPr>
          <w:rFonts w:hint="eastAsia" w:ascii="仿宋" w:hAnsi="仿宋" w:eastAsia="仿宋"/>
          <w:b w:val="0"/>
        </w:rPr>
        <w:fldChar w:fldCharType="separate"/>
      </w:r>
      <w:r>
        <w:rPr>
          <w:rFonts w:hint="eastAsia"/>
          <w:b w:val="0"/>
          <w:spacing w:val="6"/>
          <w:szCs w:val="32"/>
        </w:rPr>
        <w:t>第八章 严管理、重能力，提升公众服务水平</w:t>
      </w:r>
      <w:r>
        <w:rPr>
          <w:b w:val="0"/>
        </w:rPr>
        <w:tab/>
      </w:r>
      <w:r>
        <w:rPr>
          <w:b w:val="0"/>
        </w:rPr>
        <w:fldChar w:fldCharType="begin"/>
      </w:r>
      <w:r>
        <w:rPr>
          <w:b w:val="0"/>
        </w:rPr>
        <w:instrText xml:space="preserve"> PAGEREF _Toc2710 \h </w:instrText>
      </w:r>
      <w:r>
        <w:rPr>
          <w:b w:val="0"/>
        </w:rPr>
        <w:fldChar w:fldCharType="separate"/>
      </w:r>
      <w:r>
        <w:rPr>
          <w:b w:val="0"/>
        </w:rPr>
        <w:t>- 48 -</w:t>
      </w:r>
      <w:r>
        <w:rPr>
          <w:b w:val="0"/>
        </w:rPr>
        <w:fldChar w:fldCharType="end"/>
      </w:r>
      <w:r>
        <w:rPr>
          <w:rFonts w:hint="eastAsia" w:ascii="仿宋" w:hAnsi="仿宋" w:eastAsia="仿宋"/>
          <w:b w:val="0"/>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_Toc25962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第一节  强化河湖监管，改善河湖风貌</w:t>
      </w:r>
      <w:r>
        <w:tab/>
      </w:r>
      <w:r>
        <w:fldChar w:fldCharType="begin"/>
      </w:r>
      <w:r>
        <w:instrText xml:space="preserve"> PAGEREF _Toc25962 \h </w:instrText>
      </w:r>
      <w:r>
        <w:fldChar w:fldCharType="separate"/>
      </w:r>
      <w:r>
        <w:t>- 49 -</w:t>
      </w:r>
      <w: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_Toc1797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第二节  严格水资源管理，促进可持续利用</w:t>
      </w:r>
      <w:r>
        <w:tab/>
      </w:r>
      <w:r>
        <w:fldChar w:fldCharType="begin"/>
      </w:r>
      <w:r>
        <w:instrText xml:space="preserve"> PAGEREF _Toc1797 \h </w:instrText>
      </w:r>
      <w:r>
        <w:fldChar w:fldCharType="separate"/>
      </w:r>
      <w:r>
        <w:t>- 52 -</w:t>
      </w:r>
      <w: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_Toc22298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第三节  强化水利工程运行管理，提升运营能力</w:t>
      </w:r>
      <w:r>
        <w:tab/>
      </w:r>
      <w:r>
        <w:fldChar w:fldCharType="begin"/>
      </w:r>
      <w:r>
        <w:instrText xml:space="preserve"> PAGEREF _Toc22298 \h </w:instrText>
      </w:r>
      <w:r>
        <w:fldChar w:fldCharType="separate"/>
      </w:r>
      <w:r>
        <w:t>- 54 -</w:t>
      </w:r>
      <w: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_Toc9886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第四节  强化水土保持管理，控制人为水土流失</w:t>
      </w:r>
      <w:r>
        <w:tab/>
      </w:r>
      <w:r>
        <w:fldChar w:fldCharType="begin"/>
      </w:r>
      <w:r>
        <w:instrText xml:space="preserve"> PAGEREF _Toc9886 \h </w:instrText>
      </w:r>
      <w:r>
        <w:fldChar w:fldCharType="separate"/>
      </w:r>
      <w:r>
        <w:t>- 56 -</w:t>
      </w:r>
      <w: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_Toc7548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第五节  强化水旱风险防御，提升应急处置能力</w:t>
      </w:r>
      <w:r>
        <w:tab/>
      </w:r>
      <w:r>
        <w:fldChar w:fldCharType="begin"/>
      </w:r>
      <w:r>
        <w:instrText xml:space="preserve"> PAGEREF _Toc7548 \h </w:instrText>
      </w:r>
      <w:r>
        <w:fldChar w:fldCharType="separate"/>
      </w:r>
      <w:r>
        <w:t>- 59 -</w:t>
      </w:r>
      <w: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_Toc23183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第六节  强化水行政事务管理，维持水事秩序</w:t>
      </w:r>
      <w:r>
        <w:tab/>
      </w:r>
      <w:r>
        <w:fldChar w:fldCharType="begin"/>
      </w:r>
      <w:r>
        <w:instrText xml:space="preserve"> PAGEREF _Toc23183 \h </w:instrText>
      </w:r>
      <w:r>
        <w:fldChar w:fldCharType="separate"/>
      </w:r>
      <w:r>
        <w:t>- 61 -</w:t>
      </w:r>
      <w:r>
        <w:fldChar w:fldCharType="end"/>
      </w:r>
      <w:r>
        <w:rPr>
          <w:rFonts w:hint="eastAsia" w:ascii="仿宋" w:hAnsi="仿宋" w:eastAsia="仿宋"/>
        </w:rPr>
        <w:fldChar w:fldCharType="end"/>
      </w:r>
    </w:p>
    <w:p>
      <w:pPr>
        <w:pStyle w:val="19"/>
        <w:tabs>
          <w:tab w:val="right" w:leader="dot" w:pos="9013"/>
          <w:tab w:val="clear" w:pos="8890"/>
        </w:tabs>
        <w:rPr>
          <w:b w:val="0"/>
        </w:rPr>
      </w:pPr>
      <w:r>
        <w:rPr>
          <w:rFonts w:hint="eastAsia" w:ascii="仿宋" w:hAnsi="仿宋" w:eastAsia="仿宋"/>
          <w:b w:val="0"/>
        </w:rPr>
        <w:fldChar w:fldCharType="begin"/>
      </w:r>
      <w:r>
        <w:rPr>
          <w:rFonts w:hint="eastAsia" w:ascii="仿宋" w:hAnsi="仿宋" w:eastAsia="仿宋"/>
          <w:b w:val="0"/>
        </w:rPr>
        <w:instrText xml:space="preserve"> HYPERLINK \l _Toc2177 </w:instrText>
      </w:r>
      <w:r>
        <w:rPr>
          <w:rFonts w:hint="eastAsia" w:ascii="仿宋" w:hAnsi="仿宋" w:eastAsia="仿宋"/>
          <w:b w:val="0"/>
        </w:rPr>
        <w:fldChar w:fldCharType="separate"/>
      </w:r>
      <w:r>
        <w:rPr>
          <w:rFonts w:hint="eastAsia"/>
          <w:b w:val="0"/>
          <w:spacing w:val="6"/>
          <w:szCs w:val="32"/>
        </w:rPr>
        <w:t>第九章 抓改革、激活力 破解水利发展瓶颈</w:t>
      </w:r>
      <w:r>
        <w:rPr>
          <w:b w:val="0"/>
        </w:rPr>
        <w:tab/>
      </w:r>
      <w:r>
        <w:rPr>
          <w:b w:val="0"/>
        </w:rPr>
        <w:fldChar w:fldCharType="begin"/>
      </w:r>
      <w:r>
        <w:rPr>
          <w:b w:val="0"/>
        </w:rPr>
        <w:instrText xml:space="preserve"> PAGEREF _Toc2177 \h </w:instrText>
      </w:r>
      <w:r>
        <w:rPr>
          <w:b w:val="0"/>
        </w:rPr>
        <w:fldChar w:fldCharType="separate"/>
      </w:r>
      <w:r>
        <w:rPr>
          <w:b w:val="0"/>
        </w:rPr>
        <w:t>- 62 -</w:t>
      </w:r>
      <w:r>
        <w:rPr>
          <w:b w:val="0"/>
        </w:rPr>
        <w:fldChar w:fldCharType="end"/>
      </w:r>
      <w:r>
        <w:rPr>
          <w:rFonts w:hint="eastAsia" w:ascii="仿宋" w:hAnsi="仿宋" w:eastAsia="仿宋"/>
          <w:b w:val="0"/>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_Toc12447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第一节  创新水利投融资体制，保障建设运行资金需求</w:t>
      </w:r>
      <w:r>
        <w:tab/>
      </w:r>
      <w:r>
        <w:fldChar w:fldCharType="begin"/>
      </w:r>
      <w:r>
        <w:instrText xml:space="preserve"> PAGEREF _Toc12447 \h </w:instrText>
      </w:r>
      <w:r>
        <w:fldChar w:fldCharType="separate"/>
      </w:r>
      <w:r>
        <w:t>- 63 -</w:t>
      </w:r>
      <w: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_Toc15899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第二节  加快水权水价市场改革，维护市场秩序</w:t>
      </w:r>
      <w:r>
        <w:tab/>
      </w:r>
      <w:r>
        <w:fldChar w:fldCharType="begin"/>
      </w:r>
      <w:r>
        <w:instrText xml:space="preserve"> PAGEREF _Toc15899 \h </w:instrText>
      </w:r>
      <w:r>
        <w:fldChar w:fldCharType="separate"/>
      </w:r>
      <w:r>
        <w:t>- 64 -</w:t>
      </w:r>
      <w: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_Toc28947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第三节  推进水利科技创新，提升水利信息化水平</w:t>
      </w:r>
      <w:r>
        <w:tab/>
      </w:r>
      <w:r>
        <w:fldChar w:fldCharType="begin"/>
      </w:r>
      <w:r>
        <w:instrText xml:space="preserve"> PAGEREF _Toc28947 \h </w:instrText>
      </w:r>
      <w:r>
        <w:fldChar w:fldCharType="separate"/>
      </w:r>
      <w:r>
        <w:t>- 65 -</w:t>
      </w:r>
      <w: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_Toc16148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第四节  深化“放管服”改革，进行政务服务改革</w:t>
      </w:r>
      <w:r>
        <w:tab/>
      </w:r>
      <w:r>
        <w:fldChar w:fldCharType="begin"/>
      </w:r>
      <w:r>
        <w:instrText xml:space="preserve"> PAGEREF _Toc16148 \h </w:instrText>
      </w:r>
      <w:r>
        <w:fldChar w:fldCharType="separate"/>
      </w:r>
      <w:r>
        <w:t>- 66 -</w:t>
      </w:r>
      <w: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_Toc29891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第五节  实施“文化兴水”战略，厚植新时代水利精神</w:t>
      </w:r>
      <w:r>
        <w:tab/>
      </w:r>
      <w:r>
        <w:fldChar w:fldCharType="begin"/>
      </w:r>
      <w:r>
        <w:instrText xml:space="preserve"> PAGEREF _Toc29891 \h </w:instrText>
      </w:r>
      <w:r>
        <w:fldChar w:fldCharType="separate"/>
      </w:r>
      <w:r>
        <w:t>- 67 -</w:t>
      </w:r>
      <w:r>
        <w:fldChar w:fldCharType="end"/>
      </w:r>
      <w:r>
        <w:rPr>
          <w:rFonts w:hint="eastAsia" w:ascii="仿宋" w:hAnsi="仿宋" w:eastAsia="仿宋"/>
        </w:rPr>
        <w:fldChar w:fldCharType="end"/>
      </w:r>
    </w:p>
    <w:p>
      <w:pPr>
        <w:pStyle w:val="19"/>
        <w:tabs>
          <w:tab w:val="right" w:leader="dot" w:pos="9013"/>
          <w:tab w:val="clear" w:pos="8890"/>
        </w:tabs>
        <w:rPr>
          <w:b w:val="0"/>
        </w:rPr>
      </w:pPr>
      <w:r>
        <w:rPr>
          <w:rFonts w:hint="eastAsia" w:ascii="仿宋" w:hAnsi="仿宋" w:eastAsia="仿宋"/>
          <w:b w:val="0"/>
        </w:rPr>
        <w:fldChar w:fldCharType="begin"/>
      </w:r>
      <w:r>
        <w:rPr>
          <w:rFonts w:hint="eastAsia" w:ascii="仿宋" w:hAnsi="仿宋" w:eastAsia="仿宋"/>
          <w:b w:val="0"/>
        </w:rPr>
        <w:instrText xml:space="preserve"> HYPERLINK \l _Toc14162 </w:instrText>
      </w:r>
      <w:r>
        <w:rPr>
          <w:rFonts w:hint="eastAsia" w:ascii="仿宋" w:hAnsi="仿宋" w:eastAsia="仿宋"/>
          <w:b w:val="0"/>
        </w:rPr>
        <w:fldChar w:fldCharType="separate"/>
      </w:r>
      <w:r>
        <w:rPr>
          <w:rFonts w:hint="eastAsia"/>
          <w:b w:val="0"/>
          <w:spacing w:val="6"/>
          <w:szCs w:val="32"/>
        </w:rPr>
        <w:t>第十章 规划投资估算</w:t>
      </w:r>
      <w:r>
        <w:rPr>
          <w:b w:val="0"/>
        </w:rPr>
        <w:tab/>
      </w:r>
      <w:r>
        <w:rPr>
          <w:b w:val="0"/>
        </w:rPr>
        <w:fldChar w:fldCharType="begin"/>
      </w:r>
      <w:r>
        <w:rPr>
          <w:b w:val="0"/>
        </w:rPr>
        <w:instrText xml:space="preserve"> PAGEREF _Toc14162 \h </w:instrText>
      </w:r>
      <w:r>
        <w:rPr>
          <w:b w:val="0"/>
        </w:rPr>
        <w:fldChar w:fldCharType="separate"/>
      </w:r>
      <w:r>
        <w:rPr>
          <w:b w:val="0"/>
        </w:rPr>
        <w:t>- 68 -</w:t>
      </w:r>
      <w:r>
        <w:rPr>
          <w:b w:val="0"/>
        </w:rPr>
        <w:fldChar w:fldCharType="end"/>
      </w:r>
      <w:r>
        <w:rPr>
          <w:rFonts w:hint="eastAsia" w:ascii="仿宋" w:hAnsi="仿宋" w:eastAsia="仿宋"/>
          <w:b w:val="0"/>
        </w:rPr>
        <w:fldChar w:fldCharType="end"/>
      </w:r>
    </w:p>
    <w:p>
      <w:pPr>
        <w:pStyle w:val="19"/>
        <w:tabs>
          <w:tab w:val="right" w:leader="dot" w:pos="9013"/>
          <w:tab w:val="clear" w:pos="8890"/>
        </w:tabs>
        <w:rPr>
          <w:b w:val="0"/>
        </w:rPr>
      </w:pPr>
      <w:r>
        <w:rPr>
          <w:rFonts w:hint="eastAsia" w:ascii="仿宋" w:hAnsi="仿宋" w:eastAsia="仿宋"/>
          <w:b w:val="0"/>
        </w:rPr>
        <w:fldChar w:fldCharType="begin"/>
      </w:r>
      <w:r>
        <w:rPr>
          <w:rFonts w:hint="eastAsia" w:ascii="仿宋" w:hAnsi="仿宋" w:eastAsia="仿宋"/>
          <w:b w:val="0"/>
        </w:rPr>
        <w:instrText xml:space="preserve"> HYPERLINK \l _Toc19050 </w:instrText>
      </w:r>
      <w:r>
        <w:rPr>
          <w:rFonts w:hint="eastAsia" w:ascii="仿宋" w:hAnsi="仿宋" w:eastAsia="仿宋"/>
          <w:b w:val="0"/>
        </w:rPr>
        <w:fldChar w:fldCharType="separate"/>
      </w:r>
      <w:r>
        <w:rPr>
          <w:rFonts w:hint="eastAsia"/>
          <w:b w:val="0"/>
          <w:spacing w:val="6"/>
          <w:szCs w:val="32"/>
        </w:rPr>
        <w:t>第十一章 环境影响评价</w:t>
      </w:r>
      <w:r>
        <w:rPr>
          <w:b w:val="0"/>
        </w:rPr>
        <w:tab/>
      </w:r>
      <w:r>
        <w:rPr>
          <w:b w:val="0"/>
        </w:rPr>
        <w:fldChar w:fldCharType="begin"/>
      </w:r>
      <w:r>
        <w:rPr>
          <w:b w:val="0"/>
        </w:rPr>
        <w:instrText xml:space="preserve"> PAGEREF _Toc19050 \h </w:instrText>
      </w:r>
      <w:r>
        <w:rPr>
          <w:b w:val="0"/>
        </w:rPr>
        <w:fldChar w:fldCharType="separate"/>
      </w:r>
      <w:r>
        <w:rPr>
          <w:b w:val="0"/>
        </w:rPr>
        <w:t>- 73 -</w:t>
      </w:r>
      <w:r>
        <w:rPr>
          <w:b w:val="0"/>
        </w:rPr>
        <w:fldChar w:fldCharType="end"/>
      </w:r>
      <w:r>
        <w:rPr>
          <w:rFonts w:hint="eastAsia" w:ascii="仿宋" w:hAnsi="仿宋" w:eastAsia="仿宋"/>
          <w:b w:val="0"/>
        </w:rPr>
        <w:fldChar w:fldCharType="end"/>
      </w:r>
    </w:p>
    <w:p>
      <w:pPr>
        <w:pStyle w:val="19"/>
        <w:tabs>
          <w:tab w:val="right" w:leader="dot" w:pos="9013"/>
          <w:tab w:val="clear" w:pos="8890"/>
        </w:tabs>
        <w:rPr>
          <w:b w:val="0"/>
        </w:rPr>
      </w:pPr>
      <w:r>
        <w:rPr>
          <w:rFonts w:hint="eastAsia" w:ascii="仿宋" w:hAnsi="仿宋" w:eastAsia="仿宋"/>
          <w:b w:val="0"/>
        </w:rPr>
        <w:fldChar w:fldCharType="begin"/>
      </w:r>
      <w:r>
        <w:rPr>
          <w:rFonts w:hint="eastAsia" w:ascii="仿宋" w:hAnsi="仿宋" w:eastAsia="仿宋"/>
          <w:b w:val="0"/>
        </w:rPr>
        <w:instrText xml:space="preserve"> HYPERLINK \l _Toc19175 </w:instrText>
      </w:r>
      <w:r>
        <w:rPr>
          <w:rFonts w:hint="eastAsia" w:ascii="仿宋" w:hAnsi="仿宋" w:eastAsia="仿宋"/>
          <w:b w:val="0"/>
        </w:rPr>
        <w:fldChar w:fldCharType="separate"/>
      </w:r>
      <w:r>
        <w:rPr>
          <w:rFonts w:hint="eastAsia"/>
          <w:b w:val="0"/>
          <w:spacing w:val="6"/>
          <w:szCs w:val="32"/>
        </w:rPr>
        <w:t>第十二章 规划实施的保障措施</w:t>
      </w:r>
      <w:r>
        <w:rPr>
          <w:b w:val="0"/>
        </w:rPr>
        <w:tab/>
      </w:r>
      <w:r>
        <w:rPr>
          <w:b w:val="0"/>
        </w:rPr>
        <w:fldChar w:fldCharType="begin"/>
      </w:r>
      <w:r>
        <w:rPr>
          <w:b w:val="0"/>
        </w:rPr>
        <w:instrText xml:space="preserve"> PAGEREF _Toc19175 \h </w:instrText>
      </w:r>
      <w:r>
        <w:rPr>
          <w:b w:val="0"/>
        </w:rPr>
        <w:fldChar w:fldCharType="separate"/>
      </w:r>
      <w:r>
        <w:rPr>
          <w:b w:val="0"/>
        </w:rPr>
        <w:t>- 75 -</w:t>
      </w:r>
      <w:r>
        <w:rPr>
          <w:b w:val="0"/>
        </w:rPr>
        <w:fldChar w:fldCharType="end"/>
      </w:r>
      <w:r>
        <w:rPr>
          <w:rFonts w:hint="eastAsia" w:ascii="仿宋" w:hAnsi="仿宋" w:eastAsia="仿宋"/>
          <w:b w:val="0"/>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_Toc21056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第一节  组织领导保障</w:t>
      </w:r>
      <w:r>
        <w:tab/>
      </w:r>
      <w:r>
        <w:fldChar w:fldCharType="begin"/>
      </w:r>
      <w:r>
        <w:instrText xml:space="preserve"> PAGEREF _Toc21056 \h </w:instrText>
      </w:r>
      <w:r>
        <w:fldChar w:fldCharType="separate"/>
      </w:r>
      <w:r>
        <w:t>- 75 -</w:t>
      </w:r>
      <w: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_Toc17013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第二节  前期工作保障</w:t>
      </w:r>
      <w:r>
        <w:tab/>
      </w:r>
      <w:r>
        <w:fldChar w:fldCharType="begin"/>
      </w:r>
      <w:r>
        <w:instrText xml:space="preserve"> PAGEREF _Toc17013 \h </w:instrText>
      </w:r>
      <w:r>
        <w:fldChar w:fldCharType="separate"/>
      </w:r>
      <w:r>
        <w:t>- 76 -</w:t>
      </w:r>
      <w:r>
        <w:fldChar w:fldCharType="end"/>
      </w:r>
      <w:r>
        <w:rPr>
          <w:rFonts w:hint="eastAsia" w:ascii="仿宋" w:hAnsi="仿宋" w:eastAsia="仿宋"/>
        </w:rPr>
        <w:fldChar w:fldCharType="end"/>
      </w:r>
    </w:p>
    <w:p>
      <w:pPr>
        <w:pStyle w:val="19"/>
        <w:tabs>
          <w:tab w:val="right" w:leader="dot" w:pos="9013"/>
          <w:tab w:val="clear" w:pos="8890"/>
        </w:tabs>
        <w:rPr>
          <w:b w:val="0"/>
        </w:rPr>
      </w:pPr>
      <w:r>
        <w:rPr>
          <w:rFonts w:hint="eastAsia" w:ascii="仿宋" w:hAnsi="仿宋" w:eastAsia="仿宋"/>
          <w:b w:val="0"/>
        </w:rPr>
        <w:fldChar w:fldCharType="begin"/>
      </w:r>
      <w:r>
        <w:rPr>
          <w:rFonts w:hint="eastAsia" w:ascii="仿宋" w:hAnsi="仿宋" w:eastAsia="仿宋"/>
          <w:b w:val="0"/>
        </w:rPr>
        <w:instrText xml:space="preserve"> HYPERLINK \l _Toc15626 </w:instrText>
      </w:r>
      <w:r>
        <w:rPr>
          <w:rFonts w:hint="eastAsia" w:ascii="仿宋" w:hAnsi="仿宋" w:eastAsia="仿宋"/>
          <w:b w:val="0"/>
        </w:rPr>
        <w:fldChar w:fldCharType="separate"/>
      </w:r>
      <w:r>
        <w:rPr>
          <w:rFonts w:hint="eastAsia"/>
          <w:b w:val="0"/>
          <w:spacing w:val="6"/>
          <w:szCs w:val="32"/>
        </w:rPr>
        <w:t>第十三章 附表及附图</w:t>
      </w:r>
      <w:r>
        <w:rPr>
          <w:b w:val="0"/>
        </w:rPr>
        <w:tab/>
      </w:r>
      <w:r>
        <w:rPr>
          <w:b w:val="0"/>
        </w:rPr>
        <w:fldChar w:fldCharType="begin"/>
      </w:r>
      <w:r>
        <w:rPr>
          <w:b w:val="0"/>
        </w:rPr>
        <w:instrText xml:space="preserve"> PAGEREF _Toc15626 \h </w:instrText>
      </w:r>
      <w:r>
        <w:rPr>
          <w:b w:val="0"/>
        </w:rPr>
        <w:fldChar w:fldCharType="separate"/>
      </w:r>
      <w:r>
        <w:rPr>
          <w:b w:val="0"/>
        </w:rPr>
        <w:t>- 78 -</w:t>
      </w:r>
      <w:r>
        <w:rPr>
          <w:b w:val="0"/>
        </w:rPr>
        <w:fldChar w:fldCharType="end"/>
      </w:r>
      <w:r>
        <w:rPr>
          <w:rFonts w:hint="eastAsia" w:ascii="仿宋" w:hAnsi="仿宋" w:eastAsia="仿宋"/>
          <w:b w:val="0"/>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_Toc4574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第一节  附表</w:t>
      </w:r>
      <w:r>
        <w:tab/>
      </w:r>
      <w:r>
        <w:fldChar w:fldCharType="begin"/>
      </w:r>
      <w:r>
        <w:instrText xml:space="preserve"> PAGEREF _Toc4574 \h </w:instrText>
      </w:r>
      <w:r>
        <w:fldChar w:fldCharType="separate"/>
      </w:r>
      <w:r>
        <w:t>- 78 -</w:t>
      </w:r>
      <w:r>
        <w:fldChar w:fldCharType="end"/>
      </w:r>
      <w:r>
        <w:rPr>
          <w:rFonts w:hint="eastAsia" w:ascii="仿宋" w:hAnsi="仿宋" w:eastAsia="仿宋"/>
        </w:rPr>
        <w:fldChar w:fldCharType="end"/>
      </w:r>
    </w:p>
    <w:p>
      <w:pPr>
        <w:pStyle w:val="24"/>
        <w:tabs>
          <w:tab w:val="right" w:leader="dot" w:pos="9013"/>
          <w:tab w:val="clear" w:pos="8890"/>
        </w:tabs>
      </w:pPr>
      <w:r>
        <w:rPr>
          <w:rFonts w:hint="eastAsia" w:ascii="仿宋" w:hAnsi="仿宋" w:eastAsia="仿宋"/>
        </w:rPr>
        <w:fldChar w:fldCharType="begin"/>
      </w:r>
      <w:r>
        <w:rPr>
          <w:rFonts w:hint="eastAsia" w:ascii="仿宋" w:hAnsi="仿宋" w:eastAsia="仿宋"/>
        </w:rPr>
        <w:instrText xml:space="preserve"> HYPERLINK \l _Toc4884 </w:instrText>
      </w:r>
      <w:r>
        <w:rPr>
          <w:rFonts w:hint="eastAsia" w:ascii="仿宋" w:hAnsi="仿宋" w:eastAsia="仿宋"/>
        </w:rPr>
        <w:fldChar w:fldCharType="separate"/>
      </w:r>
      <w:r>
        <w:rPr>
          <w:rFonts w:hint="eastAsia" w:ascii="方正楷体_GBK" w:hAnsi="方正楷体_GBK" w:eastAsia="方正楷体_GBK" w:cs="方正楷体_GBK"/>
          <w:bCs/>
          <w:spacing w:val="6"/>
          <w:szCs w:val="32"/>
        </w:rPr>
        <w:t>第二节  附图</w:t>
      </w:r>
      <w:r>
        <w:tab/>
      </w:r>
      <w:r>
        <w:fldChar w:fldCharType="begin"/>
      </w:r>
      <w:r>
        <w:instrText xml:space="preserve"> PAGEREF _Toc4884 \h </w:instrText>
      </w:r>
      <w:r>
        <w:fldChar w:fldCharType="separate"/>
      </w:r>
      <w:r>
        <w:t>- 78 -</w:t>
      </w:r>
      <w:r>
        <w:fldChar w:fldCharType="end"/>
      </w:r>
      <w:r>
        <w:rPr>
          <w:rFonts w:hint="eastAsia" w:ascii="仿宋" w:hAnsi="仿宋" w:eastAsia="仿宋"/>
        </w:rPr>
        <w:fldChar w:fldCharType="end"/>
      </w:r>
    </w:p>
    <w:p>
      <w:pPr>
        <w:spacing w:line="480" w:lineRule="auto"/>
        <w:rPr>
          <w:rFonts w:hint="eastAsia" w:ascii="仿宋" w:hAnsi="仿宋" w:eastAsia="仿宋"/>
          <w:szCs w:val="28"/>
        </w:rPr>
      </w:pPr>
      <w:r>
        <w:rPr>
          <w:rFonts w:hint="eastAsia" w:ascii="仿宋" w:hAnsi="仿宋" w:eastAsia="仿宋"/>
          <w:szCs w:val="28"/>
        </w:rPr>
        <w:fldChar w:fldCharType="end"/>
      </w:r>
    </w:p>
    <w:p>
      <w:pPr>
        <w:spacing w:line="594" w:lineRule="exact"/>
        <w:rPr>
          <w:rFonts w:ascii="方正黑体_GBK" w:hAnsi="仿宋" w:eastAsia="方正黑体_GBK" w:cs="仿宋"/>
          <w:bCs/>
          <w:caps/>
          <w:spacing w:val="6"/>
          <w:sz w:val="28"/>
          <w:szCs w:val="28"/>
        </w:rPr>
      </w:pPr>
      <w:r>
        <w:rPr>
          <w:rFonts w:hint="eastAsia" w:ascii="方正黑体_GBK" w:hAnsi="仿宋" w:eastAsia="方正黑体_GBK" w:cs="仿宋"/>
          <w:bCs/>
          <w:caps/>
          <w:spacing w:val="6"/>
          <w:sz w:val="28"/>
          <w:szCs w:val="28"/>
        </w:rPr>
        <w:t>附表</w:t>
      </w:r>
    </w:p>
    <w:p>
      <w:pPr>
        <w:spacing w:line="594" w:lineRule="exact"/>
        <w:ind w:firstLine="560" w:firstLineChars="200"/>
        <w:jc w:val="left"/>
        <w:rPr>
          <w:rFonts w:ascii="仿宋" w:hAnsi="仿宋" w:eastAsia="仿宋" w:cs="仿宋"/>
          <w:bCs/>
          <w:sz w:val="28"/>
          <w:szCs w:val="28"/>
        </w:rPr>
      </w:pPr>
      <w:r>
        <w:rPr>
          <w:rFonts w:hint="eastAsia" w:ascii="仿宋" w:hAnsi="仿宋" w:eastAsia="仿宋" w:cs="仿宋"/>
          <w:bCs/>
          <w:sz w:val="28"/>
          <w:szCs w:val="28"/>
        </w:rPr>
        <w:t>附表1 黔江区水安全保障“十四五”规划项目投资计划汇总表</w:t>
      </w:r>
    </w:p>
    <w:p>
      <w:pPr>
        <w:spacing w:line="594" w:lineRule="exact"/>
        <w:ind w:firstLine="560" w:firstLineChars="200"/>
        <w:jc w:val="left"/>
        <w:rPr>
          <w:rFonts w:ascii="仿宋" w:hAnsi="仿宋" w:eastAsia="仿宋" w:cs="仿宋"/>
          <w:bCs/>
          <w:sz w:val="28"/>
          <w:szCs w:val="28"/>
        </w:rPr>
      </w:pPr>
      <w:r>
        <w:rPr>
          <w:rFonts w:hint="eastAsia" w:ascii="仿宋" w:hAnsi="仿宋" w:eastAsia="仿宋" w:cs="仿宋"/>
          <w:bCs/>
          <w:sz w:val="28"/>
          <w:szCs w:val="28"/>
        </w:rPr>
        <w:t>附表2 黔江区水安全保障“十四五”规划策划储备项目清单</w:t>
      </w:r>
    </w:p>
    <w:p>
      <w:pPr>
        <w:spacing w:line="594" w:lineRule="exact"/>
        <w:jc w:val="left"/>
        <w:rPr>
          <w:rFonts w:ascii="方正黑体_GBK" w:hAnsi="仿宋" w:eastAsia="方正黑体_GBK" w:cs="仿宋"/>
          <w:bCs/>
          <w:caps/>
          <w:spacing w:val="6"/>
          <w:sz w:val="28"/>
          <w:szCs w:val="28"/>
        </w:rPr>
      </w:pPr>
      <w:r>
        <w:rPr>
          <w:rFonts w:hint="eastAsia" w:ascii="方正黑体_GBK" w:hAnsi="仿宋" w:eastAsia="方正黑体_GBK" w:cs="仿宋"/>
          <w:bCs/>
          <w:caps/>
          <w:spacing w:val="6"/>
          <w:sz w:val="28"/>
          <w:szCs w:val="28"/>
        </w:rPr>
        <w:t>附图</w:t>
      </w:r>
    </w:p>
    <w:p>
      <w:pPr>
        <w:spacing w:line="594" w:lineRule="exact"/>
        <w:ind w:firstLine="560" w:firstLineChars="200"/>
        <w:jc w:val="left"/>
        <w:rPr>
          <w:rFonts w:ascii="仿宋" w:hAnsi="仿宋" w:eastAsia="仿宋" w:cs="仿宋"/>
          <w:bCs/>
          <w:sz w:val="28"/>
          <w:szCs w:val="28"/>
        </w:rPr>
      </w:pPr>
      <w:r>
        <w:rPr>
          <w:rFonts w:hint="eastAsia" w:ascii="仿宋" w:hAnsi="仿宋" w:eastAsia="仿宋" w:cs="仿宋"/>
          <w:bCs/>
          <w:sz w:val="28"/>
          <w:szCs w:val="28"/>
        </w:rPr>
        <w:t>附图1防洪保安体系规划工程示意图</w:t>
      </w:r>
    </w:p>
    <w:p>
      <w:pPr>
        <w:spacing w:line="594" w:lineRule="exact"/>
        <w:ind w:firstLine="560" w:firstLineChars="200"/>
        <w:jc w:val="left"/>
        <w:rPr>
          <w:rFonts w:ascii="仿宋" w:hAnsi="仿宋" w:eastAsia="仿宋" w:cs="仿宋"/>
          <w:bCs/>
          <w:sz w:val="28"/>
          <w:szCs w:val="28"/>
        </w:rPr>
      </w:pPr>
      <w:r>
        <w:rPr>
          <w:rFonts w:hint="eastAsia" w:ascii="仿宋" w:hAnsi="仿宋" w:eastAsia="仿宋" w:cs="仿宋"/>
          <w:bCs/>
          <w:sz w:val="28"/>
          <w:szCs w:val="28"/>
        </w:rPr>
        <w:t>附图2城乡供水保障体系现状工程位置示意图</w:t>
      </w:r>
    </w:p>
    <w:p>
      <w:pPr>
        <w:spacing w:line="594" w:lineRule="exact"/>
        <w:ind w:firstLine="560" w:firstLineChars="200"/>
        <w:jc w:val="left"/>
        <w:rPr>
          <w:rFonts w:ascii="仿宋" w:hAnsi="仿宋" w:eastAsia="仿宋" w:cs="仿宋"/>
          <w:bCs/>
          <w:sz w:val="28"/>
          <w:szCs w:val="28"/>
        </w:rPr>
      </w:pPr>
      <w:r>
        <w:rPr>
          <w:rFonts w:hint="eastAsia" w:ascii="仿宋" w:hAnsi="仿宋" w:eastAsia="仿宋" w:cs="仿宋"/>
          <w:bCs/>
          <w:sz w:val="28"/>
          <w:szCs w:val="28"/>
        </w:rPr>
        <w:t>附图3城乡供水保障体系规划工程位置示意图</w:t>
      </w:r>
    </w:p>
    <w:p>
      <w:pPr>
        <w:spacing w:line="594" w:lineRule="exact"/>
        <w:ind w:firstLine="560" w:firstLineChars="200"/>
        <w:jc w:val="left"/>
        <w:rPr>
          <w:rFonts w:hint="eastAsia" w:ascii="宋体" w:hAnsi="宋体"/>
          <w:sz w:val="32"/>
        </w:rPr>
      </w:pPr>
      <w:r>
        <w:rPr>
          <w:rFonts w:hint="eastAsia" w:ascii="仿宋" w:hAnsi="仿宋" w:eastAsia="仿宋" w:cs="仿宋"/>
          <w:bCs/>
          <w:sz w:val="28"/>
          <w:szCs w:val="28"/>
        </w:rPr>
        <w:t>附图4水生态文明体系规划工程位置示意图</w:t>
      </w:r>
    </w:p>
    <w:p>
      <w:pPr>
        <w:pStyle w:val="10"/>
        <w:ind w:left="0"/>
        <w:rPr>
          <w:rFonts w:hint="eastAsia"/>
        </w:rPr>
        <w:sectPr>
          <w:headerReference r:id="rId11" w:type="default"/>
          <w:footerReference r:id="rId13" w:type="default"/>
          <w:headerReference r:id="rId12" w:type="even"/>
          <w:footerReference r:id="rId14" w:type="even"/>
          <w:pgSz w:w="11905" w:h="16838"/>
          <w:pgMar w:top="1984" w:right="1446" w:bottom="1644" w:left="1446" w:header="1134" w:footer="1134" w:gutter="0"/>
          <w:pgNumType w:fmt="numberInDash"/>
          <w:cols w:space="720" w:num="1"/>
          <w:docGrid w:linePitch="312" w:charSpace="0"/>
        </w:sectPr>
      </w:pPr>
    </w:p>
    <w:p>
      <w:pPr>
        <w:pStyle w:val="54"/>
        <w:spacing w:before="0" w:after="0" w:line="594" w:lineRule="exact"/>
        <w:ind w:left="0" w:firstLine="0"/>
        <w:jc w:val="center"/>
        <w:rPr>
          <w:rFonts w:hint="eastAsia" w:ascii="方正黑体_GBK" w:hAnsi="方正黑体_GBK" w:eastAsia="方正黑体_GBK" w:cs="方正黑体_GBK"/>
          <w:bCs/>
          <w:spacing w:val="6"/>
          <w:sz w:val="32"/>
          <w:szCs w:val="32"/>
        </w:rPr>
      </w:pPr>
      <w:bookmarkStart w:id="0" w:name="_Toc25766"/>
      <w:bookmarkStart w:id="1" w:name="_Toc9956"/>
      <w:bookmarkStart w:id="2" w:name="_Toc31599"/>
      <w:r>
        <w:rPr>
          <w:rFonts w:hint="eastAsia" w:ascii="方正黑体_GBK" w:hAnsi="方正黑体_GBK" w:eastAsia="方正黑体_GBK" w:cs="方正黑体_GBK"/>
          <w:bCs/>
          <w:spacing w:val="6"/>
          <w:sz w:val="32"/>
          <w:szCs w:val="32"/>
        </w:rPr>
        <w:t>第一章“</w:t>
      </w:r>
      <w:bookmarkEnd w:id="0"/>
      <w:bookmarkEnd w:id="1"/>
      <w:r>
        <w:rPr>
          <w:rFonts w:hint="eastAsia" w:ascii="方正黑体_GBK" w:hAnsi="方正黑体_GBK" w:eastAsia="方正黑体_GBK" w:cs="方正黑体_GBK"/>
          <w:bCs/>
          <w:spacing w:val="6"/>
          <w:sz w:val="32"/>
          <w:szCs w:val="32"/>
        </w:rPr>
        <w:t>十三五”发展成就与经验</w:t>
      </w:r>
      <w:bookmarkEnd w:id="2"/>
    </w:p>
    <w:p>
      <w:pPr>
        <w:pStyle w:val="3"/>
        <w:keepNext w:val="0"/>
        <w:keepLines w:val="0"/>
        <w:tabs>
          <w:tab w:val="left" w:pos="1008"/>
        </w:tabs>
        <w:spacing w:before="0" w:after="0" w:line="594" w:lineRule="exact"/>
        <w:jc w:val="center"/>
        <w:rPr>
          <w:rFonts w:hint="eastAsia" w:ascii="方正仿宋_GBK" w:eastAsia="方正仿宋_GBK"/>
          <w:spacing w:val="6"/>
          <w:szCs w:val="32"/>
        </w:rPr>
      </w:pPr>
      <w:bookmarkStart w:id="3" w:name="_Toc9387"/>
      <w:bookmarkStart w:id="4" w:name="_Toc26377"/>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5" w:name="_Toc4709"/>
      <w:r>
        <w:rPr>
          <w:rFonts w:hint="eastAsia" w:ascii="方正楷体_GBK" w:hAnsi="方正楷体_GBK" w:eastAsia="方正楷体_GBK" w:cs="方正楷体_GBK"/>
          <w:b w:val="0"/>
          <w:bCs/>
          <w:spacing w:val="6"/>
          <w:szCs w:val="32"/>
        </w:rPr>
        <w:t>第一节  概 况</w:t>
      </w:r>
      <w:bookmarkEnd w:id="3"/>
      <w:bookmarkEnd w:id="4"/>
      <w:bookmarkEnd w:id="5"/>
    </w:p>
    <w:p>
      <w:pPr>
        <w:spacing w:line="594" w:lineRule="exact"/>
        <w:ind w:firstLine="560"/>
        <w:rPr>
          <w:rFonts w:ascii="仿宋" w:hAnsi="仿宋" w:eastAsia="仿宋"/>
          <w:sz w:val="28"/>
          <w:szCs w:val="28"/>
        </w:rPr>
      </w:pPr>
      <w:r>
        <w:rPr>
          <w:rFonts w:hint="eastAsia" w:ascii="仿宋" w:hAnsi="仿宋" w:eastAsia="仿宋"/>
          <w:sz w:val="28"/>
          <w:szCs w:val="28"/>
        </w:rPr>
        <w:t>黔江地处武陵山区腹地和重庆市东南部中心，是国市定位的武陵山片区中心城市之一和渝东南区域中心城市，地跨东经108°28′至108°56′、北纬29°04′至29°52′之间，东北、西北与湖北咸丰县、利川市相邻，南及酉阳，西抵彭水，东西宽45km，南北长90km，辖区面积为2402km</w:t>
      </w:r>
      <w:r>
        <w:rPr>
          <w:rFonts w:hint="eastAsia" w:ascii="仿宋" w:hAnsi="仿宋" w:eastAsia="仿宋"/>
          <w:sz w:val="28"/>
          <w:szCs w:val="28"/>
          <w:vertAlign w:val="superscript"/>
        </w:rPr>
        <w:t>2</w:t>
      </w:r>
      <w:r>
        <w:rPr>
          <w:rFonts w:hint="eastAsia" w:ascii="仿宋" w:hAnsi="仿宋" w:eastAsia="仿宋"/>
          <w:sz w:val="28"/>
          <w:szCs w:val="28"/>
        </w:rPr>
        <w:t>，辖30个乡镇街道，全区常住人口48.73万人。</w:t>
      </w:r>
    </w:p>
    <w:p>
      <w:pPr>
        <w:spacing w:line="360" w:lineRule="auto"/>
        <w:jc w:val="center"/>
        <w:rPr>
          <w:rFonts w:ascii="仿宋" w:hAnsi="仿宋" w:eastAsia="仿宋"/>
          <w:sz w:val="28"/>
          <w:szCs w:val="28"/>
        </w:rPr>
      </w:pPr>
      <w:r>
        <w:rPr>
          <w:rFonts w:ascii="仿宋_GB2312" w:hAnsi="仿宋_GB2312" w:eastAsia="仿宋_GB2312" w:cs="仿宋_GB2312"/>
          <w:sz w:val="28"/>
          <w:szCs w:val="28"/>
        </w:rPr>
        <w:drawing>
          <wp:inline distT="0" distB="0" distL="114300" distR="114300">
            <wp:extent cx="5636260" cy="4777105"/>
            <wp:effectExtent l="0" t="0" r="2540" b="4445"/>
            <wp:docPr id="7" name="图片 2" descr="黔江区区位"/>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 descr="黔江区区位"/>
                    <pic:cNvPicPr>
                      <a:picLocks noChangeAspect="true"/>
                    </pic:cNvPicPr>
                  </pic:nvPicPr>
                  <pic:blipFill>
                    <a:blip r:embed="rId22"/>
                    <a:stretch>
                      <a:fillRect/>
                    </a:stretch>
                  </pic:blipFill>
                  <pic:spPr>
                    <a:xfrm>
                      <a:off x="0" y="0"/>
                      <a:ext cx="5636260" cy="4777105"/>
                    </a:xfrm>
                    <a:prstGeom prst="rect">
                      <a:avLst/>
                    </a:prstGeom>
                    <a:noFill/>
                    <a:ln>
                      <a:noFill/>
                    </a:ln>
                  </pic:spPr>
                </pic:pic>
              </a:graphicData>
            </a:graphic>
          </wp:inline>
        </w:drawing>
      </w:r>
    </w:p>
    <w:p>
      <w:pPr>
        <w:jc w:val="center"/>
        <w:rPr>
          <w:rFonts w:hint="eastAsia" w:ascii="方正仿宋_GBK" w:hAnsi="方正仿宋_GBK" w:eastAsia="方正仿宋_GBK" w:cs="方正仿宋_GBK"/>
          <w:b/>
          <w:bCs/>
          <w:sz w:val="28"/>
          <w:szCs w:val="28"/>
        </w:rPr>
      </w:pPr>
      <w:bookmarkStart w:id="6" w:name="_Toc20819"/>
      <w:r>
        <w:rPr>
          <w:rFonts w:hint="eastAsia" w:ascii="方正仿宋_GBK" w:hAnsi="方正仿宋_GBK" w:eastAsia="方正仿宋_GBK" w:cs="方正仿宋_GBK"/>
          <w:b/>
          <w:bCs/>
          <w:sz w:val="28"/>
          <w:szCs w:val="28"/>
        </w:rPr>
        <w:t>图1-1 黔江区地理位置示意图</w:t>
      </w:r>
      <w:bookmarkEnd w:id="6"/>
    </w:p>
    <w:p>
      <w:pPr>
        <w:spacing w:line="360" w:lineRule="auto"/>
        <w:jc w:val="center"/>
        <w:rPr>
          <w:rFonts w:ascii="仿宋" w:hAnsi="仿宋" w:eastAsia="仿宋"/>
          <w:sz w:val="28"/>
          <w:szCs w:val="28"/>
        </w:rPr>
      </w:pPr>
      <w:r>
        <w:drawing>
          <wp:inline distT="0" distB="0" distL="114300" distR="114300">
            <wp:extent cx="5664835" cy="7928610"/>
            <wp:effectExtent l="0" t="0" r="12065" b="15240"/>
            <wp:docPr id="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true"/>
                    </pic:cNvPicPr>
                  </pic:nvPicPr>
                  <pic:blipFill>
                    <a:blip r:embed="rId23"/>
                    <a:stretch>
                      <a:fillRect/>
                    </a:stretch>
                  </pic:blipFill>
                  <pic:spPr>
                    <a:xfrm>
                      <a:off x="0" y="0"/>
                      <a:ext cx="5664835" cy="7928610"/>
                    </a:xfrm>
                    <a:prstGeom prst="rect">
                      <a:avLst/>
                    </a:prstGeom>
                    <a:noFill/>
                    <a:ln>
                      <a:noFill/>
                    </a:ln>
                  </pic:spPr>
                </pic:pic>
              </a:graphicData>
            </a:graphic>
          </wp:inline>
        </w:drawing>
      </w:r>
    </w:p>
    <w:p>
      <w:pPr>
        <w:jc w:val="center"/>
        <w:rPr>
          <w:rFonts w:hint="eastAsia" w:ascii="方正仿宋_GBK" w:hAnsi="方正仿宋_GBK" w:eastAsia="方正仿宋_GBK" w:cs="方正仿宋_GBK"/>
          <w:b/>
          <w:bCs/>
          <w:sz w:val="28"/>
          <w:szCs w:val="28"/>
        </w:rPr>
      </w:pPr>
      <w:bookmarkStart w:id="7" w:name="_Toc5521"/>
      <w:r>
        <w:rPr>
          <w:rFonts w:hint="eastAsia" w:ascii="方正仿宋_GBK" w:hAnsi="方正仿宋_GBK" w:eastAsia="方正仿宋_GBK" w:cs="方正仿宋_GBK"/>
          <w:b/>
          <w:bCs/>
          <w:sz w:val="28"/>
          <w:szCs w:val="28"/>
        </w:rPr>
        <w:t>图1-2 黔江区行政区划图</w:t>
      </w:r>
      <w:bookmarkEnd w:id="7"/>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8" w:name="_Toc25692"/>
      <w:bookmarkStart w:id="9" w:name="_Toc3860"/>
      <w:r>
        <w:rPr>
          <w:rFonts w:hint="eastAsia" w:ascii="方正楷体_GBK" w:hAnsi="方正楷体_GBK" w:eastAsia="方正楷体_GBK" w:cs="方正楷体_GBK"/>
          <w:b w:val="0"/>
          <w:bCs/>
          <w:spacing w:val="6"/>
          <w:szCs w:val="32"/>
        </w:rPr>
        <w:t>第二节“十三五”时期水利改革发展主要成就</w:t>
      </w:r>
      <w:bookmarkEnd w:id="8"/>
      <w:bookmarkEnd w:id="9"/>
    </w:p>
    <w:p>
      <w:pPr>
        <w:spacing w:line="594" w:lineRule="exact"/>
        <w:ind w:firstLine="560"/>
        <w:rPr>
          <w:rFonts w:hint="eastAsia" w:ascii="方正仿宋_GBK" w:hAnsi="方正仿宋_GBK" w:eastAsia="方正仿宋_GBK" w:cs="方正仿宋_GBK"/>
          <w:sz w:val="32"/>
          <w:szCs w:val="32"/>
        </w:rPr>
      </w:pP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“十三五”时期，全区水利建设以骨干水源、城乡供水、防洪保安、农田灌溉、水生态文明、水利信息化等建设为重点，新增蓄引提水能力3860万m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，新增和恢复灌面9.7万亩，新增高效节水灌溉面积2万亩，水利化程度达到47.5%，新增城市供水能力4万m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/日，农村集中供水率（自来水普及率）达95.6%（原统计口径），全区城镇及重要保护对象防洪达标，新治理水土流失面积343km</w:t>
      </w:r>
      <w:r>
        <w:rPr>
          <w:rFonts w:hint="eastAsia" w:ascii="方正仿宋_GBK" w:hAnsi="方正仿宋_GBK" w:eastAsia="方正仿宋_GBK" w:cs="方正仿宋_GBK"/>
          <w:sz w:val="32"/>
          <w:szCs w:val="32"/>
          <w:vertAlign w:val="superscript"/>
        </w:rPr>
        <w:t>2</w:t>
      </w:r>
      <w:r>
        <w:rPr>
          <w:rFonts w:hint="eastAsia" w:ascii="方正仿宋_GBK" w:hAnsi="方正仿宋_GBK" w:eastAsia="方正仿宋_GBK" w:cs="方正仿宋_GBK"/>
          <w:sz w:val="32"/>
          <w:szCs w:val="32"/>
        </w:rPr>
        <w:t>。</w:t>
      </w:r>
    </w:p>
    <w:p>
      <w:pPr>
        <w:spacing w:line="594" w:lineRule="exact"/>
        <w:ind w:firstLine="560"/>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rPr>
        <w:t>一、重点水源建设持续推进</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建成太极水库和老窖溪水库2座中型水库，罗家堡水库工程基本完成枢纽工程、引水工程建设；瓦窑堡水库基本完成主体工程建设；李家坪水库、白沙塘水库、长莲池水库全面完工；陈家寨水库和甘溪水库完成项目前期工作；持续推进茶园水库、黄桥水库、高坪水库、黔江区水系连通及水美乡村建设项目前期工作；建成山坪塘及其他小型蓄引提水工程2565处；开展了城小连通工程（嘉禾-城北段）项目前期工作。</w:t>
      </w:r>
      <w:bookmarkStart w:id="10" w:name="_Toc25557"/>
    </w:p>
    <w:p>
      <w:pPr>
        <w:spacing w:line="594" w:lineRule="exact"/>
        <w:ind w:firstLine="560"/>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rPr>
        <w:t>二、城乡供水安全</w:t>
      </w:r>
      <w:bookmarkEnd w:id="10"/>
      <w:r>
        <w:rPr>
          <w:rFonts w:hint="eastAsia" w:ascii="方正仿宋_GBK" w:hAnsi="方正仿宋_GBK" w:eastAsia="方正仿宋_GBK" w:cs="方正仿宋_GBK"/>
          <w:spacing w:val="6"/>
          <w:sz w:val="32"/>
          <w:szCs w:val="32"/>
        </w:rPr>
        <w:t xml:space="preserve">不断加强 </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正阳水厂城区供水规模达到8万m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d，供水信息化技术得到广泛应用，建成城市供水远程调度及监控ＳＣＡＤＡ系统，安装管网测控终端15个，加压泵站测控站6个，水厂测控站2个等；水质检测水平和能力得到全面提升；城周高地供水拓展推进成效显著。</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累计建成农村饮水安全工程4553处，工程覆盖率达100%，全面解决了全区42.9万人农村人口饮水安全保障，农村集中供水率（自来水普及率）达95.6%（原统计口径）。</w:t>
      </w:r>
      <w:bookmarkStart w:id="11" w:name="_Toc2922"/>
    </w:p>
    <w:bookmarkEnd w:id="11"/>
    <w:p>
      <w:pPr>
        <w:spacing w:line="594" w:lineRule="exact"/>
        <w:ind w:firstLine="560"/>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rPr>
        <w:t>三、水灾害防御能力持续提升</w:t>
      </w:r>
    </w:p>
    <w:p>
      <w:pPr>
        <w:spacing w:line="594" w:lineRule="exact"/>
        <w:ind w:firstLine="560"/>
        <w:rPr>
          <w:rFonts w:hint="eastAsia" w:ascii="方正仿宋_GBK" w:hAnsi="方正仿宋_GBK" w:eastAsia="方正仿宋_GBK" w:cs="方正仿宋_GBK"/>
          <w:sz w:val="32"/>
          <w:szCs w:val="32"/>
        </w:rPr>
      </w:pPr>
      <w:bookmarkStart w:id="12" w:name="_Toc441835730"/>
      <w:r>
        <w:rPr>
          <w:rFonts w:hint="eastAsia" w:ascii="方正仿宋_GBK" w:hAnsi="方正仿宋_GBK" w:eastAsia="方正仿宋_GBK" w:cs="方正仿宋_GBK"/>
          <w:sz w:val="32"/>
          <w:szCs w:val="32"/>
        </w:rPr>
        <w:t>实施阿蓬江重庆黔江区城区和重点乡镇防洪治理工程等中小河流治理项目共涉及9个，其中流域面积3000km</w:t>
      </w:r>
      <w:r>
        <w:rPr>
          <w:rFonts w:hint="eastAsia" w:ascii="方正仿宋_GBK" w:hAnsi="方正仿宋_GBK" w:eastAsia="方正仿宋_GBK" w:cs="方正仿宋_GBK"/>
          <w:sz w:val="32"/>
          <w:szCs w:val="32"/>
          <w:vertAlign w:val="superscript"/>
        </w:rPr>
        <w:t>2</w:t>
      </w:r>
      <w:r>
        <w:rPr>
          <w:rFonts w:hint="eastAsia" w:ascii="方正仿宋_GBK" w:hAnsi="方正仿宋_GBK" w:eastAsia="方正仿宋_GBK" w:cs="方正仿宋_GBK"/>
          <w:sz w:val="32"/>
          <w:szCs w:val="32"/>
        </w:rPr>
        <w:t>以上中小河流治理项目2个，流域面积200～3000km</w:t>
      </w:r>
      <w:r>
        <w:rPr>
          <w:rFonts w:hint="eastAsia" w:ascii="方正仿宋_GBK" w:hAnsi="方正仿宋_GBK" w:eastAsia="方正仿宋_GBK" w:cs="方正仿宋_GBK"/>
          <w:sz w:val="32"/>
          <w:szCs w:val="32"/>
          <w:vertAlign w:val="superscript"/>
        </w:rPr>
        <w:t>2</w:t>
      </w:r>
      <w:r>
        <w:rPr>
          <w:rFonts w:hint="eastAsia" w:ascii="方正仿宋_GBK" w:hAnsi="方正仿宋_GBK" w:eastAsia="方正仿宋_GBK" w:cs="方正仿宋_GBK"/>
          <w:sz w:val="32"/>
          <w:szCs w:val="32"/>
        </w:rPr>
        <w:t>中小河流治理项目7个。共计治理河道总长35km，新建堤防40km。</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实施水毁修复等项目，修复水毁河堤共计3.77km；实施自动雨量监测站点通信供电改造8个，自动监测站网1个，图像监测站11个，视频监测站4个；更新无线预警广播14个，简易雨量报警器34个，简易水位（报警）站10个，新配置简易雨量报警器44个，手摇报警器44套，宣传栏44块；升级完善区级监测预警平台1个，触控一体机6套，软件6项；加强群测群防体系建设，开展山洪灾害调查评价。</w:t>
      </w:r>
    </w:p>
    <w:bookmarkEnd w:id="12"/>
    <w:p>
      <w:pPr>
        <w:pStyle w:val="54"/>
        <w:spacing w:before="0" w:after="0" w:line="594" w:lineRule="exact"/>
        <w:ind w:left="0" w:firstLine="0"/>
        <w:jc w:val="center"/>
        <w:outlineLvl w:val="9"/>
        <w:rPr>
          <w:rFonts w:hint="eastAsia" w:ascii="方正黑体_GBK" w:hAnsi="方正黑体_GBK" w:eastAsia="方正黑体_GBK" w:cs="方正黑体_GBK"/>
          <w:bCs/>
          <w:spacing w:val="6"/>
          <w:sz w:val="32"/>
          <w:szCs w:val="32"/>
        </w:rPr>
      </w:pPr>
      <w:bookmarkStart w:id="13" w:name="_Toc29087"/>
      <w:bookmarkStart w:id="14" w:name="_Toc10565"/>
      <w:bookmarkStart w:id="15" w:name="_Toc17470"/>
      <w:bookmarkStart w:id="16" w:name="_Toc5758"/>
      <w:r>
        <w:rPr>
          <w:rFonts w:hint="eastAsia" w:ascii="方正黑体_GBK" w:hAnsi="方正黑体_GBK" w:eastAsia="方正黑体_GBK" w:cs="方正黑体_GBK"/>
          <w:bCs/>
          <w:spacing w:val="6"/>
          <w:sz w:val="32"/>
          <w:szCs w:val="32"/>
        </w:rPr>
        <w:t>黔江区“十三五”防洪减灾建设项目表</w:t>
      </w:r>
      <w:bookmarkEnd w:id="13"/>
      <w:bookmarkEnd w:id="14"/>
      <w:bookmarkEnd w:id="15"/>
      <w:bookmarkEnd w:id="16"/>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4082"/>
        <w:gridCol w:w="31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tblHeader/>
        </w:trPr>
        <w:tc>
          <w:tcPr>
            <w:tcW w:w="1950" w:type="dxa"/>
            <w:noWrap w:val="0"/>
            <w:vAlign w:val="center"/>
          </w:tcPr>
          <w:p>
            <w:pPr>
              <w:jc w:val="center"/>
              <w:rPr>
                <w:rFonts w:hint="eastAsia" w:ascii="方正仿宋_GBK" w:hAnsi="方正黑体_GBK" w:eastAsia="方正仿宋_GBK" w:cs="方正黑体_GBK"/>
                <w:b/>
                <w:sz w:val="24"/>
                <w:szCs w:val="24"/>
              </w:rPr>
            </w:pPr>
            <w:r>
              <w:rPr>
                <w:rFonts w:hint="eastAsia" w:ascii="方正仿宋_GBK" w:hAnsi="方正黑体_GBK" w:eastAsia="方正仿宋_GBK" w:cs="方正黑体_GBK"/>
                <w:b/>
                <w:sz w:val="24"/>
                <w:szCs w:val="24"/>
              </w:rPr>
              <w:t>项目</w:t>
            </w:r>
          </w:p>
        </w:tc>
        <w:tc>
          <w:tcPr>
            <w:tcW w:w="4082" w:type="dxa"/>
            <w:noWrap w:val="0"/>
            <w:vAlign w:val="center"/>
          </w:tcPr>
          <w:p>
            <w:pPr>
              <w:jc w:val="center"/>
              <w:rPr>
                <w:rFonts w:hint="eastAsia" w:ascii="方正仿宋_GBK" w:hAnsi="方正黑体_GBK" w:eastAsia="方正仿宋_GBK" w:cs="方正黑体_GBK"/>
                <w:b/>
                <w:sz w:val="24"/>
                <w:szCs w:val="24"/>
              </w:rPr>
            </w:pPr>
            <w:r>
              <w:rPr>
                <w:rFonts w:hint="eastAsia" w:ascii="方正仿宋_GBK" w:hAnsi="方正黑体_GBK" w:eastAsia="方正仿宋_GBK" w:cs="方正黑体_GBK"/>
                <w:b/>
                <w:sz w:val="24"/>
                <w:szCs w:val="24"/>
              </w:rPr>
              <w:t>项目名称</w:t>
            </w:r>
          </w:p>
        </w:tc>
        <w:tc>
          <w:tcPr>
            <w:tcW w:w="3193" w:type="dxa"/>
            <w:noWrap w:val="0"/>
            <w:vAlign w:val="center"/>
          </w:tcPr>
          <w:p>
            <w:pPr>
              <w:jc w:val="center"/>
              <w:rPr>
                <w:rFonts w:hint="eastAsia" w:ascii="方正仿宋_GBK" w:hAnsi="方正黑体_GBK" w:eastAsia="方正仿宋_GBK" w:cs="方正黑体_GBK"/>
                <w:b/>
                <w:sz w:val="24"/>
                <w:szCs w:val="24"/>
              </w:rPr>
            </w:pPr>
            <w:r>
              <w:rPr>
                <w:rFonts w:hint="eastAsia" w:ascii="方正仿宋_GBK" w:hAnsi="方正黑体_GBK" w:eastAsia="方正仿宋_GBK" w:cs="方正黑体_GBK"/>
                <w:b/>
                <w:sz w:val="24"/>
                <w:szCs w:val="24"/>
              </w:rPr>
              <w:t>建设内容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950"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中小河流治理</w:t>
            </w:r>
          </w:p>
        </w:tc>
        <w:tc>
          <w:tcPr>
            <w:tcW w:w="4082"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阿蓬江重庆黔江区城区和重点乡镇防洪治理工程等9个工程</w:t>
            </w:r>
          </w:p>
        </w:tc>
        <w:tc>
          <w:tcPr>
            <w:tcW w:w="3193"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共计治理河道总长35km，新建堤防40km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950"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水毁修复</w:t>
            </w:r>
          </w:p>
        </w:tc>
        <w:tc>
          <w:tcPr>
            <w:tcW w:w="4082"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金溪镇岔河村水毁河堤修复工程等</w:t>
            </w:r>
          </w:p>
        </w:tc>
        <w:tc>
          <w:tcPr>
            <w:tcW w:w="3193"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共计修复水毁河堤3.77km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0"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自动化监测系统</w:t>
            </w:r>
          </w:p>
        </w:tc>
        <w:tc>
          <w:tcPr>
            <w:tcW w:w="4082"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自动雨量监测站点通信供电改造、自动监测站网等建设</w:t>
            </w:r>
          </w:p>
        </w:tc>
        <w:tc>
          <w:tcPr>
            <w:tcW w:w="3193"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自动雨量监测站点通信供电改造8个、自动监测站网1个，图像监测站11个，视频监测站4个；更新无线预警广播14个，简易雨量报警器34个，简易水位（报警）站10个，新配置简易雨量报警器44个，手摇报警器44套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950"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山洪灾害防治</w:t>
            </w:r>
          </w:p>
        </w:tc>
        <w:tc>
          <w:tcPr>
            <w:tcW w:w="4082"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山洪灾害调查</w:t>
            </w:r>
          </w:p>
        </w:tc>
        <w:tc>
          <w:tcPr>
            <w:tcW w:w="3193"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山洪灾害调查评价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950"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山洪沟治理</w:t>
            </w:r>
          </w:p>
        </w:tc>
        <w:tc>
          <w:tcPr>
            <w:tcW w:w="4082"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黔江区白石乡凤山村山洪沟治理、</w:t>
            </w:r>
          </w:p>
        </w:tc>
        <w:tc>
          <w:tcPr>
            <w:tcW w:w="3193"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整治河段740m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0"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水文监测</w:t>
            </w:r>
          </w:p>
        </w:tc>
        <w:tc>
          <w:tcPr>
            <w:tcW w:w="4082"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水文站、水位站建设</w:t>
            </w:r>
          </w:p>
        </w:tc>
        <w:tc>
          <w:tcPr>
            <w:tcW w:w="3193"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建设5座水文监测站、5座水位监测站</w:t>
            </w:r>
          </w:p>
        </w:tc>
      </w:tr>
    </w:tbl>
    <w:p>
      <w:pPr>
        <w:pStyle w:val="4"/>
        <w:keepNext w:val="0"/>
        <w:keepLines w:val="0"/>
        <w:tabs>
          <w:tab w:val="left" w:pos="1008"/>
        </w:tabs>
        <w:spacing w:before="0" w:after="0" w:line="594" w:lineRule="exact"/>
        <w:ind w:firstLine="664" w:firstLineChars="200"/>
        <w:jc w:val="left"/>
        <w:rPr>
          <w:rFonts w:hint="eastAsia" w:ascii="方正仿宋_GBK" w:hAnsi="方正仿宋_GBK" w:eastAsia="方正仿宋_GBK" w:cs="方正仿宋_GBK"/>
          <w:b w:val="0"/>
          <w:bCs w:val="0"/>
          <w:spacing w:val="6"/>
        </w:rPr>
      </w:pPr>
      <w:r>
        <w:rPr>
          <w:rFonts w:hint="eastAsia" w:ascii="方正仿宋_GBK" w:hAnsi="方正仿宋_GBK" w:eastAsia="方正仿宋_GBK" w:cs="方正仿宋_GBK"/>
          <w:b w:val="0"/>
          <w:bCs w:val="0"/>
          <w:spacing w:val="6"/>
          <w:lang w:eastAsia="zh-CN"/>
        </w:rPr>
        <w:t>四、</w:t>
      </w:r>
      <w:r>
        <w:rPr>
          <w:rFonts w:hint="eastAsia" w:ascii="方正仿宋_GBK" w:hAnsi="方正仿宋_GBK" w:eastAsia="方正仿宋_GBK" w:cs="方正仿宋_GBK"/>
          <w:b w:val="0"/>
          <w:bCs w:val="0"/>
          <w:spacing w:val="6"/>
        </w:rPr>
        <w:t>水利扶贫成果显著</w:t>
      </w:r>
      <w:bookmarkStart w:id="17" w:name="_Toc22620"/>
    </w:p>
    <w:p>
      <w:pPr>
        <w:pStyle w:val="4"/>
        <w:keepNext w:val="0"/>
        <w:keepLines w:val="0"/>
        <w:tabs>
          <w:tab w:val="left" w:pos="1008"/>
        </w:tabs>
        <w:spacing w:before="0" w:after="0" w:line="594" w:lineRule="exact"/>
        <w:ind w:firstLine="640" w:firstLineChars="200"/>
        <w:jc w:val="left"/>
        <w:rPr>
          <w:rFonts w:hint="eastAsia" w:ascii="方正仿宋_GBK" w:hAnsi="方正仿宋_GBK" w:eastAsia="方正仿宋_GBK" w:cs="方正仿宋_GBK"/>
          <w:b w:val="0"/>
          <w:bCs w:val="0"/>
        </w:rPr>
      </w:pPr>
      <w:r>
        <w:rPr>
          <w:rFonts w:hint="eastAsia" w:ascii="方正仿宋_GBK" w:hAnsi="方正仿宋_GBK" w:eastAsia="方正仿宋_GBK" w:cs="方正仿宋_GBK"/>
          <w:b w:val="0"/>
          <w:bCs w:val="0"/>
        </w:rPr>
        <w:t>共实施高标准农田建设21.3万亩;投用老窖溪水库和太极水库，积极推进瓦窑堡、罗家堡、</w:t>
      </w:r>
      <w:r>
        <w:rPr>
          <w:rFonts w:hint="eastAsia" w:ascii="方正仿宋_GBK" w:hAnsi="方正仿宋_GBK" w:eastAsia="方正仿宋_GBK" w:cs="方正仿宋_GBK"/>
          <w:b w:val="0"/>
          <w:bCs w:val="0"/>
          <w:lang w:eastAsia="zh-CN"/>
        </w:rPr>
        <w:t>李家坪、白沙塘、长莲池5座</w:t>
      </w:r>
      <w:r>
        <w:rPr>
          <w:rFonts w:hint="eastAsia" w:ascii="方正仿宋_GBK" w:hAnsi="方正仿宋_GBK" w:eastAsia="方正仿宋_GBK" w:cs="方正仿宋_GBK"/>
          <w:b w:val="0"/>
          <w:bCs w:val="0"/>
        </w:rPr>
        <w:t>水库建设，除险加固213口山坪塘整治及5座小型水库，全区蓄引提水能力达到1.49亿立方米,有效灌溉面积19.5万亩,水利化程度达47.5%。</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建设阿蓬江防洪治理工程、段溪河中塘乡胜利村河段综合治理工程等7个中小河流治理项目，累计投资2.27亿元，综合治理河道长度30.31公里；建设农村饮水安全巩固提升工程，累计投资2.91亿元，巩固提升受益人口42.88万人；建设国家水土保持重点项目，累计投资0.57亿元，治理水土流失面积343km</w:t>
      </w:r>
      <w:r>
        <w:rPr>
          <w:rFonts w:hint="eastAsia" w:ascii="方正仿宋_GBK" w:hAnsi="方正仿宋_GBK" w:eastAsia="方正仿宋_GBK" w:cs="方正仿宋_GBK"/>
          <w:sz w:val="32"/>
          <w:szCs w:val="32"/>
          <w:vertAlign w:val="superscript"/>
        </w:rPr>
        <w:t>2</w:t>
      </w:r>
      <w:r>
        <w:rPr>
          <w:rFonts w:hint="eastAsia" w:ascii="方正仿宋_GBK" w:hAnsi="方正仿宋_GBK" w:eastAsia="方正仿宋_GBK" w:cs="方正仿宋_GBK"/>
          <w:sz w:val="32"/>
          <w:szCs w:val="32"/>
        </w:rPr>
        <w:t>；投入大中型水库后期扶持资金为9159万元，其他资金202.90万元；累计投入0.24亿元开展渔滩电站增效扩容等</w:t>
      </w:r>
      <w:r>
        <w:rPr>
          <w:rFonts w:hint="eastAsia" w:ascii="方正仿宋_GBK" w:hAnsi="方正仿宋_GBK" w:eastAsia="方正仿宋_GBK" w:cs="方正仿宋_GBK"/>
          <w:sz w:val="32"/>
          <w:szCs w:val="32"/>
          <w:lang w:eastAsia="zh-CN"/>
        </w:rPr>
        <w:t>其他</w:t>
      </w:r>
      <w:r>
        <w:rPr>
          <w:rFonts w:hint="eastAsia" w:ascii="方正仿宋_GBK" w:hAnsi="方正仿宋_GBK" w:eastAsia="方正仿宋_GBK" w:cs="方正仿宋_GBK"/>
          <w:sz w:val="32"/>
          <w:szCs w:val="32"/>
        </w:rPr>
        <w:t>水利项目。为脱贫攻坚提供了坚强的水利保障。</w:t>
      </w:r>
    </w:p>
    <w:p>
      <w:pPr>
        <w:spacing w:line="594" w:lineRule="exact"/>
        <w:ind w:firstLine="560"/>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rPr>
        <w:t>五、水生态</w:t>
      </w:r>
      <w:bookmarkEnd w:id="17"/>
      <w:r>
        <w:rPr>
          <w:rFonts w:hint="eastAsia" w:ascii="方正仿宋_GBK" w:hAnsi="方正仿宋_GBK" w:eastAsia="方正仿宋_GBK" w:cs="方正仿宋_GBK"/>
          <w:spacing w:val="6"/>
          <w:sz w:val="32"/>
          <w:szCs w:val="32"/>
        </w:rPr>
        <w:t>环境明显改善</w:t>
      </w:r>
    </w:p>
    <w:p>
      <w:pPr>
        <w:spacing w:line="594" w:lineRule="exact"/>
        <w:ind w:firstLine="560"/>
        <w:rPr>
          <w:rFonts w:hint="eastAsia" w:ascii="方正仿宋_GBK" w:hAnsi="方正仿宋_GBK" w:eastAsia="方正仿宋_GBK" w:cs="方正仿宋_GBK"/>
          <w:b/>
          <w:spacing w:val="6"/>
          <w:sz w:val="32"/>
          <w:szCs w:val="32"/>
        </w:rPr>
      </w:pPr>
      <w:r>
        <w:rPr>
          <w:rFonts w:hint="eastAsia" w:ascii="方正仿宋_GBK" w:hAnsi="方正仿宋_GBK" w:eastAsia="方正仿宋_GBK" w:cs="方正仿宋_GBK"/>
          <w:sz w:val="32"/>
          <w:szCs w:val="32"/>
        </w:rPr>
        <w:t>围绕全区“城市靓区”、“旅游大区”战略，实施水生态环境综合治理，助推生态保护发展区建设，建设水生态文明示范强区。</w:t>
      </w:r>
      <w:bookmarkStart w:id="18" w:name="_Toc24697"/>
      <w:bookmarkStart w:id="19" w:name="_Toc29116"/>
    </w:p>
    <w:p>
      <w:pPr>
        <w:pStyle w:val="54"/>
        <w:spacing w:before="0" w:after="0" w:line="594" w:lineRule="exact"/>
        <w:ind w:left="0" w:firstLine="0"/>
        <w:jc w:val="center"/>
        <w:outlineLvl w:val="9"/>
        <w:rPr>
          <w:rFonts w:hint="eastAsia" w:ascii="方正黑体_GBK" w:hAnsi="方正黑体_GBK" w:eastAsia="方正黑体_GBK" w:cs="方正黑体_GBK"/>
          <w:bCs/>
          <w:spacing w:val="6"/>
          <w:sz w:val="32"/>
          <w:szCs w:val="32"/>
        </w:rPr>
      </w:pPr>
      <w:bookmarkStart w:id="20" w:name="_Toc27429"/>
      <w:bookmarkStart w:id="21" w:name="_Toc30428"/>
      <w:r>
        <w:rPr>
          <w:rFonts w:hint="eastAsia" w:ascii="方正黑体_GBK" w:hAnsi="方正黑体_GBK" w:eastAsia="方正黑体_GBK" w:cs="方正黑体_GBK"/>
          <w:bCs/>
          <w:spacing w:val="6"/>
          <w:sz w:val="32"/>
          <w:szCs w:val="32"/>
        </w:rPr>
        <w:t>黔江区“十三五”水生态建设成就统计表</w:t>
      </w:r>
      <w:bookmarkEnd w:id="18"/>
      <w:bookmarkEnd w:id="19"/>
      <w:bookmarkEnd w:id="20"/>
      <w:bookmarkEnd w:id="21"/>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664"/>
        <w:gridCol w:w="1684"/>
        <w:gridCol w:w="2897"/>
        <w:gridCol w:w="21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64" w:type="dxa"/>
            <w:noWrap w:val="0"/>
            <w:vAlign w:val="center"/>
          </w:tcPr>
          <w:p>
            <w:pPr>
              <w:jc w:val="center"/>
              <w:rPr>
                <w:rFonts w:hint="eastAsia" w:ascii="方正仿宋_GBK" w:hAnsi="方正黑体_GBK" w:eastAsia="方正仿宋_GBK" w:cs="方正黑体_GBK"/>
                <w:b/>
                <w:sz w:val="24"/>
                <w:szCs w:val="24"/>
              </w:rPr>
            </w:pPr>
            <w:r>
              <w:rPr>
                <w:rFonts w:hint="eastAsia" w:ascii="方正仿宋_GBK" w:hAnsi="方正黑体_GBK" w:eastAsia="方正仿宋_GBK" w:cs="方正黑体_GBK"/>
                <w:b/>
                <w:sz w:val="24"/>
                <w:szCs w:val="24"/>
              </w:rPr>
              <w:t>项目</w:t>
            </w:r>
          </w:p>
        </w:tc>
        <w:tc>
          <w:tcPr>
            <w:tcW w:w="3348" w:type="dxa"/>
            <w:gridSpan w:val="2"/>
            <w:noWrap w:val="0"/>
            <w:vAlign w:val="center"/>
          </w:tcPr>
          <w:p>
            <w:pPr>
              <w:jc w:val="center"/>
              <w:rPr>
                <w:rFonts w:hint="eastAsia" w:ascii="方正仿宋_GBK" w:hAnsi="方正黑体_GBK" w:eastAsia="方正仿宋_GBK" w:cs="方正黑体_GBK"/>
                <w:b/>
                <w:sz w:val="24"/>
                <w:szCs w:val="24"/>
              </w:rPr>
            </w:pPr>
            <w:r>
              <w:rPr>
                <w:rFonts w:hint="eastAsia" w:ascii="方正仿宋_GBK" w:hAnsi="方正黑体_GBK" w:eastAsia="方正仿宋_GBK" w:cs="方正黑体_GBK"/>
                <w:b/>
                <w:sz w:val="24"/>
                <w:szCs w:val="24"/>
              </w:rPr>
              <w:t>工程建设完成情况</w:t>
            </w:r>
          </w:p>
        </w:tc>
        <w:tc>
          <w:tcPr>
            <w:tcW w:w="2897" w:type="dxa"/>
            <w:noWrap w:val="0"/>
            <w:vAlign w:val="center"/>
          </w:tcPr>
          <w:p>
            <w:pPr>
              <w:jc w:val="center"/>
              <w:rPr>
                <w:rFonts w:hint="eastAsia" w:ascii="方正仿宋_GBK" w:hAnsi="方正黑体_GBK" w:eastAsia="方正仿宋_GBK" w:cs="方正黑体_GBK"/>
                <w:b/>
                <w:sz w:val="24"/>
                <w:szCs w:val="24"/>
              </w:rPr>
            </w:pPr>
            <w:r>
              <w:rPr>
                <w:rFonts w:hint="eastAsia" w:ascii="方正仿宋_GBK" w:hAnsi="方正黑体_GBK" w:eastAsia="方正仿宋_GBK" w:cs="方正黑体_GBK"/>
                <w:b/>
                <w:sz w:val="24"/>
                <w:szCs w:val="24"/>
              </w:rPr>
              <w:t>非工程建设（工程量）</w:t>
            </w:r>
          </w:p>
        </w:tc>
        <w:tc>
          <w:tcPr>
            <w:tcW w:w="2120" w:type="dxa"/>
            <w:noWrap w:val="0"/>
            <w:vAlign w:val="center"/>
          </w:tcPr>
          <w:p>
            <w:pPr>
              <w:jc w:val="center"/>
              <w:rPr>
                <w:rFonts w:hint="eastAsia" w:ascii="方正仿宋_GBK" w:hAnsi="方正黑体_GBK" w:eastAsia="方正仿宋_GBK" w:cs="方正黑体_GBK"/>
                <w:b/>
                <w:sz w:val="24"/>
                <w:szCs w:val="24"/>
              </w:rPr>
            </w:pPr>
            <w:r>
              <w:rPr>
                <w:rFonts w:hint="eastAsia" w:ascii="方正仿宋_GBK" w:hAnsi="方正黑体_GBK" w:eastAsia="方正仿宋_GBK" w:cs="方正黑体_GBK"/>
                <w:b/>
                <w:sz w:val="24"/>
                <w:szCs w:val="24"/>
              </w:rPr>
              <w:t>前期工作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864" w:type="dxa"/>
            <w:vMerge w:val="restart"/>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水资源保护工程</w:t>
            </w:r>
          </w:p>
        </w:tc>
        <w:tc>
          <w:tcPr>
            <w:tcW w:w="3348" w:type="dxa"/>
            <w:gridSpan w:val="2"/>
            <w:noWrap w:val="0"/>
            <w:vAlign w:val="center"/>
          </w:tcPr>
          <w:p>
            <w:pPr>
              <w:pStyle w:val="9"/>
              <w:spacing w:line="240" w:lineRule="auto"/>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w:t>
            </w:r>
          </w:p>
        </w:tc>
        <w:tc>
          <w:tcPr>
            <w:tcW w:w="2897"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完成水源地名录统计工作、累计9个水功能区完成确界立碑、一级水源保护区均实现</w:t>
            </w:r>
            <w:r>
              <w:rPr>
                <w:rFonts w:hint="eastAsia" w:ascii="方正仿宋_GBK" w:hAnsi="方正仿宋_GBK" w:eastAsia="方正仿宋_GBK" w:cs="方正仿宋_GBK"/>
                <w:sz w:val="24"/>
                <w:szCs w:val="24"/>
                <w:lang w:eastAsia="zh-CN"/>
              </w:rPr>
              <w:t>视频</w:t>
            </w:r>
            <w:r>
              <w:rPr>
                <w:rFonts w:hint="eastAsia" w:ascii="方正仿宋_GBK" w:hAnsi="方正仿宋_GBK" w:eastAsia="方正仿宋_GBK" w:cs="方正仿宋_GBK"/>
                <w:sz w:val="24"/>
                <w:szCs w:val="24"/>
              </w:rPr>
              <w:t>监控管理</w:t>
            </w:r>
          </w:p>
        </w:tc>
        <w:tc>
          <w:tcPr>
            <w:tcW w:w="2120"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黔江区阿蓬江镇、白土乡、新华乡入河排污口整治工程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864" w:type="dxa"/>
            <w:vMerge w:val="restart"/>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水生态修复工程</w:t>
            </w:r>
          </w:p>
        </w:tc>
        <w:tc>
          <w:tcPr>
            <w:tcW w:w="1664"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饮用水源地</w:t>
            </w:r>
          </w:p>
        </w:tc>
        <w:tc>
          <w:tcPr>
            <w:tcW w:w="1684"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水生态综合治理工程</w:t>
            </w:r>
          </w:p>
        </w:tc>
        <w:tc>
          <w:tcPr>
            <w:tcW w:w="2897"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生态景观</w:t>
            </w:r>
          </w:p>
        </w:tc>
        <w:tc>
          <w:tcPr>
            <w:tcW w:w="2120"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生态水体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6" w:hRule="atLeast"/>
          <w:jc w:val="center"/>
        </w:trPr>
        <w:tc>
          <w:tcPr>
            <w:tcW w:w="864" w:type="dxa"/>
            <w:vMerge w:val="continue"/>
            <w:noWrap w:val="0"/>
            <w:vAlign w:val="center"/>
          </w:tcPr>
          <w:p>
            <w:pPr>
              <w:jc w:val="center"/>
              <w:rPr>
                <w:rFonts w:hint="eastAsia" w:ascii="方正仿宋_GBK" w:hAnsi="方正仿宋_GBK" w:eastAsia="方正仿宋_GBK" w:cs="方正仿宋_GBK"/>
                <w:sz w:val="24"/>
                <w:szCs w:val="24"/>
              </w:rPr>
            </w:pPr>
          </w:p>
        </w:tc>
        <w:tc>
          <w:tcPr>
            <w:tcW w:w="1664"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洞塘水库、石桥水库、大水井、城北水库饮用水源地水生态修复工程</w:t>
            </w:r>
          </w:p>
        </w:tc>
        <w:tc>
          <w:tcPr>
            <w:tcW w:w="1684"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阿蓬江流域水生态综合治理工程</w:t>
            </w:r>
          </w:p>
        </w:tc>
        <w:tc>
          <w:tcPr>
            <w:tcW w:w="2897"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峡谷公园梯级水坝工程</w:t>
            </w:r>
          </w:p>
        </w:tc>
        <w:tc>
          <w:tcPr>
            <w:tcW w:w="2120"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马鞍田水库和天生桥水库生态水体工程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64"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水土保持项目</w:t>
            </w:r>
          </w:p>
        </w:tc>
        <w:tc>
          <w:tcPr>
            <w:tcW w:w="3348" w:type="dxa"/>
            <w:gridSpan w:val="2"/>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水土流失综合治理面积343km</w:t>
            </w:r>
            <w:r>
              <w:rPr>
                <w:rFonts w:hint="eastAsia" w:ascii="方正仿宋_GBK" w:hAnsi="方正仿宋_GBK" w:eastAsia="方正仿宋_GBK" w:cs="方正仿宋_GBK"/>
                <w:sz w:val="24"/>
                <w:szCs w:val="24"/>
                <w:vertAlign w:val="superscript"/>
              </w:rPr>
              <w:t>2</w:t>
            </w:r>
          </w:p>
        </w:tc>
        <w:tc>
          <w:tcPr>
            <w:tcW w:w="2897"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征收水资源费、水土保持补偿费</w:t>
            </w:r>
          </w:p>
        </w:tc>
        <w:tc>
          <w:tcPr>
            <w:tcW w:w="2120" w:type="dxa"/>
            <w:noWrap w:val="0"/>
            <w:vAlign w:val="center"/>
          </w:tcPr>
          <w:p>
            <w:pPr>
              <w:jc w:val="center"/>
              <w:rPr>
                <w:rFonts w:hint="eastAsia" w:ascii="方正仿宋_GBK" w:hAnsi="方正仿宋_GBK" w:eastAsia="方正仿宋_GBK" w:cs="方正仿宋_GBK"/>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64" w:type="dxa"/>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水美乡村</w:t>
            </w:r>
          </w:p>
        </w:tc>
        <w:tc>
          <w:tcPr>
            <w:tcW w:w="3348" w:type="dxa"/>
            <w:gridSpan w:val="2"/>
            <w:noWrap w:val="0"/>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完成重庆市黔江区水系连通及水美乡村建设试点前期工作</w:t>
            </w:r>
          </w:p>
        </w:tc>
        <w:tc>
          <w:tcPr>
            <w:tcW w:w="2897" w:type="dxa"/>
            <w:noWrap w:val="0"/>
            <w:vAlign w:val="center"/>
          </w:tcPr>
          <w:p>
            <w:pPr>
              <w:jc w:val="center"/>
              <w:rPr>
                <w:rFonts w:hint="eastAsia" w:ascii="方正仿宋_GBK" w:hAnsi="方正仿宋_GBK" w:eastAsia="方正仿宋_GBK" w:cs="方正仿宋_GBK"/>
                <w:sz w:val="24"/>
                <w:szCs w:val="24"/>
              </w:rPr>
            </w:pPr>
          </w:p>
        </w:tc>
        <w:tc>
          <w:tcPr>
            <w:tcW w:w="2120" w:type="dxa"/>
            <w:noWrap w:val="0"/>
            <w:vAlign w:val="center"/>
          </w:tcPr>
          <w:p>
            <w:pPr>
              <w:jc w:val="center"/>
              <w:rPr>
                <w:rFonts w:hint="eastAsia" w:ascii="方正仿宋_GBK" w:hAnsi="方正仿宋_GBK" w:eastAsia="方正仿宋_GBK" w:cs="方正仿宋_GBK"/>
                <w:sz w:val="24"/>
                <w:szCs w:val="24"/>
              </w:rPr>
            </w:pPr>
          </w:p>
        </w:tc>
      </w:tr>
    </w:tbl>
    <w:p>
      <w:pPr>
        <w:pStyle w:val="4"/>
        <w:keepNext w:val="0"/>
        <w:keepLines w:val="0"/>
        <w:tabs>
          <w:tab w:val="left" w:pos="1008"/>
        </w:tabs>
        <w:spacing w:before="0" w:after="0" w:line="594" w:lineRule="exact"/>
        <w:ind w:firstLine="664" w:firstLineChars="200"/>
        <w:jc w:val="left"/>
        <w:rPr>
          <w:rFonts w:hint="eastAsia" w:ascii="方正仿宋_GBK" w:hAnsi="方正仿宋_GBK" w:eastAsia="方正仿宋_GBK" w:cs="方正仿宋_GBK"/>
          <w:b w:val="0"/>
          <w:bCs w:val="0"/>
          <w:spacing w:val="6"/>
        </w:rPr>
      </w:pPr>
      <w:bookmarkStart w:id="22" w:name="_Toc24553"/>
      <w:r>
        <w:rPr>
          <w:rFonts w:hint="eastAsia" w:ascii="方正仿宋_GBK" w:hAnsi="方正仿宋_GBK" w:eastAsia="方正仿宋_GBK" w:cs="方正仿宋_GBK"/>
          <w:b w:val="0"/>
          <w:bCs w:val="0"/>
          <w:spacing w:val="6"/>
          <w:lang w:eastAsia="zh-CN"/>
        </w:rPr>
        <w:t>六、</w:t>
      </w:r>
      <w:r>
        <w:rPr>
          <w:rFonts w:hint="eastAsia" w:ascii="方正仿宋_GBK" w:hAnsi="方正仿宋_GBK" w:eastAsia="方正仿宋_GBK" w:cs="方正仿宋_GBK"/>
          <w:b w:val="0"/>
          <w:bCs w:val="0"/>
          <w:spacing w:val="6"/>
        </w:rPr>
        <w:t>中小河流水能资源开发成就</w:t>
      </w:r>
      <w:bookmarkEnd w:id="22"/>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原有农村小水电15座，在“十三五”期间直接退出清理了3座，剩余12座中有引水式电站3座（双泉、黎水和金洞电站）。</w:t>
      </w:r>
    </w:p>
    <w:p>
      <w:pPr>
        <w:pStyle w:val="4"/>
        <w:keepNext w:val="0"/>
        <w:keepLines w:val="0"/>
        <w:tabs>
          <w:tab w:val="left" w:pos="1008"/>
        </w:tabs>
        <w:spacing w:before="0" w:after="0" w:line="594" w:lineRule="exact"/>
        <w:ind w:firstLine="664" w:firstLineChars="200"/>
        <w:jc w:val="left"/>
        <w:rPr>
          <w:rFonts w:hint="eastAsia" w:ascii="方正仿宋_GBK" w:hAnsi="方正仿宋_GBK" w:eastAsia="方正仿宋_GBK" w:cs="方正仿宋_GBK"/>
          <w:b w:val="0"/>
          <w:bCs w:val="0"/>
          <w:spacing w:val="6"/>
        </w:rPr>
      </w:pPr>
      <w:bookmarkStart w:id="23" w:name="_Toc15977"/>
      <w:r>
        <w:rPr>
          <w:rFonts w:hint="eastAsia" w:ascii="方正仿宋_GBK" w:hAnsi="方正仿宋_GBK" w:eastAsia="方正仿宋_GBK" w:cs="方正仿宋_GBK"/>
          <w:b w:val="0"/>
          <w:bCs w:val="0"/>
          <w:spacing w:val="6"/>
          <w:lang w:eastAsia="zh-CN"/>
        </w:rPr>
        <w:t>七、</w:t>
      </w:r>
      <w:r>
        <w:rPr>
          <w:rFonts w:hint="eastAsia" w:ascii="方正仿宋_GBK" w:hAnsi="方正仿宋_GBK" w:eastAsia="方正仿宋_GBK" w:cs="方正仿宋_GBK"/>
          <w:b w:val="0"/>
          <w:bCs w:val="0"/>
          <w:spacing w:val="6"/>
        </w:rPr>
        <w:t>水库</w:t>
      </w:r>
      <w:bookmarkEnd w:id="23"/>
      <w:r>
        <w:rPr>
          <w:rFonts w:hint="eastAsia" w:ascii="方正仿宋_GBK" w:hAnsi="方正仿宋_GBK" w:eastAsia="方正仿宋_GBK" w:cs="方正仿宋_GBK"/>
          <w:b w:val="0"/>
          <w:bCs w:val="0"/>
          <w:spacing w:val="6"/>
        </w:rPr>
        <w:t>移民美丽家园建设初见成效</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建设实施项目47个，累计总投资9361.90万元，其中大中型水库后期扶持资金为9159万元，其他资金202.90万元。“十三五”期间共有受益人数39818人，其中受益移民人数7650人。</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移民增收类项目的实施，农田水利设施配套建设逐步完善，产业基础设施逐步齐全，大大改善了库区和安置区移民群众生产条件，保证了移民增收致富能力不断提升。移民美丽家园类项目的实施，极大改观了农村饮水不安全、道路交通出行难等突出问题，改善了移民群众文化活动条件，移民群众的生产生活条件得到改善，生活环境得到美化，明显提高了生活品质，促进农村社会稳定和移民安置区经济社会可持续发展，为移民群众奔小康奠定了坚实的基础，黔江区美丽家园建设初见成效。</w:t>
      </w:r>
      <w:bookmarkStart w:id="24" w:name="_Toc1378"/>
    </w:p>
    <w:bookmarkEnd w:id="24"/>
    <w:p>
      <w:pPr>
        <w:spacing w:line="594" w:lineRule="exact"/>
        <w:ind w:firstLine="560"/>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rPr>
        <w:t>八、水资源节约水平不断提高</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（一）实施水环境综合治理</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通过国家农业综合开发项目、中央预算内水保重点治理项目、坡耕地治理工程等水土保持治理项目等项目建设，共治理水土流失面积343km</w:t>
      </w:r>
      <w:r>
        <w:rPr>
          <w:rFonts w:hint="eastAsia" w:ascii="方正仿宋_GBK" w:hAnsi="方正仿宋_GBK" w:eastAsia="方正仿宋_GBK" w:cs="方正仿宋_GBK"/>
          <w:sz w:val="32"/>
          <w:szCs w:val="32"/>
          <w:vertAlign w:val="superscript"/>
        </w:rPr>
        <w:t>2</w:t>
      </w:r>
      <w:r>
        <w:rPr>
          <w:rFonts w:hint="eastAsia" w:ascii="方正仿宋_GBK" w:hAnsi="方正仿宋_GBK" w:eastAsia="方正仿宋_GBK" w:cs="方正仿宋_GBK"/>
          <w:sz w:val="32"/>
          <w:szCs w:val="32"/>
        </w:rPr>
        <w:t>，累计投资20500万元。黔江区城镇饮用水源地保护工程建设完毕，项目完成投资5000.00万元。黔江区水生态修复工程建设完毕，项目完成投资11200.00万元。</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（二）农业、城镇生活用水和工业节水工作</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升级改造2处水厂及城镇居民用水“一户一表”改造工程，共计投资金额31788.00万元。“十三五”期间，工业用水均在“三条红线”控制指标范围以内，在工业节水方面取得了显著效果。</w:t>
      </w:r>
      <w:bookmarkStart w:id="25" w:name="_Toc828"/>
    </w:p>
    <w:p>
      <w:pPr>
        <w:spacing w:line="594" w:lineRule="exact"/>
        <w:ind w:firstLine="560"/>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rPr>
        <w:t>九、重点领域改革</w:t>
      </w:r>
      <w:bookmarkEnd w:id="25"/>
      <w:r>
        <w:rPr>
          <w:rFonts w:hint="eastAsia" w:ascii="方正仿宋_GBK" w:hAnsi="方正仿宋_GBK" w:eastAsia="方正仿宋_GBK" w:cs="方正仿宋_GBK"/>
          <w:spacing w:val="6"/>
          <w:sz w:val="32"/>
          <w:szCs w:val="32"/>
        </w:rPr>
        <w:t xml:space="preserve">持续发展 </w:t>
      </w:r>
    </w:p>
    <w:p>
      <w:pPr>
        <w:tabs>
          <w:tab w:val="left" w:pos="1008"/>
        </w:tabs>
        <w:spacing w:line="594" w:lineRule="exact"/>
        <w:ind w:firstLine="56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（一）推进水资源管理体制改革</w:t>
      </w:r>
    </w:p>
    <w:p>
      <w:pPr>
        <w:tabs>
          <w:tab w:val="left" w:pos="1008"/>
        </w:tabs>
        <w:spacing w:line="594" w:lineRule="exact"/>
        <w:ind w:firstLine="56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健全覆盖全区的水资源管理“三条红线”控制指标体系，出台黔江区实行最严格水资源管理制度考核工作实施方案，将水资源保护工作纳入乡镇街道经济实绩考核。</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开展城市生活用水定额抽样调查工作，主要涉及的建筑、交通、环卫、商场、宾馆、医院、学校、居民生活等行业32个样本，56个城市生活用水定额。</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完善了水污染防治机制，审批发布《关于加强集中式饮用水源地保护的通告》，印发《关于进一步加强集中式饮用水源地环境保护工作的通知》，完成了全区84个取水工程的核查登记工作。</w:t>
      </w:r>
    </w:p>
    <w:p>
      <w:pPr>
        <w:tabs>
          <w:tab w:val="left" w:pos="1008"/>
        </w:tabs>
        <w:spacing w:line="594" w:lineRule="exact"/>
        <w:ind w:firstLine="56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（二）推进城市阶梯水价改革</w:t>
      </w:r>
    </w:p>
    <w:p>
      <w:pPr>
        <w:tabs>
          <w:tab w:val="left" w:pos="1008"/>
        </w:tabs>
        <w:spacing w:line="594" w:lineRule="exact"/>
        <w:ind w:firstLine="56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发布《重庆市黔江区发展和改革委员会关于建立城区居民用水阶梯价格制度的通知》、《重庆市黔江区发展和改革委员会关于城市居民住宅二次供水运营服务费标准的批复》。</w:t>
      </w:r>
    </w:p>
    <w:p>
      <w:pPr>
        <w:tabs>
          <w:tab w:val="left" w:pos="1008"/>
        </w:tabs>
        <w:spacing w:line="594" w:lineRule="exact"/>
        <w:ind w:firstLine="56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（三）开展小型水利产权制度改革试点</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黔江区改革领导小组，统筹协调全区水利改革工作。出台《黔江区小型水利工程管理体制改革实施方案》、《黔江区小型水利工程管护办法》，持续推动小型水利工程产权和所有权调查，目前正在开展产权证书颁发工作。</w:t>
      </w:r>
    </w:p>
    <w:p>
      <w:pPr>
        <w:tabs>
          <w:tab w:val="left" w:pos="1008"/>
        </w:tabs>
        <w:spacing w:line="594" w:lineRule="exact"/>
        <w:ind w:firstLine="56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（四）建立落实了河道管理“河长制”</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制定黔江区全面推行河长制工作方案，明确在全区境内河库全面推行河长制，实现河库管理全覆盖。全面建立了区、乡镇（街道）三级河长体系。</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出台《黔江区全面推行河长制河长会议制度》《黔江区全面推行河长制信息共享与发布制度》《黔江区全面推行河长制信息报送制度》《黔江区全面推行河长制工作督察制度》《黔江区全面推行河长制考核问责和激励制度》《黔江区全面推行河长制验收办法》《黔江区全面推行河长制河长制巡查制度》《黔江区全面推行河长制部门联动工作制度》等8个制度。</w:t>
      </w:r>
    </w:p>
    <w:p>
      <w:pPr>
        <w:keepNext/>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河库分级名录调查工作已完成，安装区、乡镇（街道）、村（社区）等各处河长公示牌，明示河长职责、河库概况、管护目标、监督电话等内容。</w:t>
      </w:r>
    </w:p>
    <w:p>
      <w:pPr>
        <w:keepNext/>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完成21条区级及以上河流（19条区级河流）一河一策编制工作，全面完成50km</w:t>
      </w:r>
      <w:r>
        <w:rPr>
          <w:rFonts w:hint="eastAsia" w:ascii="方正仿宋_GBK" w:hAnsi="方正仿宋_GBK" w:eastAsia="方正仿宋_GBK" w:cs="方正仿宋_GBK"/>
          <w:sz w:val="32"/>
          <w:szCs w:val="32"/>
          <w:vertAlign w:val="superscript"/>
        </w:rPr>
        <w:t>2</w:t>
      </w:r>
      <w:r>
        <w:rPr>
          <w:rFonts w:hint="eastAsia" w:ascii="方正仿宋_GBK" w:hAnsi="方正仿宋_GBK" w:eastAsia="方正仿宋_GBK" w:cs="方正仿宋_GBK"/>
          <w:sz w:val="32"/>
          <w:szCs w:val="32"/>
        </w:rPr>
        <w:t>以上河流河道划界及备案工作。</w:t>
      </w:r>
    </w:p>
    <w:p>
      <w:pPr>
        <w:keepNext/>
        <w:keepLines/>
        <w:tabs>
          <w:tab w:val="left" w:pos="1008"/>
        </w:tabs>
        <w:spacing w:line="594" w:lineRule="exact"/>
        <w:ind w:firstLine="56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（五）继续推进乡镇水厂“三化合一”管理模式</w:t>
      </w:r>
    </w:p>
    <w:p>
      <w:pPr>
        <w:keepNext/>
        <w:spacing w:line="594" w:lineRule="exact"/>
        <w:ind w:firstLine="561"/>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濯水镇、石会镇、沙坝乡、新华乡等乡镇实施，有近5万人受益，当地政府和受益群众反映良好。市水利局领导和专家多次到试点水厂检查指导，对试点情况表示满意。市人大在调研黔江水利工作时也对这一套机制给予了充分肯定。一是“重建轻管”问题得以根本改观。实施“三化合一”机制后，由于有润民公司、中介物管企业的规范、专业管理，工程始终“有人管，能供水，能收费，见长效”，实现了建管并重。二是供水保证率及供水水质得到有效保障。按照乡镇供水的水质标准，通过添置常规检测设备，实施加药加氯等制水流程，使出厂水达到了乡镇供水的水质标准，改变了以前“吃原水”的现状。三是群众满意度明显提升。由于供水保证率提高，水质有效改善，管理更加规范，群众满意度明显提升。</w:t>
      </w:r>
      <w:bookmarkStart w:id="26" w:name="_Toc25294"/>
    </w:p>
    <w:p>
      <w:pPr>
        <w:keepNext/>
        <w:spacing w:line="594" w:lineRule="exact"/>
        <w:ind w:firstLine="498" w:firstLineChars="150"/>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rPr>
        <w:t xml:space="preserve"> 十、 涉水事务管理</w:t>
      </w:r>
      <w:bookmarkEnd w:id="26"/>
      <w:r>
        <w:rPr>
          <w:rFonts w:hint="eastAsia" w:ascii="方正仿宋_GBK" w:hAnsi="方正仿宋_GBK" w:eastAsia="方正仿宋_GBK" w:cs="方正仿宋_GBK"/>
          <w:spacing w:val="6"/>
          <w:sz w:val="32"/>
          <w:szCs w:val="32"/>
        </w:rPr>
        <w:t>不断完善</w:t>
      </w:r>
    </w:p>
    <w:p>
      <w:pPr>
        <w:keepNext/>
        <w:spacing w:line="594" w:lineRule="exact"/>
        <w:ind w:firstLine="561"/>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实行最严格水资源管理，用水总量控制在1.26亿m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以内，万元工业增加值用水量比2015年下降不低于3%，全区重要江河水功能区水质达标率达到100%。落实金融支持水利建设政策。积极争取国家专项建设基金支持，落实建设资金1.04亿元。</w:t>
      </w:r>
    </w:p>
    <w:p>
      <w:pPr>
        <w:keepNext/>
        <w:keepLines/>
        <w:tabs>
          <w:tab w:val="left" w:pos="1008"/>
        </w:tabs>
        <w:spacing w:line="594" w:lineRule="exact"/>
        <w:ind w:firstLine="561"/>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（一）加强水生态文明制度建设</w:t>
      </w:r>
    </w:p>
    <w:p>
      <w:pPr>
        <w:keepNext/>
        <w:keepLines/>
        <w:spacing w:line="594" w:lineRule="exact"/>
        <w:ind w:firstLine="561"/>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严格取水许可审批和水资源费征收日常监督管理。新增办理取水户3家，对41家到期取水户延续取水许可办理，对1家取水户变更取水许可办理。对全区109家取用水单位档案资料进行了完善。严格水资源费征收、使用和管理。</w:t>
      </w:r>
    </w:p>
    <w:p>
      <w:pPr>
        <w:keepNext/>
        <w:keepLines/>
        <w:tabs>
          <w:tab w:val="left" w:pos="1008"/>
        </w:tabs>
        <w:spacing w:line="594" w:lineRule="exact"/>
        <w:ind w:firstLine="56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（二）进一步落实农村饮水运行管理机制</w:t>
      </w:r>
    </w:p>
    <w:p>
      <w:pPr>
        <w:keepNext/>
        <w:keepLines/>
        <w:tabs>
          <w:tab w:val="left" w:pos="1008"/>
        </w:tabs>
        <w:topLinePunct/>
        <w:spacing w:line="594" w:lineRule="exact"/>
        <w:ind w:firstLine="56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开展农村饮水安全巩固提升试点工作，出台《黔江区农村饮水安全工程运行管理办法（试行）》。制定黔江区农村供水工程水价核定与水费计收工作实施方案。出台《农村供水工程水价核定与水费计收工作实施方案》。</w:t>
      </w:r>
    </w:p>
    <w:p>
      <w:pPr>
        <w:keepNext/>
        <w:tabs>
          <w:tab w:val="left" w:pos="1008"/>
        </w:tabs>
        <w:wordWrap w:val="0"/>
        <w:topLinePunct/>
        <w:spacing w:line="594" w:lineRule="exact"/>
        <w:ind w:firstLine="56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（三）健全基层水利管理体制机制 </w:t>
      </w:r>
    </w:p>
    <w:p>
      <w:pPr>
        <w:keepNext/>
        <w:wordWrap w:val="0"/>
        <w:topLinePunct/>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全面完成30个乡镇街道水利林业管理站标准化建设。</w:t>
      </w:r>
      <w:bookmarkStart w:id="27" w:name="_Toc1129"/>
    </w:p>
    <w:p>
      <w:pPr>
        <w:keepNext/>
        <w:wordWrap w:val="0"/>
        <w:topLinePunct/>
        <w:spacing w:line="594" w:lineRule="exact"/>
        <w:ind w:firstLine="560"/>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pacing w:val="6"/>
          <w:sz w:val="32"/>
          <w:szCs w:val="32"/>
        </w:rPr>
        <w:t xml:space="preserve"> 十一、人才队伍建设</w:t>
      </w:r>
      <w:bookmarkEnd w:id="27"/>
      <w:r>
        <w:rPr>
          <w:rFonts w:hint="eastAsia" w:ascii="方正仿宋_GBK" w:hAnsi="方正仿宋_GBK" w:eastAsia="方正仿宋_GBK" w:cs="方正仿宋_GBK"/>
          <w:spacing w:val="6"/>
          <w:sz w:val="32"/>
          <w:szCs w:val="32"/>
        </w:rPr>
        <w:t>持续提升</w:t>
      </w:r>
    </w:p>
    <w:p>
      <w:pPr>
        <w:keepNext/>
        <w:tabs>
          <w:tab w:val="left" w:pos="1008"/>
        </w:tabs>
        <w:wordWrap w:val="0"/>
        <w:topLinePunct/>
        <w:spacing w:line="594" w:lineRule="exact"/>
        <w:ind w:firstLine="56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重视水利人才培养，大力引进高学历人才，积极推进高素质人才队伍建设。“十三五”期间，黔江区水利行业获评正高级职称1人，副高级职称5人，获国家一级建造师执业资格证书6人。</w:t>
      </w:r>
    </w:p>
    <w:p>
      <w:pPr>
        <w:pStyle w:val="54"/>
        <w:keepNext/>
        <w:spacing w:before="0" w:after="0" w:line="594" w:lineRule="exact"/>
        <w:ind w:left="0" w:firstLine="0"/>
        <w:jc w:val="center"/>
        <w:rPr>
          <w:rFonts w:hint="eastAsia" w:ascii="方正黑体_GBK" w:hAnsi="方正黑体_GBK" w:eastAsia="方正黑体_GBK" w:cs="方正黑体_GBK"/>
          <w:bCs/>
          <w:spacing w:val="6"/>
          <w:sz w:val="32"/>
          <w:szCs w:val="32"/>
        </w:rPr>
      </w:pPr>
      <w:bookmarkStart w:id="28" w:name="_Toc28824"/>
      <w:r>
        <w:rPr>
          <w:rFonts w:hint="eastAsia" w:ascii="方正黑体_GBK" w:hAnsi="方正黑体_GBK" w:eastAsia="方正黑体_GBK" w:cs="方正黑体_GBK"/>
          <w:bCs/>
          <w:spacing w:val="6"/>
          <w:sz w:val="32"/>
          <w:szCs w:val="32"/>
        </w:rPr>
        <w:t>第二章 面临的形势</w:t>
      </w:r>
      <w:bookmarkEnd w:id="28"/>
    </w:p>
    <w:p>
      <w:pPr>
        <w:keepNext/>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四五”时期是我国在全面建成小康社会、实现第一个百年奋斗目标之后，乘势而上开启全面建设社会主义现代化国家新征程、向第二个百年奋斗目标进军的第一个五年，是黔江全面融入成渝地区双城经济圈建设和全市“一区两群”协调发展，加快建成渝东南区域中心城市和武陵山区综合交通枢纽，谱写高质量发展新篇章、开启社会主义现代化建设新征程的关键时期。新一轮深层次改革和高水平开放纵深推进，代表着黔江区发展环境和条件都有新的深刻复杂变化，经济社会已进入生态文明建设和高质量发展的新阶段。为满足人民日益增长的美好生活需要，对于持久水安全、优质水资源、健康水生态、宜居水环境、先进水文化的需求更加迫切，“为经济社会发展提供水安全保障”已成为新时代水利工作的使命，同样是新时代水利改革发展的主旋律和水利行业全面提标的新业态。</w:t>
      </w:r>
    </w:p>
    <w:p>
      <w:pPr>
        <w:keepNext/>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以创新的发展理念理清水利发展的思路，按照“干5年、看10年，谋划30年”的战略眼光，科学谋划、健全水利基础设施体系，准确把握水利改革面临的新形势新要求，科学编制和实施“十四五”规划，有利于全面提升水安全保障能力、提速推进黔江高质量发展，切实增强人民群众因水而生的获得感、幸福感、安全感。</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四五”期间，我国仍处于重要战略机遇期的基本判断没有改变，经济面临结构性改革的迫切需求，需构建国内国际双循环相互促进的新发展格局，但经济长期向好的基本面没有改变。黔江区水利发展机遇与挑战并存。党中央做出构建以国内大循环为主体、国内国际双循环相互促进的新发展格局的重大决策，共建</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一带一路</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长江经济带发展、西部大开发、乡村振兴等国家战略为黔江区水利行业发展带来了新机遇，注入了新动能。供给侧结构性改革稳步推进，扩大内需战略深化落实，黔江区发展机遇大于挑战。从外部循环的发展格局看，“成渝</w:t>
      </w:r>
      <w:r>
        <w:rPr>
          <w:rFonts w:hint="eastAsia" w:ascii="方正仿宋_GBK" w:hAnsi="方正仿宋_GBK" w:eastAsia="方正仿宋_GBK" w:cs="方正仿宋_GBK"/>
          <w:sz w:val="32"/>
          <w:szCs w:val="32"/>
          <w:lang w:eastAsia="zh-CN"/>
        </w:rPr>
        <w:t>地区</w:t>
      </w:r>
      <w:r>
        <w:rPr>
          <w:rFonts w:hint="eastAsia" w:ascii="方正仿宋_GBK" w:hAnsi="方正仿宋_GBK" w:eastAsia="方正仿宋_GBK" w:cs="方正仿宋_GBK"/>
          <w:sz w:val="32"/>
          <w:szCs w:val="32"/>
        </w:rPr>
        <w:t>双城经济圈”国家战略和市委市政府推动“一区两群”协调发展的战略部署为黔江的高质量发展提供了总方针。黔江区紧扣建设渝东南区域中心城市的定位，完善川渝东南向大通道并依托“渝新欧”国际铁路物流大通道，全面融入“一带一路”和西部陆海新通道建设。结合武陵山周边地区联动发展，以“一中心一枢纽三区三地”建设为目标，加快建设渝东南区域中心城市。</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从内部循环的建设目标看，对标习近平总书记对重庆提出的重要指示要求，聚焦国家、重庆市对于黔江区的发展定位，高水平打造“中国峡谷城·武陵会客厅”。按照“新城做加法、老城做减法”总体思路，加快推进中心城区“南北拓、东西连、中部优”，形成“一带（城市大峡谷发展带）两槽（正阳山东西侧槽谷）三核（老城、正阳、舟白）六片区（老城、正阳、舟白、青杠、冯家、蓬东）”的空间格局，加强城市集聚功能，推进城乡融合发展，构建现代产业体系，提高经济质量效益和核心竞争力，打造武陵山区特色产业发展集聚区和渝东南重要经济中心。</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水是经济社会发展的基础性、先导性、控制性要素，水的承载空间决定了高质量发展的成长空间。要把新发展理念贯穿到新时期各项水利工作中，必须准确研判水利发展新形势，找准着力点。一是乡村振兴战略对水利工作提出了新要求。十九大报告明确了乡村振兴、区域协调发展战略，2018年中共中央1号文件出台了《中共中央国务院关于实施乡村振兴战略的意见》，明确提出了加快水利基础设施网络建设、实施国家节水行动、加快水污染治理、推进水土流失综合治理等一系列具体措施。水安全保障必须把准新形势，并立足经济社会发展全局来定位水利、谋划水利、推进水利，统筹解决好水资源短缺、水生态退化、水环境恶化、水灾害频发等问题。二是社会需求变化对水利工作提出了新要求。新时代我国社会主要矛盾已经转化为“人民日益增长的美好生活需要和不平衡不充分的发展之间的矛盾”。老百姓由过去的“盼温饱”已经走向“盼环保”，既关注经济社会的发展，也重视人居环境、高质量生活的改善；由过去防洪保全体系的“求生存”已经走向河湖健康的“求生态”，既要金山银山也要绿水青山；由过去脱贫攻坚任务中要求的有水喝、有水用，已经上升到喝上放心水、安全水。把握好从“有没有”转向“好不好”这个关键，正确认识治水主要矛盾变化，更好地解决水利发展不平衡不充分的问题，更多地关注老百姓生产、生活、生态问题，满足人民对美好生活的向往。三是国家现代化建设对水利发展提出了新要求。十九大报告对推进国家治理体系和治理能力现代化提出了系列明确要求。水利部门要充分发挥政府监管作用，完善涉水法律法规，深入推进体制机制创新，有效提高水利管理能力。随着国家行政机构职能改革，新时期对水利管理工作提出了新要求。随着现代科学技术突飞猛进的发展，5G通讯、物联网、大数据、云计算、人工智能等新兴技术在水利中得到广泛应用，已进入“智慧水利”的时代，黔江区应善于运用法治思维、改革举措、市场机制、科技手段来解决工作中的各类难题，全面推进水治理体系和治理能力现代化。</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顺应人民群众对于持久水安全、优质水资源、健康水生态、宜居水环境、先进水文化的需求，落实“一带一路”、长江经济带、新时代西部大开发、</w:t>
      </w:r>
      <w:bookmarkStart w:id="141" w:name="_GoBack"/>
      <w:bookmarkEnd w:id="141"/>
      <w:r>
        <w:rPr>
          <w:rFonts w:hint="eastAsia" w:ascii="方正仿宋_GBK" w:hAnsi="方正仿宋_GBK" w:eastAsia="方正仿宋_GBK" w:cs="方正仿宋_GBK"/>
          <w:sz w:val="32"/>
          <w:szCs w:val="32"/>
        </w:rPr>
        <w:t>成渝地区双城经济圈，以及乡村振兴、城乡融合发展等中央战略决策。黔江区位于重庆市东南区域，区内属于山地丘陵，特殊的自然条件和发展环境，决定了全区治水难度大，治水要求高，对标新时代新要求，黔江区水安全保障工作仍然面临着以下的挑战：</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一、防洪保安体系仍存有薄弱环节，水灾害防治能力仍有待提高</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全区洪涝灾害频繁，受阿蓬江和区内其他中小河流洪水的共同影响，加之部分区域地势平缓、已成建筑物拆迁难度大等因素影响，全区整体防洪能力不足。城市防洪保安体系建设不完善，全区仍有一处市级防洪薄弱点冯家街道，以及水田乡水田村上河、石家镇三叉河敬老院、马喇镇、中塘镇胜利村、鹅池镇、石家渗坝村等6处区级防洪薄弱点。大多数防洪薄弱点现状防洪能力不足5年一遇。随着城市规模和人居要求的不断提升，对全区防洪保安能力提出了更高的要求。在非工程体系方面，全区防汛预警预报系统灵敏度仍待加强，水文监测站点对河流的覆盖程度还不高，墒情监测水平亟待提升，中小水库监测预警系统不完备，局地突发强降雨的预测预报整体水平不高，水文、气象、国土等部门的监测预警信息还需进一步整合共享。重要江河及中小河流保证水位和警戒水位未全面划定，部分重要中小河流调度体系及乡镇洪水防御方案需进一步完善。随着经济的增长、人口财富集聚加快，同等量级洪水造成的洪灾损失将越来越大，对防洪保安全的要求越来越高，保障防洪安全任务依然艰巨。</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二、供水保障体系亟待升级，对标“一改三提”行动仍需较大投入</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黔江区已建骨干水源工程空间分布不均衡，水资源调控能力低。全区已建成中型水库4座、小型水库16座，石家、鹅池、黄溪、白石、水市等片区缺乏骨干水源工程。城乡供水一体化辐射范围有限、品质不高。已建供水工程运行时间较长，设计标准及供水工艺等均已更新，随着生态环境要求的逐步提升以及人民群众对于高标准水质的需求，常规处理工艺难以为继。目前各乡镇均按行政区划供水，尚未纳入集中供水体系。水资源统一调配条件单一、网络化程度低，调配能力弱。</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农村供水方面，黔江区通过“城市自来水下乡，集镇自来水下村，变频加压上山”等方式实现了全区农村饮水安全全覆盖，农村集中供水率达到95%，但大多农村饮水安全工程大多用溪沟、山泉水作为水源，水源水量保障性差。同时目前已建集中供水工程缺乏净化消毒设施，对标市水利局提出的农村饮水安全“一改三提”行动，农村群众饮水安全仍未达到持续保障的要求。</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三、水生态文明建设体系形势严峻，河湖健康发展行艰路险</w:t>
      </w:r>
    </w:p>
    <w:p>
      <w:pPr>
        <w:pStyle w:val="9"/>
        <w:spacing w:line="594" w:lineRule="exact"/>
        <w:ind w:firstLine="562"/>
        <w:rPr>
          <w:rFonts w:hint="eastAsia" w:ascii="方正仿宋_GBK" w:hAnsi="方正仿宋_GBK" w:eastAsia="方正仿宋_GBK" w:cs="方正仿宋_GBK"/>
          <w:szCs w:val="32"/>
        </w:rPr>
      </w:pPr>
      <w:r>
        <w:rPr>
          <w:rFonts w:hint="eastAsia" w:ascii="方正仿宋_GBK" w:hAnsi="方正仿宋_GBK" w:eastAsia="方正仿宋_GBK" w:cs="方正仿宋_GBK"/>
          <w:bCs/>
          <w:szCs w:val="32"/>
          <w:lang w:eastAsia="zh-CN"/>
        </w:rPr>
        <w:t>（一）</w:t>
      </w:r>
      <w:r>
        <w:rPr>
          <w:rFonts w:hint="eastAsia" w:ascii="方正仿宋_GBK" w:hAnsi="方正仿宋_GBK" w:eastAsia="方正仿宋_GBK" w:cs="方正仿宋_GBK"/>
          <w:bCs/>
          <w:szCs w:val="32"/>
        </w:rPr>
        <w:t>河湖水域岸线空间管控有待加强。</w:t>
      </w:r>
      <w:r>
        <w:rPr>
          <w:rFonts w:hint="eastAsia" w:ascii="方正仿宋_GBK" w:hAnsi="方正仿宋_GBK" w:eastAsia="方正仿宋_GBK" w:cs="方正仿宋_GBK"/>
          <w:szCs w:val="32"/>
        </w:rPr>
        <w:t>黔江区河道岸线规划未能完全落地，防洪、供水、生态环境以及开发利用功能缺乏统筹协调，水利基础设施空间发展要素有待与其他国土要素间进行有效的协调，河湖水域岸线功能分区管控有待加强，河湖管理范围内乱占、乱采、乱堆、乱建等“四乱”整治工作还需持续加强。</w:t>
      </w:r>
    </w:p>
    <w:p>
      <w:pPr>
        <w:pStyle w:val="9"/>
        <w:spacing w:line="594" w:lineRule="exact"/>
        <w:ind w:firstLine="562"/>
        <w:rPr>
          <w:rFonts w:hint="eastAsia" w:ascii="方正仿宋_GBK" w:hAnsi="方正仿宋_GBK" w:eastAsia="方正仿宋_GBK" w:cs="方正仿宋_GBK"/>
          <w:szCs w:val="32"/>
        </w:rPr>
      </w:pPr>
      <w:r>
        <w:rPr>
          <w:rFonts w:hint="eastAsia" w:ascii="方正仿宋_GBK" w:hAnsi="方正仿宋_GBK" w:eastAsia="方正仿宋_GBK" w:cs="方正仿宋_GBK"/>
          <w:bCs/>
          <w:szCs w:val="32"/>
          <w:lang w:eastAsia="zh-CN"/>
        </w:rPr>
        <w:t>（二）</w:t>
      </w:r>
      <w:r>
        <w:rPr>
          <w:rFonts w:hint="eastAsia" w:ascii="方正仿宋_GBK" w:hAnsi="方正仿宋_GBK" w:eastAsia="方正仿宋_GBK" w:cs="方正仿宋_GBK"/>
          <w:bCs/>
          <w:szCs w:val="32"/>
        </w:rPr>
        <w:t>河流健康情况与“幸福河”目标要求仍有一定的差距。</w:t>
      </w:r>
      <w:r>
        <w:rPr>
          <w:rFonts w:hint="eastAsia" w:ascii="方正仿宋_GBK" w:hAnsi="方正仿宋_GBK" w:eastAsia="方正仿宋_GBK" w:cs="方正仿宋_GBK"/>
          <w:szCs w:val="32"/>
        </w:rPr>
        <w:t>全区水利工程生态流量泄放机制尚未全面形成，为扩大水域面积、增添水景观和峡谷公园生态景观，黔江河干流枯期生态基流不足，对生物多样性保护缺少有效的手段。农村河道数量众多，但淤积堵塞现象较为普遍且“人水争地”现象严重，部分河段水体流动性差，河道污染严重，存在富营养化现象，河流生态环境受到破坏，沿岸居民生活环境质量下降。</w:t>
      </w:r>
    </w:p>
    <w:p>
      <w:pPr>
        <w:pStyle w:val="9"/>
        <w:spacing w:line="594" w:lineRule="exact"/>
        <w:ind w:firstLine="562"/>
        <w:rPr>
          <w:rFonts w:hint="eastAsia" w:ascii="方正仿宋_GBK" w:hAnsi="方正仿宋_GBK" w:eastAsia="方正仿宋_GBK" w:cs="方正仿宋_GBK"/>
          <w:szCs w:val="32"/>
        </w:rPr>
      </w:pPr>
      <w:r>
        <w:rPr>
          <w:rFonts w:hint="eastAsia" w:ascii="方正仿宋_GBK" w:hAnsi="方正仿宋_GBK" w:eastAsia="方正仿宋_GBK" w:cs="方正仿宋_GBK"/>
          <w:bCs/>
          <w:szCs w:val="32"/>
          <w:lang w:eastAsia="zh-CN"/>
        </w:rPr>
        <w:t>（三）</w:t>
      </w:r>
      <w:r>
        <w:rPr>
          <w:rFonts w:hint="eastAsia" w:ascii="方正仿宋_GBK" w:hAnsi="方正仿宋_GBK" w:eastAsia="方正仿宋_GBK" w:cs="方正仿宋_GBK"/>
          <w:bCs/>
          <w:szCs w:val="32"/>
        </w:rPr>
        <w:t>水土流失仍待治理，预防监管仍需加强。</w:t>
      </w:r>
      <w:r>
        <w:rPr>
          <w:rFonts w:hint="eastAsia" w:ascii="方正仿宋_GBK" w:hAnsi="方正仿宋_GBK" w:eastAsia="方正仿宋_GBK" w:cs="方正仿宋_GBK"/>
          <w:szCs w:val="32"/>
        </w:rPr>
        <w:t>黔江区山洪沟点多分散，治理难度大，水土流失治理需求较为迫切，流域生态系统整体性治理与保护有待加强。据《2019年重庆市水土保持公报》资料显示，黔江区水土流失面积825.40km</w:t>
      </w:r>
      <w:r>
        <w:rPr>
          <w:rFonts w:hint="eastAsia" w:ascii="方正仿宋_GBK" w:hAnsi="方正仿宋_GBK" w:eastAsia="方正仿宋_GBK" w:cs="方正仿宋_GBK"/>
          <w:szCs w:val="32"/>
          <w:vertAlign w:val="superscript"/>
        </w:rPr>
        <w:t>2</w:t>
      </w:r>
      <w:r>
        <w:rPr>
          <w:rFonts w:hint="eastAsia" w:ascii="方正仿宋_GBK" w:hAnsi="方正仿宋_GBK" w:eastAsia="方正仿宋_GBK" w:cs="方正仿宋_GBK"/>
          <w:szCs w:val="32"/>
        </w:rPr>
        <w:t>，占土地总面积的34.54％，其中轻度侵蚀767.73km</w:t>
      </w:r>
      <w:r>
        <w:rPr>
          <w:rFonts w:hint="eastAsia" w:ascii="方正仿宋_GBK" w:hAnsi="方正仿宋_GBK" w:eastAsia="方正仿宋_GBK" w:cs="方正仿宋_GBK"/>
          <w:szCs w:val="32"/>
          <w:vertAlign w:val="superscript"/>
        </w:rPr>
        <w:t>2</w:t>
      </w:r>
      <w:r>
        <w:rPr>
          <w:rFonts w:hint="eastAsia" w:ascii="方正仿宋_GBK" w:hAnsi="方正仿宋_GBK" w:eastAsia="方正仿宋_GBK" w:cs="方正仿宋_GBK"/>
          <w:szCs w:val="32"/>
        </w:rPr>
        <w:t>，占水土流失面积的93.01%；中度侵蚀27.49km</w:t>
      </w:r>
      <w:r>
        <w:rPr>
          <w:rFonts w:hint="eastAsia" w:ascii="方正仿宋_GBK" w:hAnsi="方正仿宋_GBK" w:eastAsia="方正仿宋_GBK" w:cs="方正仿宋_GBK"/>
          <w:szCs w:val="32"/>
          <w:vertAlign w:val="superscript"/>
        </w:rPr>
        <w:t>2</w:t>
      </w:r>
      <w:r>
        <w:rPr>
          <w:rFonts w:hint="eastAsia" w:ascii="方正仿宋_GBK" w:hAnsi="方正仿宋_GBK" w:eastAsia="方正仿宋_GBK" w:cs="方正仿宋_GBK"/>
          <w:szCs w:val="32"/>
        </w:rPr>
        <w:t>，占水土流失面积的3.33%；强烈侵蚀16.48km</w:t>
      </w:r>
      <w:r>
        <w:rPr>
          <w:rFonts w:hint="eastAsia" w:ascii="方正仿宋_GBK" w:hAnsi="方正仿宋_GBK" w:eastAsia="方正仿宋_GBK" w:cs="方正仿宋_GBK"/>
          <w:szCs w:val="32"/>
          <w:vertAlign w:val="superscript"/>
        </w:rPr>
        <w:t>2</w:t>
      </w:r>
      <w:r>
        <w:rPr>
          <w:rFonts w:hint="eastAsia" w:ascii="方正仿宋_GBK" w:hAnsi="方正仿宋_GBK" w:eastAsia="方正仿宋_GBK" w:cs="方正仿宋_GBK"/>
          <w:szCs w:val="32"/>
        </w:rPr>
        <w:t>，占水土流失面积的2.00%；极强烈侵蚀12.02km</w:t>
      </w:r>
      <w:r>
        <w:rPr>
          <w:rFonts w:hint="eastAsia" w:ascii="方正仿宋_GBK" w:hAnsi="方正仿宋_GBK" w:eastAsia="方正仿宋_GBK" w:cs="方正仿宋_GBK"/>
          <w:szCs w:val="32"/>
          <w:vertAlign w:val="superscript"/>
        </w:rPr>
        <w:t>2</w:t>
      </w:r>
      <w:r>
        <w:rPr>
          <w:rFonts w:hint="eastAsia" w:ascii="方正仿宋_GBK" w:hAnsi="方正仿宋_GBK" w:eastAsia="方正仿宋_GBK" w:cs="方正仿宋_GBK"/>
          <w:szCs w:val="32"/>
        </w:rPr>
        <w:t>，占水土流失面积的1.46%；剧烈侵蚀1.68km</w:t>
      </w:r>
      <w:r>
        <w:rPr>
          <w:rFonts w:hint="eastAsia" w:ascii="方正仿宋_GBK" w:hAnsi="方正仿宋_GBK" w:eastAsia="方正仿宋_GBK" w:cs="方正仿宋_GBK"/>
          <w:szCs w:val="32"/>
          <w:vertAlign w:val="superscript"/>
        </w:rPr>
        <w:t>2</w:t>
      </w:r>
      <w:r>
        <w:rPr>
          <w:rFonts w:hint="eastAsia" w:ascii="方正仿宋_GBK" w:hAnsi="方正仿宋_GBK" w:eastAsia="方正仿宋_GBK" w:cs="方正仿宋_GBK"/>
          <w:szCs w:val="32"/>
        </w:rPr>
        <w:t>，占土地总面积的0.20%。目前水土保持治理要求日趋严格，生产建设项目水土保持监管力度需进一步强化。</w:t>
      </w:r>
    </w:p>
    <w:p>
      <w:pPr>
        <w:pStyle w:val="9"/>
        <w:spacing w:line="594" w:lineRule="exact"/>
        <w:ind w:firstLine="560"/>
        <w:rPr>
          <w:rFonts w:hint="eastAsia" w:ascii="方正仿宋_GBK" w:hAnsi="方正仿宋_GBK" w:eastAsia="方正仿宋_GBK" w:cs="方正仿宋_GBK"/>
          <w:szCs w:val="32"/>
        </w:rPr>
      </w:pPr>
      <w:r>
        <w:rPr>
          <w:rFonts w:hint="eastAsia" w:ascii="方正仿宋_GBK" w:hAnsi="方正仿宋_GBK" w:eastAsia="方正仿宋_GBK" w:cs="方正仿宋_GBK"/>
          <w:szCs w:val="32"/>
          <w:lang w:eastAsia="zh-CN"/>
        </w:rPr>
        <w:t>（四）</w:t>
      </w:r>
      <w:r>
        <w:rPr>
          <w:rFonts w:hint="eastAsia" w:ascii="方正仿宋_GBK" w:hAnsi="方正仿宋_GBK" w:eastAsia="方正仿宋_GBK" w:cs="方正仿宋_GBK"/>
          <w:szCs w:val="32"/>
        </w:rPr>
        <w:t>智慧水利体系建设任重道远，感知能力有待提升</w:t>
      </w:r>
      <w:r>
        <w:rPr>
          <w:rFonts w:hint="eastAsia" w:ascii="方正仿宋_GBK" w:hAnsi="方正仿宋_GBK" w:eastAsia="方正仿宋_GBK" w:cs="方正仿宋_GBK"/>
          <w:szCs w:val="32"/>
          <w:lang w:eastAsia="zh-CN"/>
        </w:rPr>
        <w:t>。</w:t>
      </w:r>
      <w:r>
        <w:rPr>
          <w:rFonts w:hint="eastAsia" w:ascii="方正仿宋_GBK" w:hAnsi="方正仿宋_GBK" w:eastAsia="方正仿宋_GBK" w:cs="方正仿宋_GBK"/>
          <w:szCs w:val="32"/>
        </w:rPr>
        <w:t>目前监测感知覆盖范围和要素内容不全面，监测体系不健全，特别是用水计量、工程安全、河道管理等方面自动监测能力薄弱。水利信息资源和业务系统有效整合不足，信息化资源得不到充分、合理、有效的利用。应用覆盖面和智能化水平不高，水利业务与信息技术融合程度不深，面向全局的水利大数据应用不够，已建的应用系统主要限于水利信息的集成，基本未涉及数据自动采集、自动处理及决策的自动应答全过程响应。</w:t>
      </w:r>
    </w:p>
    <w:p>
      <w:pPr>
        <w:pStyle w:val="9"/>
        <w:keepNext/>
        <w:spacing w:line="594" w:lineRule="exact"/>
        <w:ind w:firstLine="560"/>
        <w:rPr>
          <w:rFonts w:hint="eastAsia" w:ascii="方正仿宋_GBK" w:hAnsi="方正仿宋_GBK" w:eastAsia="方正仿宋_GBK" w:cs="方正仿宋_GBK"/>
          <w:szCs w:val="32"/>
        </w:rPr>
      </w:pPr>
      <w:r>
        <w:rPr>
          <w:rFonts w:hint="eastAsia" w:ascii="方正仿宋_GBK" w:hAnsi="方正仿宋_GBK" w:eastAsia="方正仿宋_GBK" w:cs="方正仿宋_GBK"/>
          <w:szCs w:val="32"/>
          <w:lang w:eastAsia="zh-CN"/>
        </w:rPr>
        <w:t>（五）</w:t>
      </w:r>
      <w:r>
        <w:rPr>
          <w:rFonts w:hint="eastAsia" w:ascii="方正仿宋_GBK" w:hAnsi="方正仿宋_GBK" w:eastAsia="方正仿宋_GBK" w:cs="方正仿宋_GBK"/>
          <w:szCs w:val="32"/>
        </w:rPr>
        <w:t>水管理体制机制尚不完善，水治理能力亟待提升</w:t>
      </w:r>
      <w:r>
        <w:rPr>
          <w:rFonts w:hint="eastAsia" w:ascii="方正仿宋_GBK" w:hAnsi="方正仿宋_GBK" w:eastAsia="方正仿宋_GBK" w:cs="方正仿宋_GBK"/>
          <w:szCs w:val="32"/>
          <w:lang w:eastAsia="zh-CN"/>
        </w:rPr>
        <w:t>。</w:t>
      </w:r>
      <w:r>
        <w:rPr>
          <w:rFonts w:hint="eastAsia" w:ascii="方正仿宋_GBK" w:hAnsi="方正仿宋_GBK" w:eastAsia="方正仿宋_GBK" w:cs="方正仿宋_GBK"/>
          <w:szCs w:val="32"/>
        </w:rPr>
        <w:t>全区水资源高效管理机制尚不完善，难以形成促进水资源开发利用、优化配置和节约保护的强大合力。水资源对转变经济发展方式的倒逼机制尚未真正形成，产业布局、城市规划等对于水资源、水环境的承载能力考虑不足。虽然国家和市级加大了对黔江水利投入的支持力度，但是与黔江自身水利的发展需求还有一定的差距。区级财政财力不足，投入极为有限，各乡镇自筹能力差，自筹资金严重不足。水利建设投资渠道单一，融资渠道不广，社会资本参与水利建设程度低。部分水利工程长效运行管理机制不健全，仍是水利工程的薄弱环节，重建轻管现象依然存在，管理和维修经费不落实、管护工程配套不完善、管理手段较落后等问题仍待解决。人才队伍结构亟待优化，高层次人才较为缺乏。水利监管标准化、规范化程度不高，部分责权和程序不明确，体制机制不健全，水利监管层级间、区域间业务协同不够，监督力度整体薄弱。水政执法队伍不稳定，现代化执法监管等设备应用不足，执法能力有待提升，部分行政事业岗位、业务板块人员聘用、薪酬体系尚未理顺，制约了有关专业实务的有效开展。</w:t>
      </w:r>
    </w:p>
    <w:p>
      <w:pPr>
        <w:pStyle w:val="54"/>
        <w:keepNext/>
        <w:spacing w:before="0" w:after="0" w:line="594" w:lineRule="exact"/>
        <w:ind w:left="0" w:firstLine="0"/>
        <w:jc w:val="center"/>
        <w:rPr>
          <w:rFonts w:hint="eastAsia" w:ascii="方正仿宋_GBK" w:hAnsi="方正仿宋_GBK" w:eastAsia="方正仿宋_GBK" w:cs="方正仿宋_GBK"/>
          <w:b/>
          <w:spacing w:val="6"/>
          <w:sz w:val="32"/>
          <w:szCs w:val="32"/>
        </w:rPr>
      </w:pPr>
      <w:bookmarkStart w:id="29" w:name="_Toc23216"/>
    </w:p>
    <w:p>
      <w:pPr>
        <w:pStyle w:val="54"/>
        <w:keepNext/>
        <w:spacing w:before="0" w:after="0" w:line="594" w:lineRule="exact"/>
        <w:ind w:left="0" w:firstLine="0"/>
        <w:jc w:val="center"/>
        <w:rPr>
          <w:rFonts w:hint="eastAsia" w:ascii="方正黑体_GBK" w:hAnsi="方正黑体_GBK" w:eastAsia="方正黑体_GBK" w:cs="方正黑体_GBK"/>
          <w:bCs/>
          <w:spacing w:val="6"/>
          <w:sz w:val="32"/>
          <w:szCs w:val="32"/>
        </w:rPr>
      </w:pPr>
      <w:bookmarkStart w:id="30" w:name="_Toc18870"/>
      <w:r>
        <w:rPr>
          <w:rFonts w:hint="eastAsia" w:ascii="方正黑体_GBK" w:hAnsi="方正黑体_GBK" w:eastAsia="方正黑体_GBK" w:cs="方正黑体_GBK"/>
          <w:bCs/>
          <w:spacing w:val="6"/>
          <w:sz w:val="32"/>
          <w:szCs w:val="32"/>
        </w:rPr>
        <w:t xml:space="preserve">第三章 </w:t>
      </w:r>
      <w:bookmarkStart w:id="31" w:name="OLE_LINK1"/>
      <w:r>
        <w:rPr>
          <w:rFonts w:hint="eastAsia" w:ascii="方正黑体_GBK" w:hAnsi="方正黑体_GBK" w:eastAsia="方正黑体_GBK" w:cs="方正黑体_GBK"/>
          <w:bCs/>
          <w:spacing w:val="6"/>
          <w:sz w:val="32"/>
          <w:szCs w:val="32"/>
        </w:rPr>
        <w:t>水利改革发展</w:t>
      </w:r>
      <w:bookmarkEnd w:id="31"/>
      <w:r>
        <w:rPr>
          <w:rFonts w:hint="eastAsia" w:ascii="方正黑体_GBK" w:hAnsi="方正黑体_GBK" w:eastAsia="方正黑体_GBK" w:cs="方正黑体_GBK"/>
          <w:bCs/>
          <w:spacing w:val="6"/>
          <w:sz w:val="32"/>
          <w:szCs w:val="32"/>
        </w:rPr>
        <w:t>总体思路</w:t>
      </w:r>
      <w:bookmarkEnd w:id="29"/>
      <w:bookmarkEnd w:id="30"/>
    </w:p>
    <w:p>
      <w:pPr>
        <w:pStyle w:val="54"/>
        <w:keepNext/>
        <w:spacing w:before="0" w:after="0" w:line="594" w:lineRule="exact"/>
        <w:ind w:left="0" w:firstLine="0"/>
        <w:jc w:val="center"/>
        <w:rPr>
          <w:rFonts w:hint="eastAsia" w:ascii="方正仿宋_GBK" w:hAnsi="方正仿宋_GBK" w:eastAsia="方正仿宋_GBK" w:cs="方正仿宋_GBK"/>
          <w:b/>
          <w:spacing w:val="6"/>
          <w:sz w:val="32"/>
          <w:szCs w:val="32"/>
        </w:rPr>
      </w:pPr>
    </w:p>
    <w:p>
      <w:pPr>
        <w:pStyle w:val="3"/>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32" w:name="_Toc21363"/>
      <w:bookmarkStart w:id="33" w:name="_Toc25063"/>
      <w:bookmarkStart w:id="34" w:name="_Toc21476"/>
      <w:bookmarkStart w:id="35" w:name="OLE_LINK4"/>
      <w:r>
        <w:rPr>
          <w:rFonts w:hint="eastAsia" w:ascii="方正楷体_GBK" w:hAnsi="方正楷体_GBK" w:eastAsia="方正楷体_GBK" w:cs="方正楷体_GBK"/>
          <w:b w:val="0"/>
          <w:bCs/>
          <w:spacing w:val="6"/>
          <w:szCs w:val="32"/>
        </w:rPr>
        <w:t>第一节 指导思想</w:t>
      </w:r>
      <w:bookmarkEnd w:id="32"/>
      <w:bookmarkEnd w:id="33"/>
      <w:bookmarkEnd w:id="34"/>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以习近平新时代中国特色社会主义思想为指导，全面贯彻党的十九大和十九届二中、三中、四中、五中全会精神，坚持新发展理念，深入落实“节水优先、空间均衡、系统治理、两手发力”的治水方针，紧扣治水主要矛盾变化，认真实施“三大攻坚战”“八项行动计划”，坚持“绿水青山水旱从人，文明现代和谐水利”的战略思维，争取在长江经济带战略发展、本地区水利现代化发展过程中发挥更大作用。</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统筹做好水灾害防治、水资源管理、水生态保护修复、水环境治理，全力保障水安全、大力抓好水民生、着力改善水生态、积极弘扬水文化，加快完善水利基础设施体系，强化涉水事务监管，强化水利改革创新，把各类水安全风险防控作为底线，按照“问题导向、目标导向、结果导向”的要求，全面提升水安全保障能力，满足人民群众对防洪保安全、优质水资源、健康水生态、宜居水环境、先进水文化的需求，为黔江区高质量发展和水生态文明建设提供有力支撑，为巩固</w:t>
      </w:r>
      <w:r>
        <w:rPr>
          <w:rFonts w:hint="eastAsia" w:ascii="方正仿宋_GBK" w:hAnsi="方正仿宋_GBK" w:eastAsia="方正仿宋_GBK" w:cs="方正仿宋_GBK"/>
          <w:sz w:val="32"/>
          <w:szCs w:val="32"/>
          <w:lang w:eastAsia="zh-CN"/>
        </w:rPr>
        <w:t>拓展</w:t>
      </w:r>
      <w:r>
        <w:rPr>
          <w:rFonts w:hint="eastAsia" w:ascii="方正仿宋_GBK" w:hAnsi="方正仿宋_GBK" w:eastAsia="方正仿宋_GBK" w:cs="方正仿宋_GBK"/>
          <w:sz w:val="32"/>
          <w:szCs w:val="32"/>
        </w:rPr>
        <w:t>脱贫攻坚成果、保持经济社会可持续健康发展提供保障。</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抓住机遇，合理积极谋划项目，掀起全区新一轮水利建设高潮，更好发挥水利建设对拉动有效投资、稳定经济增长、增加就业、造福民生的重要作用。需要抓好顶层设计，抓实资金保障，抓快前期工作，抓强工程质量、提高补短板的质量和水平；按照工程体系修建工程，建设和解决四大水问题相配套的现代水利工程体系，形成布局合理、质量优良、运行规范、保障有力的水利基础设施网络。</w:t>
      </w:r>
    </w:p>
    <w:p>
      <w:pPr>
        <w:spacing w:line="594" w:lineRule="exact"/>
        <w:ind w:firstLine="640" w:firstLineChars="200"/>
        <w:rPr>
          <w:rFonts w:hint="eastAsia" w:ascii="方正仿宋_GBK" w:hAnsi="方正仿宋_GBK" w:eastAsia="方正仿宋_GBK" w:cs="方正仿宋_GBK"/>
          <w:sz w:val="32"/>
          <w:szCs w:val="32"/>
        </w:rPr>
      </w:pPr>
    </w:p>
    <w:bookmarkEnd w:id="35"/>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36" w:name="_Toc20198"/>
      <w:bookmarkStart w:id="37" w:name="_Toc5307"/>
      <w:bookmarkStart w:id="38" w:name="_Toc26549"/>
      <w:r>
        <w:rPr>
          <w:rFonts w:hint="eastAsia" w:ascii="方正楷体_GBK" w:hAnsi="方正楷体_GBK" w:eastAsia="方正楷体_GBK" w:cs="方正楷体_GBK"/>
          <w:b w:val="0"/>
          <w:bCs/>
          <w:spacing w:val="6"/>
          <w:szCs w:val="32"/>
        </w:rPr>
        <w:t>第二节  基本原则</w:t>
      </w:r>
      <w:bookmarkEnd w:id="36"/>
      <w:bookmarkEnd w:id="37"/>
      <w:bookmarkEnd w:id="38"/>
    </w:p>
    <w:p>
      <w:pPr>
        <w:spacing w:line="594" w:lineRule="exact"/>
        <w:ind w:firstLine="640" w:firstLineChars="200"/>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一、坚持以人为本、造福人民</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牢固树立以人民为中心的发展思想，顺应人民群众对美好生活的向往，把增进人民福祉、 促进人的全面发展作为水安全保障工作的出发点和落脚点，让江河成为造福人民的幸福河。</w:t>
      </w:r>
    </w:p>
    <w:p>
      <w:pPr>
        <w:spacing w:line="594" w:lineRule="exact"/>
        <w:ind w:firstLine="640" w:firstLineChars="200"/>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二、坚持节水优先、高效利用</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把节水作为解决我国水资源 短缺问题的根本性措施，贯穿于经济社会发展全过程和各领域，推动用水方式由粗放向节约集约转变，形成节水型生产 生活方式，不断提高用水效率和效益。</w:t>
      </w:r>
    </w:p>
    <w:p>
      <w:pPr>
        <w:spacing w:line="594" w:lineRule="exact"/>
        <w:ind w:firstLine="640" w:firstLineChars="200"/>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三、坚持人水和谐、均衡发展</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尊重自然、顺应自然、保护自然，强化水资源刚性约束，以水而定、量水而行、因水制宜，约束和规范各类水事行为，优化水资源配置，促进人口 经济与水资源水生态水环境相均衡，推动高质量发展。</w:t>
      </w:r>
    </w:p>
    <w:p>
      <w:pPr>
        <w:spacing w:line="594" w:lineRule="exact"/>
        <w:ind w:firstLine="640" w:firstLineChars="200"/>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四、坚持统筹兼顾、综合施策</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统筹山水林田湖草系统治理, 以流域为单元开展综合治理与生态修复。统筹上下游、左右岸、地表地下、城市乡村，系统解决水问题，推进河湖系统保护和水生态环境整体改善。</w:t>
      </w:r>
    </w:p>
    <w:p>
      <w:pPr>
        <w:spacing w:line="594" w:lineRule="exact"/>
        <w:ind w:firstLine="640" w:firstLineChars="200"/>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五、坚持预防为主、风险管控</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强化底线思维，增强忧患意识，从注重事后处置向风险防控转变，从减少灾害损失向降低安全风险转变，建立健全水安全风险防控机制，提高防范化解水安全风险的能力。</w:t>
      </w:r>
    </w:p>
    <w:p>
      <w:pPr>
        <w:spacing w:line="594" w:lineRule="exact"/>
        <w:ind w:firstLine="640" w:firstLineChars="200"/>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六、坚持改革创新、激发活力</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统筹利用价格、税费政策工具，充分发挥市场在资源配置中的决定性作用。更好发挥政府作用，依法治水管水护水，加强政府监管和引导，深化水利智慧化建设，构建系统完备的水治理制度体系。</w:t>
      </w:r>
    </w:p>
    <w:p>
      <w:pPr>
        <w:spacing w:line="594" w:lineRule="exact"/>
        <w:ind w:firstLine="640" w:firstLineChars="200"/>
        <w:rPr>
          <w:rFonts w:hint="eastAsia" w:ascii="方正仿宋_GBK" w:hAnsi="方正仿宋_GBK" w:eastAsia="方正仿宋_GBK" w:cs="方正仿宋_GBK"/>
          <w:sz w:val="32"/>
          <w:szCs w:val="32"/>
        </w:rPr>
      </w:pPr>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39" w:name="_Toc18085"/>
      <w:bookmarkStart w:id="40" w:name="_Toc9018"/>
      <w:bookmarkStart w:id="41" w:name="_Toc30947"/>
      <w:r>
        <w:rPr>
          <w:rFonts w:hint="eastAsia" w:ascii="方正楷体_GBK" w:hAnsi="方正楷体_GBK" w:eastAsia="方正楷体_GBK" w:cs="方正楷体_GBK"/>
          <w:b w:val="0"/>
          <w:bCs/>
          <w:spacing w:val="6"/>
          <w:szCs w:val="32"/>
        </w:rPr>
        <w:t>第三节  发展目标</w:t>
      </w:r>
      <w:bookmarkEnd w:id="39"/>
      <w:bookmarkEnd w:id="40"/>
      <w:bookmarkEnd w:id="41"/>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到2025年，建成与经济社会发展和生态文明建设要求相适应、与国家现代化进程相协调的防洪保安、城乡供水保障、水生态文明建设、智慧水利建设四大体系，水安全保障能力明显增强。以“节水优先、优化配置”为目标，提升水资源节约集约利用与优化配置能力、以“设施完备、调度科学”为目标，提升城乡防洪减灾能力、以“生态良好、环境优美”为目标，提升水资源保护能力，改善河湖健康状况、以“制度健全、运行高效”为目标，基本建成涉水事务监管体制。根据黔江区“四大体系”的建设进程，到2035年黔江区水安全保障能力将显著增强，水资源节约和循环利用水平显著提升，水生态环境状况全面改善，防范化解水安全风险能力明显增强，防洪保安全、优质水资源、健康水生态和宜居水环境目标全面实现，水安全保障能力和智慧化水平达到国内先进水平，为“中国峡谷城·武陵会客厅”建设起到强力的支撑作用。按照党的十九大对实现第二个百年奋斗目标做出的“两步走”战略安排，到21世纪中叶，物质文明、政治文明、精神文明、社会文明、生态文明全面提升，国家水安全保障体系全面建成，实现人民群众饮水放心、用水便捷、亲水宜居、洪旱无虞，治理体系和治理能力全面现代化，为全面建成社会主义现代化强国提供有力支撑。</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其中，到2025年全区水利发展总目标与黔江区国民经济和社会发展和生态文明建设要求相适应，与本地区现代化进程相协调的防洪保安、城乡供水保障、水生态文明建设、智慧水利建设四大体系具体目标为:</w:t>
      </w:r>
    </w:p>
    <w:p>
      <w:pPr>
        <w:spacing w:line="594" w:lineRule="exact"/>
        <w:ind w:firstLine="640" w:firstLineChars="200"/>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一、防洪保安体系建设目标</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大江大河及重要江河防洪减灾体系进一步完善，大江大河重点防洪保护区、中小河流重要河段达到规划确定的防洪标准，重点城市和重点涝区的防洪排涝能力明显提升。全面消除现有病险水库安全隐患，防汛抗旱能力提升取得显著成效，水旱灾害风险防范化解能力进一步增强。中心城区防洪标准全面提升至50年一遇，重要中小河流及山洪沟治理达到20年一遇防洪标准，水灾害风险防范化解能力进一步增强。</w:t>
      </w:r>
    </w:p>
    <w:p>
      <w:pPr>
        <w:spacing w:line="594" w:lineRule="exact"/>
        <w:ind w:firstLine="640" w:firstLineChars="200"/>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二、城乡供水保障体系建设目标</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水资源刚性约束作用明显增强，节水型生产和生活方式基本建立，全社会节水护水惜水意识明显增强，水资源与人口经济均衡协调发展的格局进一步完善。到2025年万元国内生产总值用水量、万元工业增加值用水量较2020年均下降15%，农田灌溉水有效利用系数提高到0.550。全区水资源配置格局进一步完善，城乡供水保障和抗旱应急能力明显增强，质量明显改善，新增蓄引提水工程年供水能力1.5亿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，规模化供水覆盖程度明显提高。</w:t>
      </w:r>
    </w:p>
    <w:p>
      <w:pPr>
        <w:spacing w:line="594" w:lineRule="exact"/>
        <w:ind w:firstLine="640" w:firstLineChars="200"/>
        <w:rPr>
          <w:rFonts w:hint="eastAsia" w:ascii="方正仿宋_GBK" w:hAnsi="方正仿宋_GBK" w:eastAsia="方正仿宋_GBK" w:cs="方正仿宋_GBK"/>
          <w:bCs/>
          <w:sz w:val="32"/>
          <w:szCs w:val="32"/>
        </w:rPr>
      </w:pPr>
      <w:bookmarkStart w:id="42" w:name="_Hlk85051176"/>
      <w:r>
        <w:rPr>
          <w:rFonts w:hint="eastAsia" w:ascii="方正仿宋_GBK" w:hAnsi="方正仿宋_GBK" w:eastAsia="方正仿宋_GBK" w:cs="方正仿宋_GBK"/>
          <w:bCs/>
          <w:sz w:val="32"/>
          <w:szCs w:val="32"/>
        </w:rPr>
        <w:t>三、水生态文明建设体系目标</w:t>
      </w:r>
      <w:bookmarkEnd w:id="42"/>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涉水空间管控制度基本建立，第一次全国水利普查成果中流域面积50平方公里及以上河流和常年水面面积1km</w:t>
      </w:r>
      <w:r>
        <w:rPr>
          <w:rFonts w:hint="eastAsia" w:ascii="方正仿宋_GBK" w:hAnsi="方正仿宋_GBK" w:eastAsia="方正仿宋_GBK" w:cs="方正仿宋_GBK"/>
          <w:sz w:val="32"/>
          <w:szCs w:val="32"/>
          <w:vertAlign w:val="superscript"/>
        </w:rPr>
        <w:t>2</w:t>
      </w:r>
      <w:r>
        <w:rPr>
          <w:rFonts w:hint="eastAsia" w:ascii="方正仿宋_GBK" w:hAnsi="方正仿宋_GBK" w:eastAsia="方正仿宋_GBK" w:cs="方正仿宋_GBK"/>
          <w:sz w:val="32"/>
          <w:szCs w:val="32"/>
        </w:rPr>
        <w:t>以上湖泊管理范围基本划定，江河湖库水源涵养与保护能力明显提升，重点河湖生态流量基本得到保障，水环境状况明显改善。人为水土流失得到有效控制，重点地区水土流失得到有效治理，</w:t>
      </w:r>
      <w:bookmarkStart w:id="43" w:name="_Hlk85051200"/>
      <w:r>
        <w:rPr>
          <w:rFonts w:hint="eastAsia" w:ascii="方正仿宋_GBK" w:hAnsi="方正仿宋_GBK" w:eastAsia="方正仿宋_GBK" w:cs="方正仿宋_GBK"/>
          <w:sz w:val="32"/>
          <w:szCs w:val="32"/>
        </w:rPr>
        <w:t>到2025年，新治理水土流失面积270km</w:t>
      </w:r>
      <w:r>
        <w:rPr>
          <w:rFonts w:hint="eastAsia" w:ascii="方正仿宋_GBK" w:hAnsi="方正仿宋_GBK" w:eastAsia="方正仿宋_GBK" w:cs="方正仿宋_GBK"/>
          <w:sz w:val="32"/>
          <w:szCs w:val="32"/>
          <w:vertAlign w:val="superscript"/>
        </w:rPr>
        <w:t>2</w:t>
      </w:r>
      <w:r>
        <w:rPr>
          <w:rFonts w:hint="eastAsia" w:ascii="方正仿宋_GBK" w:hAnsi="方正仿宋_GBK" w:eastAsia="方正仿宋_GBK" w:cs="方正仿宋_GBK"/>
          <w:sz w:val="32"/>
          <w:szCs w:val="32"/>
        </w:rPr>
        <w:t>，全区水土流失总治理率达到73%以上，较2020年现状提高5.1个百分点</w:t>
      </w:r>
      <w:bookmarkEnd w:id="43"/>
      <w:r>
        <w:rPr>
          <w:rFonts w:hint="eastAsia" w:ascii="方正仿宋_GBK" w:hAnsi="方正仿宋_GBK" w:eastAsia="方正仿宋_GBK" w:cs="方正仿宋_GBK"/>
          <w:sz w:val="32"/>
          <w:szCs w:val="32"/>
        </w:rPr>
        <w:t>。</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sz w:val="32"/>
          <w:szCs w:val="32"/>
        </w:rPr>
        <w:t>四、智慧水利体系建设及涉水事务监管目标</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水文水资源、河湖生态、水土流失、水灾害等监测预警体系基本建立，水利信息化水平显著提升。完成黔江区水利基础设施工程安全监测全面覆盖，水情监测报讯设备覆盖所有大型、中型水库；雨量站、水文站、防洪重点区段、水利基础设施全面在线监测。河长制深入推进，河长制管理信息系统覆盖各级河长、河长办工作人员、成员单位责任人以及社会公众。最严格水资源管理考核体系逐步完善，水资源节约、开发、利用、保护、配置、调度等各环节得到全面监管。水工程安全风险防控能力明显提升。水权水价水市场改革取得重要进展。政府主导、金融支持、社会参与的水利投融资机制进一步完善。</w:t>
      </w:r>
    </w:p>
    <w:p>
      <w:pPr>
        <w:spacing w:line="620" w:lineRule="exact"/>
        <w:jc w:val="center"/>
        <w:rPr>
          <w:rFonts w:hint="eastAsia" w:ascii="方正黑体_GBK" w:hAnsi="方正黑体_GBK" w:eastAsia="方正黑体_GBK" w:cs="方正黑体_GBK"/>
          <w:bCs/>
          <w:spacing w:val="-6"/>
          <w:sz w:val="32"/>
          <w:szCs w:val="32"/>
        </w:rPr>
      </w:pPr>
      <w:r>
        <w:rPr>
          <w:rFonts w:hint="eastAsia" w:ascii="方正黑体_GBK" w:hAnsi="方正黑体_GBK" w:eastAsia="方正黑体_GBK" w:cs="方正黑体_GBK"/>
          <w:bCs/>
          <w:spacing w:val="-6"/>
          <w:sz w:val="32"/>
          <w:szCs w:val="32"/>
        </w:rPr>
        <w:t>黔江区“十四五”规划水利发展主要指标表</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395"/>
        <w:gridCol w:w="1157"/>
        <w:gridCol w:w="1230"/>
        <w:gridCol w:w="1544"/>
        <w:gridCol w:w="10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794" w:type="dxa"/>
            <w:noWrap w:val="0"/>
            <w:vAlign w:val="center"/>
          </w:tcPr>
          <w:p>
            <w:pPr>
              <w:spacing w:line="520" w:lineRule="exact"/>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序号</w:t>
            </w:r>
          </w:p>
        </w:tc>
        <w:tc>
          <w:tcPr>
            <w:tcW w:w="3395" w:type="dxa"/>
            <w:noWrap w:val="0"/>
            <w:vAlign w:val="center"/>
          </w:tcPr>
          <w:p>
            <w:pPr>
              <w:spacing w:line="520" w:lineRule="exact"/>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指      标</w:t>
            </w:r>
          </w:p>
        </w:tc>
        <w:tc>
          <w:tcPr>
            <w:tcW w:w="1157" w:type="dxa"/>
            <w:noWrap w:val="0"/>
            <w:vAlign w:val="center"/>
          </w:tcPr>
          <w:p>
            <w:pPr>
              <w:spacing w:line="520" w:lineRule="exact"/>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单位</w:t>
            </w:r>
          </w:p>
        </w:tc>
        <w:tc>
          <w:tcPr>
            <w:tcW w:w="1230" w:type="dxa"/>
            <w:noWrap w:val="0"/>
            <w:vAlign w:val="center"/>
          </w:tcPr>
          <w:p>
            <w:pPr>
              <w:spacing w:line="520" w:lineRule="exact"/>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2020年现状</w:t>
            </w:r>
          </w:p>
        </w:tc>
        <w:tc>
          <w:tcPr>
            <w:tcW w:w="1544" w:type="dxa"/>
            <w:noWrap w:val="0"/>
            <w:vAlign w:val="center"/>
          </w:tcPr>
          <w:p>
            <w:pPr>
              <w:spacing w:line="520" w:lineRule="exact"/>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2025年规划指标</w:t>
            </w:r>
          </w:p>
        </w:tc>
        <w:tc>
          <w:tcPr>
            <w:tcW w:w="1054" w:type="dxa"/>
            <w:noWrap w:val="0"/>
            <w:vAlign w:val="center"/>
          </w:tcPr>
          <w:p>
            <w:pPr>
              <w:spacing w:line="520" w:lineRule="exact"/>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指标属性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9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3395"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1-5级江河堤防达标率</w:t>
            </w:r>
          </w:p>
        </w:tc>
        <w:tc>
          <w:tcPr>
            <w:tcW w:w="1157"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1230"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[76]</w:t>
            </w:r>
          </w:p>
        </w:tc>
        <w:tc>
          <w:tcPr>
            <w:tcW w:w="154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[80]</w:t>
            </w:r>
          </w:p>
        </w:tc>
        <w:tc>
          <w:tcPr>
            <w:tcW w:w="105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9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3395"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用水总量控制</w:t>
            </w:r>
          </w:p>
        </w:tc>
        <w:tc>
          <w:tcPr>
            <w:tcW w:w="1157"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亿m</w:t>
            </w:r>
            <w:r>
              <w:rPr>
                <w:rFonts w:hint="eastAsia" w:ascii="方正仿宋_GBK" w:hAnsi="方正仿宋_GBK" w:eastAsia="方正仿宋_GBK" w:cs="方正仿宋_GBK"/>
                <w:sz w:val="24"/>
                <w:szCs w:val="24"/>
                <w:vertAlign w:val="superscript"/>
              </w:rPr>
              <w:t>3</w:t>
            </w:r>
          </w:p>
        </w:tc>
        <w:tc>
          <w:tcPr>
            <w:tcW w:w="1230"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[&lt;1.3]</w:t>
            </w:r>
          </w:p>
        </w:tc>
        <w:tc>
          <w:tcPr>
            <w:tcW w:w="154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[&lt;1.35]</w:t>
            </w:r>
          </w:p>
        </w:tc>
        <w:tc>
          <w:tcPr>
            <w:tcW w:w="105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约束性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9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w:t>
            </w:r>
          </w:p>
        </w:tc>
        <w:tc>
          <w:tcPr>
            <w:tcW w:w="3395"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单位国内生产总值用水量</w:t>
            </w:r>
          </w:p>
        </w:tc>
        <w:tc>
          <w:tcPr>
            <w:tcW w:w="1157"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m</w:t>
            </w:r>
            <w:r>
              <w:rPr>
                <w:rFonts w:hint="eastAsia" w:ascii="方正仿宋_GBK" w:hAnsi="方正仿宋_GBK" w:eastAsia="方正仿宋_GBK" w:cs="方正仿宋_GBK"/>
                <w:sz w:val="24"/>
                <w:szCs w:val="24"/>
                <w:vertAlign w:val="superscript"/>
              </w:rPr>
              <w:t>3</w:t>
            </w:r>
            <w:r>
              <w:rPr>
                <w:rFonts w:hint="eastAsia" w:ascii="方正仿宋_GBK" w:hAnsi="方正仿宋_GBK" w:eastAsia="方正仿宋_GBK" w:cs="方正仿宋_GBK"/>
                <w:sz w:val="24"/>
                <w:szCs w:val="24"/>
              </w:rPr>
              <w:t>/万元</w:t>
            </w:r>
          </w:p>
        </w:tc>
        <w:tc>
          <w:tcPr>
            <w:tcW w:w="1230"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[44]</w:t>
            </w:r>
          </w:p>
        </w:tc>
        <w:tc>
          <w:tcPr>
            <w:tcW w:w="154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[37.4]</w:t>
            </w:r>
          </w:p>
        </w:tc>
        <w:tc>
          <w:tcPr>
            <w:tcW w:w="105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约束性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9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w:t>
            </w:r>
          </w:p>
        </w:tc>
        <w:tc>
          <w:tcPr>
            <w:tcW w:w="3395"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单位工业增加值用水量</w:t>
            </w:r>
          </w:p>
        </w:tc>
        <w:tc>
          <w:tcPr>
            <w:tcW w:w="1157"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m</w:t>
            </w:r>
            <w:r>
              <w:rPr>
                <w:rFonts w:hint="eastAsia" w:ascii="方正仿宋_GBK" w:hAnsi="方正仿宋_GBK" w:eastAsia="方正仿宋_GBK" w:cs="方正仿宋_GBK"/>
                <w:sz w:val="24"/>
                <w:szCs w:val="24"/>
                <w:vertAlign w:val="superscript"/>
              </w:rPr>
              <w:t>3</w:t>
            </w:r>
            <w:r>
              <w:rPr>
                <w:rFonts w:hint="eastAsia" w:ascii="方正仿宋_GBK" w:hAnsi="方正仿宋_GBK" w:eastAsia="方正仿宋_GBK" w:cs="方正仿宋_GBK"/>
                <w:sz w:val="24"/>
                <w:szCs w:val="24"/>
              </w:rPr>
              <w:t>/万元</w:t>
            </w:r>
          </w:p>
        </w:tc>
        <w:tc>
          <w:tcPr>
            <w:tcW w:w="1230"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w:t>
            </w:r>
          </w:p>
        </w:tc>
        <w:tc>
          <w:tcPr>
            <w:tcW w:w="154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[＜15.0]</w:t>
            </w:r>
          </w:p>
        </w:tc>
        <w:tc>
          <w:tcPr>
            <w:tcW w:w="105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约束性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9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w:t>
            </w:r>
          </w:p>
        </w:tc>
        <w:tc>
          <w:tcPr>
            <w:tcW w:w="3395"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农田灌溉水有效利用系数</w:t>
            </w:r>
          </w:p>
        </w:tc>
        <w:tc>
          <w:tcPr>
            <w:tcW w:w="1157" w:type="dxa"/>
            <w:noWrap w:val="0"/>
            <w:vAlign w:val="center"/>
          </w:tcPr>
          <w:p>
            <w:pPr>
              <w:spacing w:line="520" w:lineRule="exact"/>
              <w:jc w:val="center"/>
              <w:rPr>
                <w:rFonts w:hint="eastAsia" w:ascii="方正仿宋_GBK" w:hAnsi="方正仿宋_GBK" w:eastAsia="方正仿宋_GBK" w:cs="方正仿宋_GBK"/>
                <w:sz w:val="24"/>
                <w:szCs w:val="24"/>
              </w:rPr>
            </w:pPr>
          </w:p>
        </w:tc>
        <w:tc>
          <w:tcPr>
            <w:tcW w:w="1230"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[0.538]</w:t>
            </w:r>
          </w:p>
        </w:tc>
        <w:tc>
          <w:tcPr>
            <w:tcW w:w="154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[0.550]</w:t>
            </w:r>
          </w:p>
        </w:tc>
        <w:tc>
          <w:tcPr>
            <w:tcW w:w="105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79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w:t>
            </w:r>
          </w:p>
        </w:tc>
        <w:tc>
          <w:tcPr>
            <w:tcW w:w="3395"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新增水库总库容</w:t>
            </w:r>
          </w:p>
        </w:tc>
        <w:tc>
          <w:tcPr>
            <w:tcW w:w="1157"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亿m</w:t>
            </w:r>
            <w:r>
              <w:rPr>
                <w:rFonts w:hint="eastAsia" w:ascii="方正仿宋_GBK" w:hAnsi="方正仿宋_GBK" w:eastAsia="方正仿宋_GBK" w:cs="方正仿宋_GBK"/>
                <w:sz w:val="24"/>
                <w:szCs w:val="24"/>
                <w:vertAlign w:val="superscript"/>
              </w:rPr>
              <w:t>3</w:t>
            </w:r>
          </w:p>
        </w:tc>
        <w:tc>
          <w:tcPr>
            <w:tcW w:w="1230"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154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0.67</w:t>
            </w:r>
          </w:p>
        </w:tc>
        <w:tc>
          <w:tcPr>
            <w:tcW w:w="105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9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w:t>
            </w:r>
          </w:p>
        </w:tc>
        <w:tc>
          <w:tcPr>
            <w:tcW w:w="3395"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新增蓄引提供水能力</w:t>
            </w:r>
          </w:p>
        </w:tc>
        <w:tc>
          <w:tcPr>
            <w:tcW w:w="1157"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亿m</w:t>
            </w:r>
            <w:r>
              <w:rPr>
                <w:rFonts w:hint="eastAsia" w:ascii="方正仿宋_GBK" w:hAnsi="方正仿宋_GBK" w:eastAsia="方正仿宋_GBK" w:cs="方正仿宋_GBK"/>
                <w:sz w:val="24"/>
                <w:szCs w:val="24"/>
                <w:vertAlign w:val="superscript"/>
              </w:rPr>
              <w:t>3</w:t>
            </w:r>
          </w:p>
        </w:tc>
        <w:tc>
          <w:tcPr>
            <w:tcW w:w="1230"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154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c>
          <w:tcPr>
            <w:tcW w:w="105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9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w:t>
            </w:r>
          </w:p>
        </w:tc>
        <w:tc>
          <w:tcPr>
            <w:tcW w:w="3395"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耕地灌溉面积</w:t>
            </w:r>
          </w:p>
        </w:tc>
        <w:tc>
          <w:tcPr>
            <w:tcW w:w="1157"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万亩</w:t>
            </w:r>
          </w:p>
        </w:tc>
        <w:tc>
          <w:tcPr>
            <w:tcW w:w="1230"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[20.76]</w:t>
            </w:r>
          </w:p>
        </w:tc>
        <w:tc>
          <w:tcPr>
            <w:tcW w:w="154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[≧20.76]</w:t>
            </w:r>
          </w:p>
        </w:tc>
        <w:tc>
          <w:tcPr>
            <w:tcW w:w="105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79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w:t>
            </w:r>
          </w:p>
        </w:tc>
        <w:tc>
          <w:tcPr>
            <w:tcW w:w="3395"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水土保持率</w:t>
            </w:r>
          </w:p>
        </w:tc>
        <w:tc>
          <w:tcPr>
            <w:tcW w:w="1157"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1230"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[65]</w:t>
            </w:r>
          </w:p>
        </w:tc>
        <w:tc>
          <w:tcPr>
            <w:tcW w:w="154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[&gt;73]</w:t>
            </w:r>
          </w:p>
        </w:tc>
        <w:tc>
          <w:tcPr>
            <w:tcW w:w="105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94" w:type="dxa"/>
            <w:noWrap w:val="0"/>
            <w:vAlign w:val="center"/>
          </w:tcPr>
          <w:p>
            <w:pPr>
              <w:spacing w:line="520" w:lineRule="exact"/>
              <w:jc w:val="center"/>
              <w:rPr>
                <w:rFonts w:hint="eastAsia" w:ascii="方正仿宋_GBK" w:hAnsi="方正仿宋_GBK" w:eastAsia="方正仿宋_GBK" w:cs="方正仿宋_GBK"/>
                <w:spacing w:val="-10"/>
                <w:sz w:val="24"/>
                <w:szCs w:val="24"/>
              </w:rPr>
            </w:pPr>
            <w:r>
              <w:rPr>
                <w:rFonts w:hint="eastAsia" w:ascii="方正仿宋_GBK" w:hAnsi="方正仿宋_GBK" w:eastAsia="方正仿宋_GBK" w:cs="方正仿宋_GBK"/>
                <w:spacing w:val="-10"/>
                <w:sz w:val="24"/>
                <w:szCs w:val="24"/>
              </w:rPr>
              <w:t>10</w:t>
            </w:r>
          </w:p>
        </w:tc>
        <w:tc>
          <w:tcPr>
            <w:tcW w:w="3395" w:type="dxa"/>
            <w:noWrap w:val="0"/>
            <w:vAlign w:val="center"/>
          </w:tcPr>
          <w:p>
            <w:pPr>
              <w:spacing w:line="520" w:lineRule="exact"/>
              <w:jc w:val="center"/>
              <w:rPr>
                <w:rFonts w:hint="eastAsia" w:ascii="方正仿宋_GBK" w:hAnsi="方正仿宋_GBK" w:eastAsia="方正仿宋_GBK" w:cs="方正仿宋_GBK"/>
                <w:spacing w:val="-10"/>
                <w:sz w:val="24"/>
                <w:szCs w:val="24"/>
              </w:rPr>
            </w:pPr>
            <w:r>
              <w:rPr>
                <w:rFonts w:hint="eastAsia" w:ascii="方正仿宋_GBK" w:hAnsi="方正仿宋_GBK" w:eastAsia="方正仿宋_GBK" w:cs="方正仿宋_GBK"/>
                <w:spacing w:val="-10"/>
                <w:sz w:val="24"/>
                <w:szCs w:val="24"/>
              </w:rPr>
              <w:t>重点河湖基本生态流量达标率</w:t>
            </w:r>
          </w:p>
        </w:tc>
        <w:tc>
          <w:tcPr>
            <w:tcW w:w="1157"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1230"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154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[&gt;90]</w:t>
            </w:r>
          </w:p>
        </w:tc>
        <w:tc>
          <w:tcPr>
            <w:tcW w:w="105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79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w:t>
            </w:r>
          </w:p>
        </w:tc>
        <w:tc>
          <w:tcPr>
            <w:tcW w:w="3395"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农村集中供水工程水费收缴率</w:t>
            </w:r>
          </w:p>
        </w:tc>
        <w:tc>
          <w:tcPr>
            <w:tcW w:w="1157"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1230"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154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[&gt;90]</w:t>
            </w:r>
          </w:p>
        </w:tc>
        <w:tc>
          <w:tcPr>
            <w:tcW w:w="1054" w:type="dxa"/>
            <w:noWrap w:val="0"/>
            <w:vAlign w:val="center"/>
          </w:tcPr>
          <w:p>
            <w:pPr>
              <w:spacing w:line="52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bl>
    <w:p>
      <w:pP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1.上表中[ ]内为期末达到数，其余为5年累计值。</w:t>
      </w:r>
    </w:p>
    <w:p>
      <w:pP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2.水土保持率指区域内水土保持状况良好的面积占区域国土面积的比例。</w:t>
      </w:r>
    </w:p>
    <w:p>
      <w:pP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3.重点河湖基本生态流量达标率是指纳入生态流量保障重要河湖名录的河流和湖库控制断面基本生态流量保障目标实现比例。</w:t>
      </w:r>
    </w:p>
    <w:p>
      <w:pP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4.农村集中供水工程水费收缴率指集中供水工程实收水费占应收水费的比例。</w:t>
      </w:r>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44" w:name="_Toc17635"/>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r>
        <w:rPr>
          <w:rFonts w:hint="eastAsia" w:ascii="方正楷体_GBK" w:hAnsi="方正楷体_GBK" w:eastAsia="方正楷体_GBK" w:cs="方正楷体_GBK"/>
          <w:b w:val="0"/>
          <w:bCs/>
          <w:spacing w:val="6"/>
          <w:szCs w:val="32"/>
        </w:rPr>
        <w:t>第四节  总体布局</w:t>
      </w:r>
      <w:bookmarkEnd w:id="44"/>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根据黔江区实际情况，遵循全市水利发展提出的“</w:t>
      </w:r>
      <w:r>
        <w:rPr>
          <w:rFonts w:hint="eastAsia" w:ascii="方正仿宋_GBK" w:hAnsi="方正仿宋_GBK" w:eastAsia="方正仿宋_GBK" w:cs="方正仿宋_GBK"/>
          <w:b/>
          <w:bCs/>
          <w:sz w:val="32"/>
          <w:szCs w:val="32"/>
        </w:rPr>
        <w:t>一核、两网、百库、千川</w:t>
      </w:r>
      <w:r>
        <w:rPr>
          <w:rFonts w:hint="eastAsia" w:ascii="方正仿宋_GBK" w:hAnsi="方正仿宋_GBK" w:eastAsia="方正仿宋_GBK" w:cs="方正仿宋_GBK"/>
          <w:sz w:val="32"/>
          <w:szCs w:val="32"/>
        </w:rPr>
        <w:t>”的总体布局，构建</w:t>
      </w:r>
      <w:r>
        <w:rPr>
          <w:rFonts w:hint="eastAsia" w:ascii="方正仿宋_GBK" w:hAnsi="方正仿宋_GBK" w:eastAsia="方正仿宋_GBK" w:cs="方正仿宋_GBK"/>
          <w:b/>
          <w:bCs/>
          <w:sz w:val="32"/>
          <w:szCs w:val="32"/>
        </w:rPr>
        <w:t>“一核、三带、四体系、多节点”的</w:t>
      </w:r>
      <w:r>
        <w:rPr>
          <w:rFonts w:hint="eastAsia" w:ascii="方正仿宋_GBK" w:hAnsi="方正仿宋_GBK" w:eastAsia="方正仿宋_GBK" w:cs="方正仿宋_GBK"/>
          <w:sz w:val="32"/>
          <w:szCs w:val="32"/>
        </w:rPr>
        <w:t>黔江区水利发展</w:t>
      </w:r>
      <w:r>
        <w:rPr>
          <w:rFonts w:hint="eastAsia" w:ascii="方正仿宋_GBK" w:hAnsi="方正仿宋_GBK" w:eastAsia="方正仿宋_GBK" w:cs="方正仿宋_GBK"/>
          <w:b/>
          <w:bCs/>
          <w:sz w:val="32"/>
          <w:szCs w:val="32"/>
        </w:rPr>
        <w:t>总体格局，</w:t>
      </w:r>
      <w:r>
        <w:rPr>
          <w:rFonts w:hint="eastAsia" w:ascii="方正仿宋_GBK" w:hAnsi="方正仿宋_GBK" w:eastAsia="方正仿宋_GBK" w:cs="方正仿宋_GBK"/>
          <w:sz w:val="32"/>
          <w:szCs w:val="32"/>
        </w:rPr>
        <w:t>服从全区国土空间开发保护总体部署，主动融入渝南水资源配置等区域性工程的发展规划，为黔江区“十四五”期间建成高质量发展高品质生活新范例、高水平打造“中国峡谷城·武陵会客厅”的目标夯实基础。</w:t>
      </w:r>
      <w:r>
        <w:rPr>
          <w:rFonts w:hint="eastAsia" w:ascii="方正仿宋_GBK" w:hAnsi="方正仿宋_GBK" w:eastAsia="方正仿宋_GBK" w:cs="方正仿宋_GBK"/>
          <w:b/>
          <w:bCs/>
          <w:sz w:val="32"/>
          <w:szCs w:val="32"/>
        </w:rPr>
        <w:t>“一核”，</w:t>
      </w:r>
      <w:r>
        <w:rPr>
          <w:rFonts w:hint="eastAsia" w:ascii="方正仿宋_GBK" w:hAnsi="方正仿宋_GBK" w:eastAsia="方正仿宋_GBK" w:cs="方正仿宋_GBK"/>
          <w:sz w:val="32"/>
          <w:szCs w:val="32"/>
        </w:rPr>
        <w:t>即黔江区水安全保障发展以建设渔滩水库为核心，在城市峡库区内打造长3.5km，最大宽210m的城市生态景观水体，助推打造“世界罕见、国内唯一”的“中国清新清凉峡谷城”。工程建设极大改善了水体水环境，凸显集“峡、江、山、水、城”于一体，同时有效提升中心城区、阿蓬江“一江四岸”景区的防洪标准，为黔江区高质量发展、高品质生活提供坚实的水安全保障；</w:t>
      </w:r>
      <w:r>
        <w:rPr>
          <w:rFonts w:hint="eastAsia" w:ascii="方正仿宋_GBK" w:hAnsi="方正仿宋_GBK" w:eastAsia="方正仿宋_GBK" w:cs="方正仿宋_GBK"/>
          <w:b/>
          <w:bCs/>
          <w:sz w:val="32"/>
          <w:szCs w:val="32"/>
        </w:rPr>
        <w:t>“三带”，</w:t>
      </w:r>
      <w:r>
        <w:rPr>
          <w:rFonts w:hint="eastAsia" w:ascii="方正仿宋_GBK" w:hAnsi="方正仿宋_GBK" w:eastAsia="方正仿宋_GBK" w:cs="方正仿宋_GBK"/>
          <w:sz w:val="32"/>
          <w:szCs w:val="32"/>
        </w:rPr>
        <w:t>即以阿蓬江流域带、郁江流域带、诸佛江流域带三带为重点，通过重保护、强修复推动黔江区幸福河湖建设，实施生态保护与修复工程，坚持生态保护与文化产业互融互促，形成以三条流域带为核心的生态景观廊道，持续保障人民群众的防洪安全、供水安全和生态健康。</w:t>
      </w:r>
      <w:r>
        <w:rPr>
          <w:rFonts w:hint="eastAsia" w:ascii="方正仿宋_GBK" w:hAnsi="方正仿宋_GBK" w:eastAsia="方正仿宋_GBK" w:cs="方正仿宋_GBK"/>
          <w:b/>
          <w:bCs/>
          <w:sz w:val="32"/>
          <w:szCs w:val="32"/>
        </w:rPr>
        <w:t>“四体系、多节点”，</w:t>
      </w:r>
      <w:r>
        <w:rPr>
          <w:rFonts w:hint="eastAsia" w:ascii="方正仿宋_GBK" w:hAnsi="方正仿宋_GBK" w:eastAsia="方正仿宋_GBK" w:cs="方正仿宋_GBK"/>
          <w:sz w:val="32"/>
          <w:szCs w:val="32"/>
        </w:rPr>
        <w:t>即以防洪保安体系、城乡供水保障体系、水生态文明建设体系及智慧水利体系四大体系建设为抓手，统筹开展水源工程建设、中小河流治理、水系连通及水美乡村建设试点、水土保持、水生态修复、水环境治理、河长制建设、智慧水利系统建设等，同时对接渝南水资源配置网络建设，推进乡镇骨干水源建设以及大中型水库前期论证和建设，最终实现大中型水源工程为主、小型水源工程为辅，因地制宜、覆盖全面的多节点水资源保障体系。</w:t>
      </w:r>
    </w:p>
    <w:p>
      <w:pPr>
        <w:spacing w:line="594" w:lineRule="exact"/>
        <w:jc w:val="center"/>
        <w:rPr>
          <w:rFonts w:hint="eastAsia" w:ascii="方正楷体_GBK" w:hAnsi="方正楷体_GBK" w:eastAsia="方正楷体_GBK" w:cs="方正楷体_GBK"/>
          <w:spacing w:val="6"/>
          <w:sz w:val="32"/>
          <w:szCs w:val="32"/>
        </w:rPr>
      </w:pPr>
    </w:p>
    <w:p>
      <w:pPr>
        <w:spacing w:line="594" w:lineRule="exact"/>
        <w:jc w:val="center"/>
        <w:rPr>
          <w:rFonts w:hint="eastAsia" w:ascii="方正楷体_GBK" w:hAnsi="方正楷体_GBK" w:eastAsia="方正楷体_GBK" w:cs="方正楷体_GBK"/>
          <w:spacing w:val="6"/>
          <w:sz w:val="32"/>
          <w:szCs w:val="32"/>
        </w:rPr>
      </w:pPr>
      <w:r>
        <w:rPr>
          <w:rFonts w:hint="eastAsia" w:ascii="方正楷体_GBK" w:hAnsi="方正楷体_GBK" w:eastAsia="方正楷体_GBK" w:cs="方正楷体_GBK"/>
          <w:spacing w:val="6"/>
          <w:sz w:val="32"/>
          <w:szCs w:val="32"/>
        </w:rPr>
        <w:t>第五节  主要任务</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一、加快推进一批重点水源及配套工程建设，并与渝南水资源配置相衔接，提升江河湖库互联互通水平，优化区域水资源配置，解决工程性缺水问题。</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通过工程措施和布局优化，实现城乡供水一体化，提升城市和重点城镇应急备用和多水源供给能力依托现有水厂管网、改造老旧水厂和供水管网、新建规模化供水工程、新建小型集中供水、分散供水工程等方式，全面优化城乡供水格局。</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三、开展防洪减灾能力建设，实施一批河道综合治理工程，推进河湖连通工程及中小河流治理、山洪灾害防治，完善流域超标洪水防御方案和重要江河洪水风险图编制，全面消除现有病险水库安全隐患。</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全面完成节水型社会建设，结合黔江水量分配方案、县域节水型社会达标建设等，加大工业、城镇生活和农业灌溉等领域的节水力度，鼓励非常规水源利用，推动用水方式由粗放利用向节约集约利用的根本性转变。</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五、实施黔江区水系连通及水美乡村建设试点项目建设，推动河库水系连通，开展河流生态保护修复，加大水土流失治理力度，改善河湖水体水质，恢复河库生态系统及功能。</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六、构建黔江智慧水利项目，涵盖实时监测、运行分析、日常操作规程、巡检养护、厂站网一体化调度、绩效考核等业务的示范平台建设，显著提升水利信息化水平。</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七、创新水利投融资体制，加强人才队伍建设，深化水利“放管服”改革，探索水权水价市场改革，提升水利管理现代化水平。</w:t>
      </w:r>
    </w:p>
    <w:p>
      <w:pPr>
        <w:spacing w:line="594" w:lineRule="exact"/>
        <w:ind w:firstLine="560"/>
        <w:rPr>
          <w:rFonts w:hint="eastAsia" w:ascii="方正仿宋_GBK" w:hAnsi="方正仿宋_GBK" w:eastAsia="方正仿宋_GBK" w:cs="方正仿宋_GBK"/>
          <w:sz w:val="32"/>
          <w:szCs w:val="32"/>
        </w:rPr>
      </w:pPr>
    </w:p>
    <w:p>
      <w:pPr>
        <w:pStyle w:val="54"/>
        <w:spacing w:before="0" w:after="0" w:line="594" w:lineRule="exact"/>
        <w:ind w:left="0" w:firstLine="0"/>
        <w:jc w:val="center"/>
        <w:rPr>
          <w:rFonts w:hint="eastAsia" w:ascii="方正黑体_GBK" w:hAnsi="方正黑体_GBK" w:eastAsia="方正黑体_GBK" w:cs="方正黑体_GBK"/>
          <w:bCs/>
          <w:spacing w:val="6"/>
          <w:sz w:val="32"/>
          <w:szCs w:val="32"/>
        </w:rPr>
      </w:pPr>
      <w:bookmarkStart w:id="45" w:name="_Toc27642"/>
      <w:bookmarkStart w:id="46" w:name="_Toc7565"/>
      <w:bookmarkStart w:id="47" w:name="_Toc29867"/>
      <w:r>
        <w:rPr>
          <w:rFonts w:hint="eastAsia" w:ascii="方正黑体_GBK" w:hAnsi="方正黑体_GBK" w:eastAsia="方正黑体_GBK" w:cs="方正黑体_GBK"/>
          <w:bCs/>
          <w:spacing w:val="6"/>
          <w:sz w:val="32"/>
          <w:szCs w:val="32"/>
        </w:rPr>
        <w:t xml:space="preserve">第四章 </w:t>
      </w:r>
      <w:bookmarkEnd w:id="45"/>
      <w:bookmarkEnd w:id="46"/>
      <w:r>
        <w:rPr>
          <w:rFonts w:hint="eastAsia" w:ascii="方正黑体_GBK" w:hAnsi="方正黑体_GBK" w:eastAsia="方正黑体_GBK" w:cs="方正黑体_GBK"/>
          <w:bCs/>
          <w:spacing w:val="6"/>
          <w:sz w:val="32"/>
          <w:szCs w:val="32"/>
        </w:rPr>
        <w:t>消隐患防洪水，保障水旱灾害防御安全</w:t>
      </w:r>
      <w:bookmarkEnd w:id="47"/>
    </w:p>
    <w:p>
      <w:pPr>
        <w:pStyle w:val="54"/>
        <w:spacing w:before="0" w:after="0" w:line="594" w:lineRule="exact"/>
        <w:ind w:left="0" w:firstLine="0"/>
        <w:jc w:val="center"/>
        <w:rPr>
          <w:rFonts w:hint="eastAsia" w:ascii="方正仿宋_GBK" w:hAnsi="方正仿宋_GBK" w:eastAsia="方正仿宋_GBK" w:cs="方正仿宋_GBK"/>
          <w:b/>
          <w:spacing w:val="6"/>
          <w:sz w:val="32"/>
          <w:szCs w:val="32"/>
        </w:rPr>
      </w:pPr>
    </w:p>
    <w:p>
      <w:pPr>
        <w:spacing w:line="594" w:lineRule="exact"/>
        <w:ind w:firstLine="560"/>
        <w:rPr>
          <w:rFonts w:hint="eastAsia" w:ascii="方正仿宋_GBK" w:hAnsi="方正仿宋_GBK" w:eastAsia="方正仿宋_GBK" w:cs="方正仿宋_GBK"/>
          <w:sz w:val="32"/>
          <w:szCs w:val="32"/>
        </w:rPr>
      </w:pPr>
      <w:bookmarkStart w:id="48" w:name="_Toc11419"/>
      <w:bookmarkStart w:id="49" w:name="_Toc13121"/>
      <w:r>
        <w:rPr>
          <w:rFonts w:hint="eastAsia" w:ascii="方正仿宋_GBK" w:hAnsi="方正仿宋_GBK" w:eastAsia="方正仿宋_GBK" w:cs="方正仿宋_GBK"/>
          <w:sz w:val="32"/>
          <w:szCs w:val="32"/>
        </w:rPr>
        <w:t>遵循“两个坚持、三个转变”的防灾减灾新理念，按照“消隐患，强弱项”的思路，工程措施和非工程措施结合，提升洪灾防御能力，确保阿蓬江、郁江、诸佛江和已建水库防洪安全，努力保证中小河流和小型水库安全度汛，着力解决我区工业园区建成区、乡镇政府所在地和人口集聚重点区的防洪问题，切实保障人民群众生命财产安全。通过新建或改造防洪护岸工程、河道清淤疏浚、生态护坡等措施，确保河道行洪畅通。以防为主，防治结合，开展山洪灾害防治工作，加强易灾地区监测预警系统建设，加大山洪治理投入力度，综合非工程措施和工程措施，提高山洪灾害防御能力。扎实做好水库大坝（水闸）病险问题鉴定及复核工作，分类实施病险水库（水闸）除险加固。</w:t>
      </w:r>
    </w:p>
    <w:p>
      <w:pPr>
        <w:spacing w:line="594" w:lineRule="exact"/>
        <w:ind w:firstLine="560"/>
        <w:rPr>
          <w:rFonts w:hint="eastAsia" w:ascii="方正仿宋_GBK" w:hAnsi="方正仿宋_GBK" w:eastAsia="方正仿宋_GBK" w:cs="方正仿宋_GBK"/>
          <w:sz w:val="32"/>
          <w:szCs w:val="32"/>
        </w:rPr>
      </w:pPr>
    </w:p>
    <w:bookmarkEnd w:id="48"/>
    <w:bookmarkEnd w:id="49"/>
    <w:p>
      <w:pPr>
        <w:spacing w:line="594" w:lineRule="exact"/>
        <w:jc w:val="center"/>
        <w:rPr>
          <w:rFonts w:hint="eastAsia" w:ascii="方正楷体_GBK" w:hAnsi="方正楷体_GBK" w:eastAsia="方正楷体_GBK" w:cs="方正楷体_GBK"/>
          <w:spacing w:val="6"/>
          <w:sz w:val="32"/>
          <w:szCs w:val="32"/>
        </w:rPr>
      </w:pPr>
      <w:r>
        <w:rPr>
          <w:rFonts w:hint="eastAsia" w:ascii="方正楷体_GBK" w:hAnsi="方正楷体_GBK" w:eastAsia="方正楷体_GBK" w:cs="方正楷体_GBK"/>
          <w:spacing w:val="6"/>
          <w:sz w:val="32"/>
          <w:szCs w:val="32"/>
        </w:rPr>
        <w:t>第一节  消除防洪工程安全隐患，强化防洪排涝能力建设</w:t>
      </w:r>
    </w:p>
    <w:p>
      <w:pPr>
        <w:spacing w:line="594" w:lineRule="exact"/>
        <w:ind w:firstLine="640" w:firstLineChars="200"/>
        <w:rPr>
          <w:rFonts w:hint="eastAsia" w:ascii="方正仿宋_GBK" w:hAnsi="方正仿宋_GBK" w:eastAsia="方正仿宋_GBK" w:cs="方正仿宋_GBK"/>
          <w:sz w:val="32"/>
          <w:szCs w:val="32"/>
        </w:rPr>
      </w:pPr>
      <w:bookmarkStart w:id="50" w:name="_Toc453600873"/>
      <w:r>
        <w:rPr>
          <w:rFonts w:hint="eastAsia" w:ascii="方正仿宋_GBK" w:hAnsi="方正仿宋_GBK" w:eastAsia="方正仿宋_GBK" w:cs="方正仿宋_GBK"/>
          <w:sz w:val="32"/>
          <w:szCs w:val="32"/>
        </w:rPr>
        <w:t>根据黔江区河流流域洪水特点以及各乡镇及工业园区对于防洪能力的要求，防洪能力提升以堤防护岸、综合治理等工程措施和非工程措施相结合的方式，坚持以防为主，开展江河堤防、水库、电站等工程设施隐患排查和安全鉴定，实施病险水库整治、电站、水闸工程除险加固等工作，全面消除安全隐患。</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一、加快推进中小河流综合治理</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以保护人口集中的城镇、企业、乡村密集区为重点，通过建设防洪护岸、堤防以及清障清淤等措施，使防洪问题突出的河段基本达到防洪标准，完善防洪减灾体系，解决防洪安全保障问题。</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四五”期间规划对阿蓬江濯水镇段、冯家街道段、舟白街道段3处干流河段以及太极河、袁溪河、石会河、黔江河、中井河等5条中小河流开展综合治理工程，涉及城南街道、城西街道、冯家街道、舟白街道、濯水镇、太极乡、金溪镇、白土乡等16个乡镇，共计综合治理河道长度140km，保护土地10899亩。</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二、开展城区防洪排涝提升工程</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黔江区中心城区依山而建，山洪灾害突出，人水争地矛盾突出，防洪排涝问题十分紧迫。随着经济社会的发展，黔江区中心城区城市人口和经济要素都将更加富集，结合城市防洪能力全线提标的趋势，黔江区拟开展防洪排涝提升工程。规划投资5000万元，通过拆除重建堤防1.0km、加固堤防长度4.0km，完成黔江区城市防洪排涝能力提升。</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三、加强山洪灾害防治</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按照以防为主，防治结合的方式，在山洪灾害频发地区建成以非工程措施与工程措施相结合的防灾减灾体系，结合无线预警广播升级和群测群防体系建设等非工程措施与山洪沟治理等工程措施，完善山洪灾害综合防治体系，建立健全的山洪灾害安全监测预警系统。规划投资2500万元。</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四、推进防洪水库前期工作，持续推进病险水库除险加固</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结合水源工程建设，推进防洪水库渔滩水库的前期工作。通过水库调蓄洪水作用，将中心城区冯家街道、冯家街道至阿蓬江镇阿蓬江“一江两岸”最美乡村旅游示范带沿线濯水景区、爱莉丝庄园、规划官村家国田园等4A、5A级景区带的防洪能力提高到50年一遇。规划在“十四五”期间对黔江区存在病险隐患的各类型水库开展鉴定和除险加固工作。规划投资3000万元，用于黔江区区内中型水库、小型水库、水文设施、农村饮水安全工程及其他水利工程维修养护、应急水毁专项工程储备资金及防洪工程5年提升计划专项储备资金。</w:t>
      </w:r>
    </w:p>
    <w:p>
      <w:pPr>
        <w:keepNext/>
        <w:spacing w:line="594" w:lineRule="exact"/>
        <w:ind w:firstLine="560"/>
        <w:rPr>
          <w:rFonts w:hint="eastAsia" w:ascii="方正仿宋_GBK" w:hAnsi="方正仿宋_GBK" w:eastAsia="方正仿宋_GBK" w:cs="方正仿宋_GBK"/>
          <w:sz w:val="32"/>
          <w:szCs w:val="32"/>
        </w:rPr>
      </w:pPr>
    </w:p>
    <w:p>
      <w:pPr>
        <w:keepNext/>
        <w:spacing w:line="594" w:lineRule="exact"/>
        <w:jc w:val="center"/>
        <w:rPr>
          <w:rFonts w:hint="eastAsia" w:ascii="方正楷体_GBK" w:hAnsi="方正楷体_GBK" w:eastAsia="方正楷体_GBK" w:cs="方正楷体_GBK"/>
          <w:spacing w:val="6"/>
          <w:sz w:val="32"/>
          <w:szCs w:val="32"/>
        </w:rPr>
      </w:pPr>
      <w:r>
        <w:rPr>
          <w:rFonts w:hint="eastAsia" w:ascii="方正楷体_GBK" w:hAnsi="方正楷体_GBK" w:eastAsia="方正楷体_GBK" w:cs="方正楷体_GBK"/>
          <w:spacing w:val="6"/>
          <w:sz w:val="32"/>
          <w:szCs w:val="32"/>
        </w:rPr>
        <w:t>第二节  提升预报应急能力，加强防洪排涝非工程建设</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结合智慧水利工程建设，运用前沿科学技术，积极提升全区洪水预报预警能力、防洪应急能力和管理水平。为防洪保安体系建设提供非工程措施保障。</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一、提升洪水预报预警能力</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结合智慧水利工程建设，整合水文监测预报技术，依托市级技术支撑，构建覆盖防洪工程的运行监控网络体系，实时获取监测数据，整合相关专业的BIM模型，创建数字模型，完成数字化模拟。全面提高洪水预报预警的精度及速度。</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二、提高防洪应急能力</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继续强化行政首长负责制，不断完善防洪防汛应急指挥体系。严格落实各类水库、堤防等工程汛期巡查防守责任。加强水库联合调度能力，提高防洪调度空间。加强洪水风险图成果应用，运用新手段、新技术、新装备武装专业应急救援队伍力量，精准部署、协调联动，提升专业应急处置能力，减少人力成本。开展各乡镇洪水风险区划和洪水灾害防治区划工作；加强和完善各乡镇山洪灾害预警群测群防体系建设，提升山洪灾害防御能力。细化制定防御超标洪水和特大洪水年度预案，加强防洪预案演练，增强居民应急避险和自救互救能力。强化全民防灾意识，开展防灾减灾知识宣传和科普教育，鼓励公众有序参与抗洪抢险，提升公众防洪应急能力，强化社会抗洪应急合力。</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三、提升洪水管理水平</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严格行洪空间管控，统筹协调经济社会发展空间与洪水防御预留空间。持续整治河湖乱占、乱采、乱建、乱堆等突出问题，严厉打击各类非法侵占河湖、影响行洪的行为。依法划定河湖水域空间，统一纳入国土空间管理，严格河道、湖泊管理范围内非防洪建设项目洪水影响评价，严格建设项目准入，避免新增影响防洪的重大安全风险。</w:t>
      </w:r>
    </w:p>
    <w:p>
      <w:pPr>
        <w:keepNext/>
        <w:spacing w:line="594" w:lineRule="exact"/>
        <w:ind w:firstLine="561"/>
        <w:rPr>
          <w:rFonts w:hint="eastAsia" w:ascii="方正仿宋_GBK" w:hAnsi="方正仿宋_GBK" w:eastAsia="方正仿宋_GBK" w:cs="方正仿宋_GBK"/>
          <w:sz w:val="32"/>
          <w:szCs w:val="32"/>
        </w:rPr>
      </w:pPr>
    </w:p>
    <w:p>
      <w:pPr>
        <w:keepNext/>
        <w:wordWrap w:val="0"/>
        <w:snapToGrid w:val="0"/>
        <w:jc w:val="center"/>
        <w:outlineLvl w:val="1"/>
        <w:rPr>
          <w:rFonts w:hint="eastAsia" w:ascii="方正黑体_GBK" w:hAnsi="方正黑体_GBK" w:eastAsia="方正黑体_GBK" w:cs="方正黑体_GBK"/>
          <w:sz w:val="32"/>
          <w:szCs w:val="32"/>
        </w:rPr>
      </w:pPr>
      <w:bookmarkStart w:id="51" w:name="_Toc24353"/>
      <w:bookmarkStart w:id="52" w:name="_Toc5371"/>
      <w:bookmarkStart w:id="53" w:name="_Toc14994"/>
      <w:r>
        <w:rPr>
          <w:rFonts w:hint="eastAsia" w:ascii="方正黑体_GBK" w:hAnsi="方正黑体_GBK" w:eastAsia="方正黑体_GBK" w:cs="方正黑体_GBK"/>
          <w:sz w:val="32"/>
          <w:szCs w:val="32"/>
        </w:rPr>
        <w:t>专栏1 防洪保安体系建设任务</w:t>
      </w:r>
      <w:bookmarkEnd w:id="51"/>
      <w:bookmarkEnd w:id="52"/>
      <w:bookmarkEnd w:id="53"/>
    </w:p>
    <w:p>
      <w:pPr>
        <w:keepNext/>
        <w:pBdr>
          <w:top w:val="single" w:color="auto" w:sz="6" w:space="1"/>
          <w:left w:val="single" w:color="auto" w:sz="6" w:space="4"/>
          <w:bottom w:val="single" w:color="auto" w:sz="6" w:space="1"/>
          <w:right w:val="single" w:color="auto" w:sz="6" w:space="4"/>
        </w:pBdr>
        <w:wordWrap w:val="0"/>
        <w:snapToGrid w:val="0"/>
        <w:spacing w:line="520" w:lineRule="exact"/>
        <w:ind w:left="63" w:leftChars="30" w:right="63" w:rightChars="30" w:firstLine="482"/>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——全面开展8项重点河流综合治理工程，涉及阿蓬江濯水镇段、冯家街道段、舟白街道段以及太极河、袁溪河、石会河、黔江河、中井河5条重点河流。</w:t>
      </w:r>
    </w:p>
    <w:p>
      <w:pPr>
        <w:keepNext/>
        <w:pBdr>
          <w:top w:val="single" w:color="auto" w:sz="6" w:space="1"/>
          <w:left w:val="single" w:color="auto" w:sz="6" w:space="4"/>
          <w:bottom w:val="single" w:color="auto" w:sz="6" w:space="1"/>
          <w:right w:val="single" w:color="auto" w:sz="6" w:space="4"/>
        </w:pBdr>
        <w:wordWrap w:val="0"/>
        <w:snapToGrid w:val="0"/>
        <w:spacing w:line="520" w:lineRule="exact"/>
        <w:ind w:left="63" w:leftChars="30" w:right="63" w:rightChars="30" w:firstLine="482"/>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——推进防洪水库渔滩水库的前期工作，对黔江区存在病险隐患的各类型水库开展鉴定和除险加固工作。进行中型水库、小型水库、水文设施、农村饮水安全工程及其他水利工程维修养护。</w:t>
      </w:r>
    </w:p>
    <w:p>
      <w:pPr>
        <w:keepNext/>
        <w:pBdr>
          <w:top w:val="single" w:color="auto" w:sz="6" w:space="1"/>
          <w:left w:val="single" w:color="auto" w:sz="6" w:space="4"/>
          <w:bottom w:val="single" w:color="auto" w:sz="6" w:space="1"/>
          <w:right w:val="single" w:color="auto" w:sz="6" w:space="4"/>
        </w:pBdr>
        <w:wordWrap w:val="0"/>
        <w:snapToGrid w:val="0"/>
        <w:spacing w:line="520" w:lineRule="exact"/>
        <w:ind w:left="63" w:leftChars="30" w:right="63" w:rightChars="30" w:firstLine="482"/>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——完成黔江城区防洪排涝工程，拆除重建堤防1km、加固堤防长度4km。</w:t>
      </w:r>
    </w:p>
    <w:p>
      <w:pPr>
        <w:keepNext/>
        <w:pBdr>
          <w:top w:val="single" w:color="auto" w:sz="6" w:space="1"/>
          <w:left w:val="single" w:color="auto" w:sz="6" w:space="4"/>
          <w:bottom w:val="single" w:color="auto" w:sz="6" w:space="1"/>
          <w:right w:val="single" w:color="auto" w:sz="6" w:space="4"/>
        </w:pBdr>
        <w:wordWrap w:val="0"/>
        <w:snapToGrid w:val="0"/>
        <w:spacing w:line="520" w:lineRule="exact"/>
        <w:ind w:left="63" w:leftChars="30" w:right="63" w:rightChars="30" w:firstLine="482"/>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——编制各乡镇洪水风险图，实现洪水威胁区全覆盖。建立洪水风险图更新机制。以城区、重点区为重点，完成超防洪工程设计洪水标准的防</w:t>
      </w:r>
    </w:p>
    <w:p>
      <w:pPr>
        <w:keepNext/>
        <w:pBdr>
          <w:top w:val="single" w:color="auto" w:sz="6" w:space="1"/>
          <w:left w:val="single" w:color="auto" w:sz="6" w:space="4"/>
          <w:bottom w:val="single" w:color="auto" w:sz="6" w:space="1"/>
          <w:right w:val="single" w:color="auto" w:sz="6" w:space="4"/>
        </w:pBdr>
        <w:wordWrap w:val="0"/>
        <w:snapToGrid w:val="0"/>
        <w:spacing w:line="520" w:lineRule="exact"/>
        <w:ind w:left="63" w:leftChars="30" w:right="63" w:rightChars="30"/>
        <w:rPr>
          <w:rFonts w:hint="eastAsia" w:ascii="方正仿宋_GBK" w:hAnsi="方正仿宋_GBK" w:eastAsia="方正仿宋_GBK" w:cs="方正仿宋_GBK"/>
          <w:sz w:val="28"/>
          <w:szCs w:val="28"/>
        </w:rPr>
      </w:pPr>
    </w:p>
    <w:p>
      <w:pPr>
        <w:keepNext/>
        <w:pBdr>
          <w:top w:val="single" w:color="auto" w:sz="6" w:space="1"/>
          <w:left w:val="single" w:color="auto" w:sz="6" w:space="4"/>
          <w:bottom w:val="single" w:color="auto" w:sz="6" w:space="1"/>
          <w:right w:val="single" w:color="auto" w:sz="6" w:space="4"/>
        </w:pBdr>
        <w:wordWrap w:val="0"/>
        <w:snapToGrid w:val="0"/>
        <w:spacing w:line="520" w:lineRule="exact"/>
        <w:ind w:left="63" w:leftChars="30" w:right="63" w:rightChars="3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御预案，持续整治河湖“四乱”；依法划定河湖水域空间；规范蓄洪水库、行洪河道经济社会活动。</w:t>
      </w:r>
    </w:p>
    <w:p>
      <w:pPr>
        <w:keepNext/>
        <w:pBdr>
          <w:top w:val="single" w:color="auto" w:sz="6" w:space="1"/>
          <w:left w:val="single" w:color="auto" w:sz="6" w:space="4"/>
          <w:bottom w:val="single" w:color="auto" w:sz="6" w:space="1"/>
          <w:right w:val="single" w:color="auto" w:sz="6" w:space="4"/>
        </w:pBdr>
        <w:wordWrap w:val="0"/>
        <w:snapToGrid w:val="0"/>
        <w:spacing w:line="520" w:lineRule="exact"/>
        <w:ind w:left="63" w:leftChars="30" w:right="63" w:rightChars="30" w:firstLine="482"/>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——完善无线预警广播升级、群测群防体系建设，结合山洪沟治理等工程健全山洪灾害防治体系。</w:t>
      </w:r>
    </w:p>
    <w:p>
      <w:pPr>
        <w:pStyle w:val="54"/>
        <w:keepNext/>
        <w:spacing w:before="0" w:after="0" w:line="400" w:lineRule="exact"/>
        <w:ind w:left="0" w:firstLine="0"/>
        <w:jc w:val="center"/>
        <w:outlineLvl w:val="9"/>
        <w:rPr>
          <w:rFonts w:ascii="方正仿宋_GBK" w:eastAsia="方正仿宋_GBK"/>
          <w:b/>
          <w:spacing w:val="6"/>
          <w:szCs w:val="36"/>
        </w:rPr>
      </w:pPr>
    </w:p>
    <w:p>
      <w:pPr>
        <w:pStyle w:val="54"/>
        <w:keepNext/>
        <w:spacing w:before="0" w:after="0" w:line="594" w:lineRule="exact"/>
        <w:ind w:left="0" w:firstLine="0"/>
        <w:jc w:val="center"/>
        <w:rPr>
          <w:rFonts w:hint="eastAsia" w:ascii="方正黑体_GBK" w:hAnsi="方正黑体_GBK" w:eastAsia="方正黑体_GBK" w:cs="方正黑体_GBK"/>
          <w:bCs/>
          <w:spacing w:val="6"/>
          <w:sz w:val="32"/>
          <w:szCs w:val="32"/>
        </w:rPr>
      </w:pPr>
      <w:bookmarkStart w:id="54" w:name="_Toc22399"/>
      <w:r>
        <w:rPr>
          <w:rFonts w:hint="eastAsia" w:ascii="方正黑体_GBK" w:hAnsi="方正黑体_GBK" w:eastAsia="方正黑体_GBK" w:cs="方正黑体_GBK"/>
          <w:bCs/>
          <w:spacing w:val="6"/>
          <w:sz w:val="32"/>
          <w:szCs w:val="32"/>
        </w:rPr>
        <w:t>第五章 抓节水保供水，保障供水安全</w:t>
      </w:r>
      <w:bookmarkEnd w:id="54"/>
    </w:p>
    <w:p>
      <w:pPr>
        <w:keepNext/>
        <w:spacing w:line="594" w:lineRule="exact"/>
        <w:ind w:firstLine="560"/>
        <w:rPr>
          <w:rFonts w:hint="eastAsia" w:ascii="方正仿宋_GBK" w:hAnsi="方正仿宋_GBK" w:eastAsia="方正仿宋_GBK" w:cs="方正仿宋_GBK"/>
          <w:sz w:val="32"/>
          <w:szCs w:val="32"/>
        </w:rPr>
      </w:pP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按照“确有需要、生态安全、可以持续”的原则，对接渝南水资源配置网络建设，推进乡镇骨干水源建设以及大中型水库前期论证和建设，最终实现大中型水源工程为主、小型水源工程为辅，因地制宜、覆盖全面的多节点水安全保障体系。着力解决黔江区工程性缺水短板问题。从“底线思维”出发，考虑水资源承载能力，统筹协调生活、生产、生态用水，强化短板意识。全面规划、合理布局，做到不留短板，行稳致远。坚持节水优先，在充分利用已有水源工程的基础上，通过在具备建设条件且生态环境影响可以接受的地区建设一批骨干水源工程，补齐补足供水水源短板，实现城市供水和工业发展用水多水源保障。实现乡镇均有骨干水源工程，切实提升城乡水资源保障能力。</w:t>
      </w:r>
    </w:p>
    <w:p>
      <w:pPr>
        <w:keepNext/>
        <w:spacing w:line="594" w:lineRule="exact"/>
        <w:ind w:firstLine="560"/>
        <w:rPr>
          <w:rFonts w:hint="eastAsia" w:ascii="方正仿宋_GBK" w:hAnsi="方正仿宋_GBK" w:eastAsia="方正仿宋_GBK" w:cs="方正仿宋_GBK"/>
          <w:sz w:val="32"/>
          <w:szCs w:val="32"/>
        </w:rPr>
      </w:pPr>
    </w:p>
    <w:bookmarkEnd w:id="50"/>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55" w:name="_Toc20044"/>
      <w:r>
        <w:rPr>
          <w:rFonts w:hint="eastAsia" w:ascii="方正楷体_GBK" w:hAnsi="方正楷体_GBK" w:eastAsia="方正楷体_GBK" w:cs="方正楷体_GBK"/>
          <w:b w:val="0"/>
          <w:bCs/>
          <w:spacing w:val="6"/>
          <w:szCs w:val="32"/>
        </w:rPr>
        <w:t>第一节  加强重点领域节水，完成节水型社会建设</w:t>
      </w:r>
      <w:bookmarkEnd w:id="55"/>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坚持节水优先，强化指标刚性约束，严格实行区域流域用水总量和强度控制，健全市、区县两级级行政区域用水总量、用水强度控制指标体系；逐步建立先进用水定额体系。严格用水全过程管理，严控水资源开发利用强度，完善规划和建设项目水资源论证制度；加强对重点用水户、特殊用水行业用水户的监督管理。坚持以水定城、以水定地、以水定人、以水定产，以水定需、因水制宜、量水而行，把水资源作为经济社会发展的最大刚性约束。</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全面开展节水型社会达标建设，预计2021年底完成节水型社会建设达标验收。加大农业节水、工业、生活和服务业节水力度，鼓励非常规水源利用。实现用水效率和效益显著提高，全社会节水意识明显增强。全面提升水资源利用效率和效益。</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农业节水。以黔江区骨干水源工程如罗家堡水库、太极水库、瓦窑堡水库的续建工程及茶园水库、陈家寨水库、甘溪水库、高坪水库、黄桥水库、早化水库及关里水库等中小型水源工程配套灌溉渠系建设为主，加大骨干渠系配套改造力度，提高渠系水利用系数，加快实施节水减排工程，完善用水计量设施，实现灌溉“旱能灌、涝能排”和“少灌水、高利用、低排放”，提升节水灌溉水平，促进农田水利基础设施与现代农业发展布局相协调。</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工业节水。严格实行总量控制和定额管理，以水资源供需矛盾突出及水污染严重的地区和高耗水行业为重点，加大结构调整和技术改造力度，全面提升工业节水水平。对工业园区内企业实施节水改造，节水型企业建成率不低于40%，城市再生水利用率大于15%。</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城镇生活节水。通过强化生活与服务业用水管理，加强城市供水管网改造，进一步推广节水设施和器具，提高城市生活用水效率。对区级机关及直属事业单位进行节水改造，城镇公共供水管网漏损率低于10%，新建小区及公共场所节水器具普及率100%，服务业节水水平全面上升，区级机关和区级公共机构全面建成节水型单位。</w:t>
      </w:r>
    </w:p>
    <w:p>
      <w:pPr>
        <w:spacing w:line="594" w:lineRule="exact"/>
        <w:ind w:firstLine="560"/>
        <w:rPr>
          <w:rFonts w:hint="eastAsia" w:ascii="方正仿宋_GBK" w:hAnsi="方正仿宋_GBK" w:eastAsia="方正仿宋_GBK" w:cs="方正仿宋_GBK"/>
          <w:sz w:val="32"/>
          <w:szCs w:val="32"/>
        </w:rPr>
      </w:pPr>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56" w:name="_Toc29899"/>
      <w:r>
        <w:rPr>
          <w:rFonts w:hint="eastAsia" w:ascii="方正楷体_GBK" w:hAnsi="方正楷体_GBK" w:eastAsia="方正楷体_GBK" w:cs="方正楷体_GBK"/>
          <w:b w:val="0"/>
          <w:bCs/>
          <w:spacing w:val="6"/>
          <w:szCs w:val="32"/>
        </w:rPr>
        <w:t>第二节  提升供水保障能力，建设重点水源工程</w:t>
      </w:r>
      <w:bookmarkEnd w:id="56"/>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黔江区“十四五”期间规划开展渔滩水库、嘉禾水库前期工作；续建罗家堡水库、太极水库、瓦窑堡水库等3座中小型水源工程，尽快发挥水源工程效益；开工建设茶园水库、陈家寨水库、甘溪水库、高坪水库、黄桥水库、早化水库及关里水库等7座水库小型水库，结合乡村振兴战略和重庆市农村供水“一改三提”实施方案对于灌溉和供水提标改造的需求，补齐黔江区部分区域工程缺水短板。同时根据实际建设条件和当地需求，储备一批建设条件好、功能性强、效益明显的优质水源项目。</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在生态较为脆弱地区，通过控制性的建设当地蓄引提水工程，形成以塘库为主，蓄引提互济的供水格局。黔江区“十四五”期间规划续建改造深溪河引水工程，总投资6000万元，预计年引提调水量1080万m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；规划实施杨家坳抗旱应急引提水工程、水田抗旱应急引提水工程、水市抗旱应急引提水工程3处应急引提水工程，涉及新华乡、太极乡、石家镇、水田乡、水市乡等5个乡镇，预计年引提调水量221万m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，规划总投资7860万元。</w:t>
      </w:r>
    </w:p>
    <w:p>
      <w:pPr>
        <w:spacing w:line="594" w:lineRule="exact"/>
        <w:ind w:firstLine="560"/>
        <w:rPr>
          <w:rFonts w:hint="eastAsia" w:ascii="方正仿宋_GBK" w:hAnsi="方正仿宋_GBK" w:eastAsia="方正仿宋_GBK" w:cs="方正仿宋_GBK"/>
          <w:sz w:val="32"/>
          <w:szCs w:val="32"/>
        </w:rPr>
      </w:pPr>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57" w:name="_Toc20173"/>
      <w:r>
        <w:rPr>
          <w:rFonts w:hint="eastAsia" w:ascii="方正楷体_GBK" w:hAnsi="方正楷体_GBK" w:eastAsia="方正楷体_GBK" w:cs="方正楷体_GBK"/>
          <w:b w:val="0"/>
          <w:bCs/>
          <w:spacing w:val="6"/>
          <w:szCs w:val="32"/>
        </w:rPr>
        <w:t>第三节  加快现代水网布局，构建城乡一体化供水格局</w:t>
      </w:r>
      <w:bookmarkEnd w:id="57"/>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坚持“规模化发展、标准化建设、专业化管理、市场化运营”的发展方向和“水源保障、设施配套、供水入户、管护长效”的建设模式，打破城乡和镇村行政区划界限，在现有供水网络的基础上，高标准建设农村供水保障体系，加快推进城乡供水一体化。以提高城乡居民供水保证率和水质达标率为目标，通过依托现有水厂管网、改造老旧水厂和供水管网、新建规模化供水工程、新建小型集中供水、分散供水工程等方式，全面优化城乡供水格局。</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按城乡区域协调发展和乡村振兴战略部署，聚焦农村民生改善，按照市水利局提出的农村饮水安全“一改三提”行动的要求，并结合我区实际，重点实施“三个一批”工程。建设黔江区城乡供水一体化工程，新增日供水能力1000-3000t的标准化水厂5座，新建山坪塘、提水泵站、引水管道等水源工程13处、巩固提升规模化及乡镇供水工程24座，实施三元宫水厂、正阳水厂、白家湾水厂及舟白水厂等城区水厂供水管网延伸工程，实施城乡供水一体化自动监控系统1处。日新增供水能力1万方，新增日引水能力5万方。规划总投资34072.8万元。</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农村规模化供水工程主要以管网延伸改造为主，包括濯水水厂、太极水厂和新华水厂。其主要建设内容是：新建取水工程1处，新建输配水管网长度344km，新建水质化验室3处，新建自动化监控系统3处。</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黔江区标准化小型集中供水工程主要以新建和改造为主，其中新建乡镇水厂5处，乡镇水厂改造20处，村级集中供水工程管网更新改造35处，共计60处供水工程，其主要建设内容是：</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一、5个新建水厂工程的主要建设内容是：新建水厂5处（黑溪水厂、鹅池水厂、金洞水厂、黄溪水厂、石郎水厂），新建取水工程4处，输配水管网长度420km；</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二、20个乡镇水厂改造工程的主要建设内容是：新建取水工程6处，新建输配水管网长度1028km；</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三、35处村级集中供水工程改造的主要建设内容是：新建输配水管网长度1283km。</w:t>
      </w:r>
      <w:bookmarkStart w:id="58" w:name="_Toc11252"/>
      <w:bookmarkStart w:id="59" w:name="_Toc1790"/>
    </w:p>
    <w:p>
      <w:pPr>
        <w:keepNext/>
        <w:spacing w:line="594" w:lineRule="exact"/>
        <w:ind w:firstLine="640" w:firstLineChars="200"/>
        <w:rPr>
          <w:rFonts w:hint="eastAsia" w:ascii="方正仿宋_GBK" w:hAnsi="方正仿宋_GBK" w:eastAsia="方正仿宋_GBK" w:cs="方正仿宋_GBK"/>
          <w:sz w:val="32"/>
          <w:szCs w:val="32"/>
        </w:rPr>
      </w:pPr>
    </w:p>
    <w:p>
      <w:pPr>
        <w:keepNext/>
        <w:spacing w:line="500" w:lineRule="exact"/>
        <w:jc w:val="center"/>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专栏2 城乡供水保障体系建设任务</w:t>
      </w:r>
    </w:p>
    <w:p>
      <w:pPr>
        <w:keepNext/>
        <w:pBdr>
          <w:top w:val="single" w:color="auto" w:sz="6" w:space="1"/>
          <w:left w:val="single" w:color="auto" w:sz="6" w:space="4"/>
          <w:bottom w:val="single" w:color="auto" w:sz="6" w:space="1"/>
          <w:right w:val="single" w:color="auto" w:sz="6" w:space="4"/>
        </w:pBdr>
        <w:snapToGrid w:val="0"/>
        <w:spacing w:line="520" w:lineRule="exact"/>
        <w:ind w:left="63" w:leftChars="30" w:right="63" w:rightChars="30" w:firstLine="482"/>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完成县域节水型社会验收，加强重点领域节水。新增高效节水灌溉面积2万亩，农业灌溉用水计量率不低于60%；节水型企业建成率不低于40%；城市再生水利用率大于15%；城镇公共供水管网漏损率低于10%，新建小区及公共场所节水器具普及率100%，全部区级机关和区级公共机构建成节水型公共机构。</w:t>
      </w:r>
    </w:p>
    <w:p>
      <w:pPr>
        <w:keepNext/>
        <w:pBdr>
          <w:top w:val="single" w:color="auto" w:sz="6" w:space="1"/>
          <w:left w:val="single" w:color="auto" w:sz="6" w:space="4"/>
          <w:bottom w:val="single" w:color="auto" w:sz="6" w:space="1"/>
          <w:right w:val="single" w:color="auto" w:sz="6" w:space="4"/>
        </w:pBdr>
        <w:wordWrap w:val="0"/>
        <w:snapToGrid w:val="0"/>
        <w:spacing w:line="520" w:lineRule="exact"/>
        <w:ind w:left="63" w:leftChars="30" w:right="63" w:rightChars="30" w:firstLine="482"/>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——开展渔滩水库前期工作，预计总投资60亿元，坝高55m，正常蓄水位447.5m，总库容11157万m</w:t>
      </w:r>
      <w:r>
        <w:rPr>
          <w:rFonts w:hint="eastAsia" w:ascii="方正仿宋_GBK" w:hAnsi="方正仿宋_GBK" w:eastAsia="方正仿宋_GBK" w:cs="方正仿宋_GBK"/>
          <w:sz w:val="28"/>
          <w:szCs w:val="28"/>
          <w:vertAlign w:val="superscript"/>
        </w:rPr>
        <w:t>3</w:t>
      </w:r>
      <w:r>
        <w:rPr>
          <w:rFonts w:hint="eastAsia" w:ascii="方正仿宋_GBK" w:hAnsi="方正仿宋_GBK" w:eastAsia="方正仿宋_GBK" w:cs="方正仿宋_GBK"/>
          <w:sz w:val="28"/>
          <w:szCs w:val="28"/>
        </w:rPr>
        <w:t>，装机110MW（比原渔滩电站、舟白电站发电总量新增58MW），年发电量2.12亿KW.h。“十四五”期间主要开展前期工作，预期投资5000万元；开展嘉禾水库前期论证工作，嘉禾水库总库容1470万m</w:t>
      </w:r>
      <w:r>
        <w:rPr>
          <w:rFonts w:hint="eastAsia" w:ascii="方正仿宋_GBK" w:hAnsi="方正仿宋_GBK" w:eastAsia="方正仿宋_GBK" w:cs="方正仿宋_GBK"/>
          <w:sz w:val="28"/>
          <w:szCs w:val="28"/>
          <w:vertAlign w:val="superscript"/>
        </w:rPr>
        <w:t>3</w:t>
      </w:r>
      <w:r>
        <w:rPr>
          <w:rFonts w:hint="eastAsia" w:ascii="方正仿宋_GBK" w:hAnsi="方正仿宋_GBK" w:eastAsia="方正仿宋_GBK" w:cs="方正仿宋_GBK"/>
          <w:sz w:val="28"/>
          <w:szCs w:val="28"/>
        </w:rPr>
        <w:t>，“十四五”期间预期投资1000万元；开展水市水库、沙坝水库、新民水库及白石水库等小型水库前期工作。</w:t>
      </w:r>
    </w:p>
    <w:p>
      <w:pPr>
        <w:keepNext/>
        <w:pBdr>
          <w:top w:val="single" w:color="auto" w:sz="6" w:space="1"/>
          <w:left w:val="single" w:color="auto" w:sz="6" w:space="4"/>
          <w:bottom w:val="single" w:color="auto" w:sz="6" w:space="1"/>
          <w:right w:val="single" w:color="auto" w:sz="6" w:space="4"/>
        </w:pBdr>
        <w:wordWrap w:val="0"/>
        <w:snapToGrid w:val="0"/>
        <w:spacing w:line="520" w:lineRule="exact"/>
        <w:ind w:left="63" w:leftChars="30" w:right="63" w:rightChars="30" w:firstLine="482"/>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——续建罗家堡水库工程、太极水库工程尾工、瓦窑堡水库工程，尽快发挥水源工程效益。</w:t>
      </w:r>
    </w:p>
    <w:p>
      <w:pPr>
        <w:keepNext/>
        <w:pBdr>
          <w:top w:val="single" w:color="auto" w:sz="6" w:space="1"/>
          <w:left w:val="single" w:color="auto" w:sz="6" w:space="4"/>
          <w:bottom w:val="single" w:color="auto" w:sz="6" w:space="1"/>
          <w:right w:val="single" w:color="auto" w:sz="6" w:space="4"/>
        </w:pBdr>
        <w:wordWrap w:val="0"/>
        <w:snapToGrid w:val="0"/>
        <w:spacing w:line="520" w:lineRule="exact"/>
        <w:ind w:left="63" w:leftChars="30" w:right="63" w:rightChars="30" w:firstLine="482"/>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——开工建设茶园水库工程以及陈家寨水库、甘溪水库、高坪水库、黄桥水库、早化水库以及关里水库等7座中小型水库工程，新增总库容1839.1万m</w:t>
      </w:r>
      <w:r>
        <w:rPr>
          <w:rFonts w:hint="eastAsia" w:ascii="方正仿宋_GBK" w:hAnsi="方正仿宋_GBK" w:eastAsia="方正仿宋_GBK" w:cs="方正仿宋_GBK"/>
          <w:sz w:val="28"/>
          <w:szCs w:val="28"/>
          <w:vertAlign w:val="superscript"/>
        </w:rPr>
        <w:t>3</w:t>
      </w:r>
      <w:r>
        <w:rPr>
          <w:rFonts w:hint="eastAsia" w:ascii="方正仿宋_GBK" w:hAnsi="方正仿宋_GBK" w:eastAsia="方正仿宋_GBK" w:cs="方正仿宋_GBK"/>
          <w:sz w:val="28"/>
          <w:szCs w:val="28"/>
        </w:rPr>
        <w:t>。</w:t>
      </w:r>
    </w:p>
    <w:p>
      <w:pPr>
        <w:keepNext/>
        <w:pBdr>
          <w:top w:val="single" w:color="auto" w:sz="6" w:space="1"/>
          <w:left w:val="single" w:color="auto" w:sz="6" w:space="4"/>
          <w:bottom w:val="single" w:color="auto" w:sz="6" w:space="1"/>
          <w:right w:val="single" w:color="auto" w:sz="6" w:space="4"/>
        </w:pBdr>
        <w:wordWrap w:val="0"/>
        <w:snapToGrid w:val="0"/>
        <w:spacing w:line="520" w:lineRule="exact"/>
        <w:ind w:left="63" w:leftChars="30" w:right="63" w:rightChars="30" w:firstLine="482"/>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——完成深溪河引水工程续建改造，年引提调水量1080万m</w:t>
      </w:r>
      <w:r>
        <w:rPr>
          <w:rFonts w:hint="eastAsia" w:ascii="方正仿宋_GBK" w:hAnsi="方正仿宋_GBK" w:eastAsia="方正仿宋_GBK" w:cs="方正仿宋_GBK"/>
          <w:sz w:val="28"/>
          <w:szCs w:val="28"/>
          <w:vertAlign w:val="superscript"/>
        </w:rPr>
        <w:t>3</w:t>
      </w:r>
      <w:r>
        <w:rPr>
          <w:rFonts w:hint="eastAsia" w:ascii="方正仿宋_GBK" w:hAnsi="方正仿宋_GBK" w:eastAsia="方正仿宋_GBK" w:cs="方正仿宋_GBK"/>
          <w:sz w:val="28"/>
          <w:szCs w:val="28"/>
        </w:rPr>
        <w:t>。实施杨家坳抗旱应急引提水工程、水田抗旱应急引提水工程、水市抗旱应急引提水工程等3处引提水工程，年引提调水量221万m</w:t>
      </w:r>
      <w:r>
        <w:rPr>
          <w:rFonts w:hint="eastAsia" w:ascii="方正仿宋_GBK" w:hAnsi="方正仿宋_GBK" w:eastAsia="方正仿宋_GBK" w:cs="方正仿宋_GBK"/>
          <w:sz w:val="28"/>
          <w:szCs w:val="28"/>
          <w:vertAlign w:val="superscript"/>
        </w:rPr>
        <w:t>3</w:t>
      </w:r>
      <w:r>
        <w:rPr>
          <w:rFonts w:hint="eastAsia" w:ascii="方正仿宋_GBK" w:hAnsi="方正仿宋_GBK" w:eastAsia="方正仿宋_GBK" w:cs="方正仿宋_GBK"/>
          <w:sz w:val="28"/>
          <w:szCs w:val="28"/>
        </w:rPr>
        <w:t>。</w:t>
      </w:r>
    </w:p>
    <w:p>
      <w:pPr>
        <w:keepNext/>
        <w:pBdr>
          <w:top w:val="single" w:color="auto" w:sz="6" w:space="1"/>
          <w:left w:val="single" w:color="auto" w:sz="6" w:space="4"/>
          <w:bottom w:val="single" w:color="auto" w:sz="6" w:space="1"/>
          <w:right w:val="single" w:color="auto" w:sz="6" w:space="4"/>
        </w:pBdr>
        <w:wordWrap w:val="0"/>
        <w:snapToGrid w:val="0"/>
        <w:spacing w:line="520" w:lineRule="exact"/>
        <w:ind w:left="63" w:leftChars="30" w:right="63" w:rightChars="30" w:firstLine="482"/>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按照“一改三提”行动要求，重点实施“三个一批”工程，其中包括黔江区城乡供水一体化工程、农村规模化供水工程3项以及标准化小型集中供水工程60项。全区合计新建、改建管网配套3155km，受益人口36.8万人。</w:t>
      </w:r>
    </w:p>
    <w:p>
      <w:pPr>
        <w:pStyle w:val="54"/>
        <w:spacing w:before="0" w:after="0" w:line="400" w:lineRule="exact"/>
        <w:ind w:left="0" w:firstLine="0"/>
        <w:jc w:val="center"/>
        <w:outlineLvl w:val="9"/>
        <w:rPr>
          <w:rFonts w:ascii="方正仿宋_GBK" w:eastAsia="方正仿宋_GBK"/>
          <w:b/>
          <w:spacing w:val="6"/>
          <w:sz w:val="24"/>
          <w:szCs w:val="24"/>
        </w:rPr>
      </w:pPr>
    </w:p>
    <w:bookmarkEnd w:id="58"/>
    <w:bookmarkEnd w:id="59"/>
    <w:p>
      <w:pPr>
        <w:pStyle w:val="54"/>
        <w:spacing w:before="0" w:after="0" w:line="594" w:lineRule="exact"/>
        <w:ind w:left="0" w:firstLine="0"/>
        <w:jc w:val="center"/>
        <w:rPr>
          <w:rFonts w:hint="eastAsia" w:ascii="方正黑体_GBK" w:hAnsi="方正黑体_GBK" w:eastAsia="方正黑体_GBK" w:cs="方正黑体_GBK"/>
          <w:bCs/>
          <w:spacing w:val="6"/>
          <w:sz w:val="32"/>
          <w:szCs w:val="32"/>
        </w:rPr>
      </w:pPr>
      <w:bookmarkStart w:id="60" w:name="_Toc19898"/>
      <w:bookmarkStart w:id="61" w:name="_Toc453600876"/>
      <w:r>
        <w:rPr>
          <w:rFonts w:hint="eastAsia" w:ascii="方正黑体_GBK" w:hAnsi="方正黑体_GBK" w:eastAsia="方正黑体_GBK" w:cs="方正黑体_GBK"/>
          <w:bCs/>
          <w:spacing w:val="6"/>
          <w:sz w:val="32"/>
          <w:szCs w:val="32"/>
        </w:rPr>
        <w:t>第六章 重保护强修复，建设幸福河湖</w:t>
      </w:r>
      <w:bookmarkEnd w:id="60"/>
    </w:p>
    <w:p>
      <w:pPr>
        <w:spacing w:line="594" w:lineRule="exact"/>
        <w:ind w:firstLine="560"/>
        <w:rPr>
          <w:rFonts w:hint="eastAsia" w:ascii="方正仿宋_GBK" w:hAnsi="方正仿宋_GBK" w:eastAsia="方正仿宋_GBK" w:cs="方正仿宋_GBK"/>
          <w:sz w:val="32"/>
          <w:szCs w:val="32"/>
        </w:rPr>
      </w:pP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牢固树立山水林田湖是一个生命共同体的系统思想，坚持保护优先、自然修复与治理修复相结合，加快实施一批水生态修复工程，保障生态安全，不断满足人民群众对健康水生态、宜居水环境的需求，建设幸福河湖。</w:t>
      </w:r>
    </w:p>
    <w:p>
      <w:pPr>
        <w:spacing w:line="594" w:lineRule="exact"/>
        <w:ind w:firstLine="560"/>
        <w:rPr>
          <w:rFonts w:hint="eastAsia" w:ascii="方正仿宋_GBK" w:hAnsi="方正仿宋_GBK" w:eastAsia="方正仿宋_GBK" w:cs="方正仿宋_GBK"/>
          <w:sz w:val="32"/>
          <w:szCs w:val="32"/>
        </w:rPr>
      </w:pPr>
    </w:p>
    <w:bookmarkEnd w:id="61"/>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62" w:name="_Toc2503"/>
      <w:r>
        <w:rPr>
          <w:rFonts w:hint="eastAsia" w:ascii="方正楷体_GBK" w:hAnsi="方正楷体_GBK" w:eastAsia="方正楷体_GBK" w:cs="方正楷体_GBK"/>
          <w:b w:val="0"/>
          <w:bCs/>
          <w:spacing w:val="6"/>
          <w:szCs w:val="32"/>
        </w:rPr>
        <w:t>第一节  实施水生态保护及修复治理</w:t>
      </w:r>
      <w:bookmarkEnd w:id="62"/>
    </w:p>
    <w:p>
      <w:pPr>
        <w:spacing w:line="594" w:lineRule="exact"/>
        <w:ind w:firstLine="640" w:firstLineChars="200"/>
        <w:rPr>
          <w:rFonts w:hint="eastAsia" w:ascii="方正仿宋_GBK" w:hAnsi="方正仿宋_GBK" w:eastAsia="方正仿宋_GBK" w:cs="方正仿宋_GBK"/>
          <w:sz w:val="32"/>
          <w:szCs w:val="32"/>
        </w:rPr>
      </w:pPr>
      <w:bookmarkStart w:id="63" w:name="_Toc441835736"/>
      <w:r>
        <w:rPr>
          <w:rFonts w:hint="eastAsia" w:ascii="方正仿宋_GBK" w:hAnsi="方正仿宋_GBK" w:eastAsia="方正仿宋_GBK" w:cs="方正仿宋_GBK"/>
          <w:sz w:val="32"/>
          <w:szCs w:val="32"/>
        </w:rPr>
        <w:t>通过跨区域提调水或连通工程，布置水资源配置工程，促进水系互联互通、水资源互调互济。试点实施水系连通及水美乡村建设，修复农村河道空间形态及其水域岸线，提升河湖水环境质量，逐步恢复河湖生态健康。加强河库水系连通工程建设，本着“确有需要”的原则，坚持恢复自然连通与人工连通相结合，构建布局合理、生态良好，引排得当、循环通畅，蓄泄兼筹、丰枯调剂，多源互补的河库水系连通体系，保护恢复河库生态系统及功能。</w:t>
      </w:r>
      <w:bookmarkEnd w:id="63"/>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在正阳、舟白新城片区建设9座生态水体，新增水域面积835亩。在舟白组团建设杨家坝公园、龙洞垭和民族公园3个水体；在正阳组团内建设滨河公园、听松岭、天生湖、湿地公园、小湾、鲤鱼池公园6个水体。形成多点独立、两线一网的格局。即：舟白片区和正阳工业园区水体相对比较独立，形成多点独立分布；马鞍田—听松岭—天生湖—小湾一线和湿地公园—鲤鱼池一线；两线之间的水体通过天然河道、堰渠等连通成网汇流到下游的阿蓬江。规划投资7.76亿元。“十四五”期间优先建设滨河公园及听松岭水体，预期投资6793万元。</w:t>
      </w:r>
    </w:p>
    <w:p>
      <w:pPr>
        <w:spacing w:line="594" w:lineRule="exact"/>
        <w:ind w:firstLine="640" w:firstLineChars="200"/>
        <w:rPr>
          <w:rFonts w:hint="eastAsia" w:ascii="方正仿宋_GBK" w:hAnsi="方正仿宋_GBK" w:eastAsia="方正仿宋_GBK" w:cs="方正仿宋_GBK"/>
          <w:sz w:val="32"/>
          <w:szCs w:val="32"/>
        </w:rPr>
      </w:pPr>
      <w:bookmarkStart w:id="64" w:name="_Toc441835737"/>
      <w:bookmarkStart w:id="65" w:name="_Toc453600877"/>
      <w:r>
        <w:rPr>
          <w:rFonts w:hint="eastAsia" w:ascii="方正仿宋_GBK" w:hAnsi="方正仿宋_GBK" w:eastAsia="方正仿宋_GBK" w:cs="方正仿宋_GBK"/>
          <w:sz w:val="32"/>
          <w:szCs w:val="32"/>
        </w:rPr>
        <w:t>实施重庆市黔江区阿蓬江流域水生态修复与治理项目。</w:t>
      </w:r>
      <w:bookmarkEnd w:id="64"/>
      <w:r>
        <w:rPr>
          <w:rFonts w:hint="eastAsia" w:ascii="方正仿宋_GBK" w:hAnsi="方正仿宋_GBK" w:eastAsia="方正仿宋_GBK" w:cs="方正仿宋_GBK"/>
          <w:sz w:val="32"/>
          <w:szCs w:val="32"/>
        </w:rPr>
        <w:t>该项目分为生态修复与治理工程和生态文化产业两部分组成，其中生态修复与治理工程包含六个子项目，分别为：①生态岸线与湿地工程、②生态隔离带工程、③内源治理工程、④生态防护林工程、⑤智慧水务建设、⑥水质提升工程；生态文化产业包含五个子项目，分别为：①土家部落、②巴人遗城、③石城古县、④水岸苗寨、⑤水乡人家。项目建设以水生态环境、湿地生态环境改善修复、水域岸线治理、水土保持防护、滨江环境综合整治为主，兼顾生态休闲旅游开发等综合任务，使生态与产业互融、互促。规划总投资20亿元</w:t>
      </w:r>
      <w:bookmarkEnd w:id="65"/>
      <w:r>
        <w:rPr>
          <w:rFonts w:hint="eastAsia" w:ascii="方正仿宋_GBK" w:hAnsi="方正仿宋_GBK" w:eastAsia="方正仿宋_GBK" w:cs="方正仿宋_GBK"/>
          <w:sz w:val="32"/>
          <w:szCs w:val="32"/>
        </w:rPr>
        <w:t>，“十四五”期间预期投入2.80亿元。</w:t>
      </w:r>
    </w:p>
    <w:p>
      <w:pPr>
        <w:pStyle w:val="3"/>
        <w:keepNext w:val="0"/>
        <w:keepLines w:val="0"/>
        <w:tabs>
          <w:tab w:val="left" w:pos="1008"/>
        </w:tabs>
        <w:spacing w:before="0" w:after="0" w:line="594" w:lineRule="exact"/>
        <w:jc w:val="center"/>
        <w:rPr>
          <w:rFonts w:hint="eastAsia" w:ascii="方正仿宋_GBK" w:hAnsi="方正仿宋_GBK" w:eastAsia="方正仿宋_GBK" w:cs="方正仿宋_GBK"/>
          <w:spacing w:val="6"/>
          <w:szCs w:val="32"/>
        </w:rPr>
      </w:pPr>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66" w:name="_Toc19477"/>
      <w:r>
        <w:rPr>
          <w:rFonts w:hint="eastAsia" w:ascii="方正楷体_GBK" w:hAnsi="方正楷体_GBK" w:eastAsia="方正楷体_GBK" w:cs="方正楷体_GBK"/>
          <w:b w:val="0"/>
          <w:bCs/>
          <w:spacing w:val="6"/>
          <w:szCs w:val="32"/>
        </w:rPr>
        <w:t>第二节  推进水土保持生态建设</w:t>
      </w:r>
      <w:bookmarkEnd w:id="66"/>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坚持预防为主、防治结合，强化重点水土流失区防治，将水土保持生态建设与乡村振兴相结合，因地制宜突进生态清洁小流域建设，为美丽乡村建设奠定基础。以村庄为节点，以乡镇为单元，采取清淤疏浚、水源涵养、水土流失治理、陆域控污、水系连通等措施，持续推进水土保持工作。持续推进国家水土保持重点建设工程、石漠化综合治理项目，规划实施国家农业综合开发水土保持项目和坡耕地水土流失综合治理项目，协调配合发改、林业、农业、国土资源等有关部门按照各自的职责，做好有关的水土流失预防和治理工作，新增水土流失治理面积270km</w:t>
      </w:r>
      <w:r>
        <w:rPr>
          <w:rFonts w:hint="eastAsia" w:ascii="方正仿宋_GBK" w:hAnsi="方正仿宋_GBK" w:eastAsia="方正仿宋_GBK" w:cs="方正仿宋_GBK"/>
          <w:sz w:val="32"/>
          <w:szCs w:val="32"/>
          <w:vertAlign w:val="superscript"/>
        </w:rPr>
        <w:t>2</w:t>
      </w:r>
      <w:r>
        <w:rPr>
          <w:rFonts w:hint="eastAsia" w:ascii="方正仿宋_GBK" w:hAnsi="方正仿宋_GBK" w:eastAsia="方正仿宋_GBK" w:cs="方正仿宋_GBK"/>
          <w:sz w:val="32"/>
          <w:szCs w:val="32"/>
        </w:rPr>
        <w:t>。规划投资5000万元。</w:t>
      </w:r>
    </w:p>
    <w:p>
      <w:pPr>
        <w:keepNext/>
        <w:spacing w:line="594" w:lineRule="exact"/>
        <w:ind w:firstLine="640" w:firstLineChars="200"/>
        <w:rPr>
          <w:rFonts w:hint="eastAsia" w:ascii="方正仿宋_GBK" w:hAnsi="方正仿宋_GBK" w:eastAsia="方正仿宋_GBK" w:cs="方正仿宋_GBK"/>
          <w:sz w:val="32"/>
          <w:szCs w:val="32"/>
        </w:rPr>
      </w:pPr>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67" w:name="_Toc32506"/>
      <w:r>
        <w:rPr>
          <w:rFonts w:hint="eastAsia" w:ascii="方正楷体_GBK" w:hAnsi="方正楷体_GBK" w:eastAsia="方正楷体_GBK" w:cs="方正楷体_GBK"/>
          <w:b w:val="0"/>
          <w:bCs/>
          <w:spacing w:val="6"/>
          <w:szCs w:val="32"/>
        </w:rPr>
        <w:t>第三节  加强水环境治理，营造良好生态环境</w:t>
      </w:r>
      <w:bookmarkEnd w:id="67"/>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结合河长制工作，深入推进河流流域综合治理，开展流域水生态修复与治理试点工作。分期实施黔江区城区水环境整治工程项目，即先实施黔江河三级（初选坝址位于黔江大桥下游60m处）、五级（为拦河堰，初选坝址位于西沙桥上游260m处）、六级（初选坝址位于黔江区实验小学处）以及城北河一级（初选坝址位于盛黔桥上游约40m处），共三级闸坝一级拦河堰，估算投资3800万元。为防止闸坝淤积，拟分别在城北河、黔江河上游各设置3座拦砂坎，同时定期对河道进行清淤。</w:t>
      </w:r>
    </w:p>
    <w:p>
      <w:pPr>
        <w:keepNext/>
        <w:spacing w:line="594" w:lineRule="exact"/>
        <w:ind w:firstLine="640" w:firstLineChars="200"/>
        <w:rPr>
          <w:rFonts w:hint="eastAsia" w:ascii="方正仿宋_GBK" w:hAnsi="方正仿宋_GBK" w:eastAsia="方正仿宋_GBK" w:cs="方正仿宋_GBK"/>
          <w:sz w:val="32"/>
          <w:szCs w:val="32"/>
        </w:rPr>
      </w:pPr>
    </w:p>
    <w:p>
      <w:pPr>
        <w:pStyle w:val="3"/>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68" w:name="_Toc8525"/>
      <w:bookmarkStart w:id="69" w:name="_Toc441835739"/>
      <w:bookmarkStart w:id="70" w:name="_Toc453600879"/>
      <w:r>
        <w:rPr>
          <w:rFonts w:hint="eastAsia" w:ascii="方正楷体_GBK" w:hAnsi="方正楷体_GBK" w:eastAsia="方正楷体_GBK" w:cs="方正楷体_GBK"/>
          <w:b w:val="0"/>
          <w:bCs/>
          <w:spacing w:val="6"/>
          <w:szCs w:val="32"/>
        </w:rPr>
        <w:t>第四节  实施黔江区水系连通及水美乡村试点项目建设</w:t>
      </w:r>
      <w:bookmarkEnd w:id="68"/>
    </w:p>
    <w:bookmarkEnd w:id="69"/>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黔江区水系连通及水美乡村试点项目共有2个，涉及黔江河流域及袁溪河流域、马喇河流域。通过水系连通、水系综合治理、水美乡村建设和</w:t>
      </w:r>
      <w:r>
        <w:rPr>
          <w:rFonts w:hint="eastAsia" w:ascii="方正仿宋_GBK" w:hAnsi="方正仿宋_GBK" w:eastAsia="方正仿宋_GBK" w:cs="方正仿宋_GBK"/>
          <w:sz w:val="32"/>
          <w:szCs w:val="32"/>
          <w:lang w:eastAsia="zh-CN"/>
        </w:rPr>
        <w:t>其他</w:t>
      </w:r>
      <w:r>
        <w:rPr>
          <w:rFonts w:hint="eastAsia" w:ascii="方正仿宋_GBK" w:hAnsi="方正仿宋_GBK" w:eastAsia="方正仿宋_GBK" w:cs="方正仿宋_GBK"/>
          <w:sz w:val="32"/>
          <w:szCs w:val="32"/>
        </w:rPr>
        <w:t>整合措施，优化区域水资源配置，改善河道生态环境用水条件，提升河流水质，修复河流生态，挖掘水文化底蕴，改善村庄人居环境，发展产业，打造“河畅、水清、岸绿、景美、人和”的水美乡村。</w:t>
      </w:r>
      <w:bookmarkEnd w:id="70"/>
      <w:r>
        <w:rPr>
          <w:rFonts w:hint="eastAsia" w:ascii="方正仿宋_GBK" w:hAnsi="方正仿宋_GBK" w:eastAsia="方正仿宋_GBK" w:cs="方正仿宋_GBK"/>
          <w:sz w:val="32"/>
          <w:szCs w:val="32"/>
        </w:rPr>
        <w:t>“十四五”期间拟实施黔江河流域及袁溪河流域项目建设，并开展马喇河流域项目前期工作。</w:t>
      </w:r>
    </w:p>
    <w:p>
      <w:pPr>
        <w:keepNext/>
        <w:spacing w:line="360" w:lineRule="auto"/>
        <w:rPr>
          <w:rFonts w:hint="eastAsia" w:ascii="方正仿宋_GBK" w:hAnsi="方正仿宋_GBK" w:eastAsia="方正仿宋_GBK" w:cs="方正仿宋_GBK"/>
          <w:sz w:val="32"/>
          <w:szCs w:val="32"/>
        </w:rPr>
      </w:pPr>
    </w:p>
    <w:p>
      <w:pPr>
        <w:keepNext/>
        <w:snapToGrid w:val="0"/>
        <w:jc w:val="center"/>
        <w:outlineLvl w:val="1"/>
        <w:rPr>
          <w:rFonts w:hint="eastAsia" w:ascii="方正黑体_GBK" w:hAnsi="方正黑体_GBK" w:eastAsia="方正黑体_GBK" w:cs="方正黑体_GBK"/>
          <w:sz w:val="32"/>
          <w:szCs w:val="32"/>
        </w:rPr>
      </w:pPr>
      <w:bookmarkStart w:id="71" w:name="_Toc19608"/>
      <w:bookmarkStart w:id="72" w:name="_Toc26298"/>
      <w:bookmarkStart w:id="73" w:name="_Toc20479"/>
      <w:r>
        <w:rPr>
          <w:rFonts w:hint="eastAsia" w:ascii="方正黑体_GBK" w:hAnsi="方正黑体_GBK" w:eastAsia="方正黑体_GBK" w:cs="方正黑体_GBK"/>
          <w:sz w:val="32"/>
          <w:szCs w:val="32"/>
        </w:rPr>
        <w:t>专栏3 水生态文明体系建设任务</w:t>
      </w:r>
      <w:bookmarkEnd w:id="71"/>
      <w:bookmarkEnd w:id="72"/>
      <w:bookmarkEnd w:id="73"/>
    </w:p>
    <w:p>
      <w:pPr>
        <w:keepNext/>
        <w:pBdr>
          <w:top w:val="single" w:color="auto" w:sz="6" w:space="1"/>
          <w:left w:val="single" w:color="auto" w:sz="6" w:space="4"/>
          <w:bottom w:val="single" w:color="auto" w:sz="6" w:space="1"/>
          <w:right w:val="single" w:color="auto" w:sz="6" w:space="4"/>
        </w:pBdr>
        <w:wordWrap w:val="0"/>
        <w:snapToGrid w:val="0"/>
        <w:spacing w:line="520" w:lineRule="exact"/>
        <w:ind w:left="63" w:leftChars="30" w:right="63" w:rightChars="30" w:firstLine="482"/>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——全面开展黔江区新城生态水体项目。“十四五”期间优先建设2座生态水体，新增水域面积125亩。</w:t>
      </w:r>
    </w:p>
    <w:p>
      <w:pPr>
        <w:keepNext/>
        <w:pBdr>
          <w:top w:val="single" w:color="auto" w:sz="6" w:space="1"/>
          <w:left w:val="single" w:color="auto" w:sz="6" w:space="4"/>
          <w:bottom w:val="single" w:color="auto" w:sz="6" w:space="1"/>
          <w:right w:val="single" w:color="auto" w:sz="6" w:space="4"/>
        </w:pBdr>
        <w:wordWrap w:val="0"/>
        <w:snapToGrid w:val="0"/>
        <w:spacing w:line="520" w:lineRule="exact"/>
        <w:ind w:left="63" w:leftChars="30" w:right="63" w:rightChars="30" w:firstLine="482"/>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——开展黔江区阿蓬江流域水生态修复与治理项目，包含生态修复和治理工程6项、生态文化产业工程5项。</w:t>
      </w:r>
    </w:p>
    <w:p>
      <w:pPr>
        <w:keepNext/>
        <w:pBdr>
          <w:top w:val="single" w:color="auto" w:sz="6" w:space="1"/>
          <w:left w:val="single" w:color="auto" w:sz="6" w:space="4"/>
          <w:bottom w:val="single" w:color="auto" w:sz="6" w:space="1"/>
          <w:right w:val="single" w:color="auto" w:sz="6" w:space="4"/>
        </w:pBdr>
        <w:wordWrap w:val="0"/>
        <w:snapToGrid w:val="0"/>
        <w:spacing w:line="520" w:lineRule="exact"/>
        <w:ind w:left="63" w:leftChars="30" w:right="63" w:rightChars="30" w:firstLine="482"/>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——分期实施黔江区城区水环境整治工程项目，优先建设黔江河三级、五级、六级及城北河一级共3级闸坝1级拦河堰，并分别在城北河、黔江河上游各设置3座拦沙坎。</w:t>
      </w:r>
    </w:p>
    <w:p>
      <w:pPr>
        <w:keepNext/>
        <w:pBdr>
          <w:top w:val="single" w:color="auto" w:sz="6" w:space="1"/>
          <w:left w:val="single" w:color="auto" w:sz="6" w:space="4"/>
          <w:bottom w:val="single" w:color="auto" w:sz="6" w:space="1"/>
          <w:right w:val="single" w:color="auto" w:sz="6" w:space="4"/>
        </w:pBdr>
        <w:wordWrap w:val="0"/>
        <w:snapToGrid w:val="0"/>
        <w:spacing w:line="520" w:lineRule="exact"/>
        <w:ind w:left="63" w:leftChars="30" w:right="63" w:rightChars="30" w:firstLine="482"/>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——实施黔江区水系连通及水美乡村试点项目建设，完成黔江河流域及袁溪河流域试点项目建设，开展马喇河流域试点项目前期工作。</w:t>
      </w:r>
    </w:p>
    <w:p>
      <w:pPr>
        <w:keepNext/>
        <w:pBdr>
          <w:top w:val="single" w:color="auto" w:sz="6" w:space="1"/>
          <w:left w:val="single" w:color="auto" w:sz="6" w:space="4"/>
          <w:bottom w:val="single" w:color="auto" w:sz="6" w:space="1"/>
          <w:right w:val="single" w:color="auto" w:sz="6" w:space="4"/>
        </w:pBdr>
        <w:wordWrap w:val="0"/>
        <w:snapToGrid w:val="0"/>
        <w:spacing w:line="520" w:lineRule="exact"/>
        <w:ind w:left="63" w:leftChars="30" w:right="63" w:rightChars="30" w:firstLine="482"/>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——建设实施国家水土保持重点建设工程、石漠化综合治理项目，规划实施国家农业综合开发水土保持项目和坡耕地水土流失综合治理项目。</w:t>
      </w:r>
    </w:p>
    <w:p>
      <w:pPr>
        <w:pStyle w:val="54"/>
        <w:keepNext/>
        <w:spacing w:before="0" w:after="0" w:line="500" w:lineRule="exact"/>
        <w:ind w:left="0" w:firstLine="0"/>
        <w:jc w:val="center"/>
        <w:outlineLvl w:val="9"/>
        <w:rPr>
          <w:rFonts w:ascii="方正仿宋_GBK" w:eastAsia="方正仿宋_GBK"/>
          <w:b/>
          <w:spacing w:val="6"/>
          <w:szCs w:val="36"/>
        </w:rPr>
      </w:pPr>
    </w:p>
    <w:p>
      <w:pPr>
        <w:pStyle w:val="54"/>
        <w:keepNext/>
        <w:spacing w:before="0" w:after="0" w:line="594" w:lineRule="exact"/>
        <w:ind w:left="0" w:firstLine="0"/>
        <w:jc w:val="center"/>
        <w:rPr>
          <w:rFonts w:hint="eastAsia" w:ascii="方正黑体_GBK" w:hAnsi="方正黑体_GBK" w:eastAsia="方正黑体_GBK" w:cs="方正黑体_GBK"/>
          <w:bCs/>
          <w:spacing w:val="6"/>
          <w:sz w:val="32"/>
          <w:szCs w:val="32"/>
        </w:rPr>
      </w:pPr>
      <w:bookmarkStart w:id="74" w:name="_Toc28377"/>
      <w:r>
        <w:rPr>
          <w:rFonts w:hint="eastAsia" w:ascii="方正黑体_GBK" w:hAnsi="方正黑体_GBK" w:eastAsia="方正黑体_GBK" w:cs="方正黑体_GBK"/>
          <w:bCs/>
          <w:spacing w:val="6"/>
          <w:sz w:val="32"/>
          <w:szCs w:val="32"/>
        </w:rPr>
        <w:t>第七章 强感知促应用，搭建智慧水利</w:t>
      </w:r>
      <w:bookmarkEnd w:id="74"/>
    </w:p>
    <w:p>
      <w:pPr>
        <w:keepNext/>
        <w:spacing w:line="594" w:lineRule="exact"/>
        <w:ind w:firstLine="560"/>
        <w:rPr>
          <w:rFonts w:hint="eastAsia" w:ascii="方正仿宋_GBK" w:hAnsi="方正仿宋_GBK" w:eastAsia="方正仿宋_GBK" w:cs="方正仿宋_GBK"/>
          <w:sz w:val="32"/>
          <w:szCs w:val="32"/>
        </w:rPr>
      </w:pP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建设网路强国、数字中国、智慧水利的战略部署，对标“安全、实用”的水利网络信息化发展要求，按照“强感知、增智慧、促应用”的思路，加快智慧水利建设，增强水利信息感知、分析、处理和智慧应用等能力和水平。整合现有信息系统及各类水利数据资源，进一步完善水利数据资源目录，强化水利业务与信息技术深度融合，深化业务流程优化和工作模式创新，建立统一的水利信息化基础服务平台。充分利用云计算、大数据、物联网、卫星遥感、移动互联、人工智能等先进技术，加强水利信息化基础设施建设，特别是大力加强雨情水情、工情灾情、水量水质、水土保持等水利信息监测采集设施建设，实现水利工程实时在线安全监测，形成多元化智能采集体系，构建一体化水利感知体系。</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规划投资500万元，构建黔江区智慧水利项目，涵盖水利工程实时安全监测、运行分析、日常操作规程、巡检养护、厂站网一体化调度、绩效考核等业务的示范平台建设。整合相关专业的BIM模型，创建数字孪生模型，完成数字化模拟。用该模型来协调工作跟踪变更等。项目建设内容涉及管网、水生态修复、河道整治、泵闸枢纽工程等几个方面，通过BIM软件工程、监测网络、GIS系统和水力学模型来搭建智慧水利。</w:t>
      </w:r>
    </w:p>
    <w:p>
      <w:pPr>
        <w:spacing w:line="594" w:lineRule="exact"/>
        <w:ind w:firstLine="560"/>
        <w:rPr>
          <w:rFonts w:hint="eastAsia" w:ascii="方正仿宋_GBK" w:hAnsi="方正仿宋_GBK" w:eastAsia="方正仿宋_GBK" w:cs="方正仿宋_GBK"/>
          <w:sz w:val="32"/>
          <w:szCs w:val="32"/>
        </w:rPr>
      </w:pPr>
    </w:p>
    <w:p>
      <w:pPr>
        <w:wordWrap w:val="0"/>
        <w:snapToGrid w:val="0"/>
        <w:jc w:val="center"/>
        <w:outlineLvl w:val="1"/>
        <w:rPr>
          <w:rFonts w:hint="eastAsia" w:ascii="方正黑体_GBK" w:hAnsi="方正黑体_GBK" w:eastAsia="方正黑体_GBK" w:cs="方正黑体_GBK"/>
          <w:sz w:val="32"/>
          <w:szCs w:val="32"/>
        </w:rPr>
      </w:pPr>
      <w:bookmarkStart w:id="75" w:name="_Toc3496"/>
      <w:r>
        <w:rPr>
          <w:rFonts w:hint="eastAsia" w:ascii="方正黑体_GBK" w:hAnsi="方正黑体_GBK" w:eastAsia="方正黑体_GBK" w:cs="方正黑体_GBK"/>
          <w:sz w:val="32"/>
          <w:szCs w:val="32"/>
        </w:rPr>
        <w:t>专栏4 智慧水利体系建设任务</w:t>
      </w:r>
      <w:bookmarkEnd w:id="75"/>
    </w:p>
    <w:p>
      <w:pPr>
        <w:keepNext/>
        <w:pBdr>
          <w:top w:val="single" w:color="auto" w:sz="6" w:space="1"/>
          <w:left w:val="single" w:color="auto" w:sz="6" w:space="4"/>
          <w:bottom w:val="single" w:color="auto" w:sz="6" w:space="1"/>
          <w:right w:val="single" w:color="auto" w:sz="6" w:space="4"/>
        </w:pBdr>
        <w:wordWrap w:val="0"/>
        <w:snapToGrid w:val="0"/>
        <w:spacing w:line="520" w:lineRule="exact"/>
        <w:ind w:left="63" w:leftChars="30" w:right="63" w:rightChars="30" w:firstLine="482"/>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构建黔江区智慧水利项目，涵盖水利工程实时安全监测、运行分析、日常操作规程、巡检养护、厂站网一体化调度、绩效考核等业务的示范平台建设。集成洪水风险图编制成果，对接黔江区大数据中心，形成共同参与问题处理的信息共享平台。</w:t>
      </w:r>
    </w:p>
    <w:p>
      <w:pPr>
        <w:rPr>
          <w:rFonts w:ascii="方正仿宋_GBK" w:eastAsia="方正仿宋_GBK"/>
          <w:spacing w:val="6"/>
          <w:szCs w:val="32"/>
        </w:rPr>
      </w:pPr>
      <w:bookmarkStart w:id="76" w:name="_Toc32394"/>
    </w:p>
    <w:p>
      <w:pPr>
        <w:rPr>
          <w:rFonts w:ascii="方正仿宋_GBK" w:eastAsia="方正仿宋_GBK"/>
          <w:spacing w:val="6"/>
          <w:szCs w:val="32"/>
        </w:rPr>
      </w:pPr>
    </w:p>
    <w:p>
      <w:pPr>
        <w:pStyle w:val="54"/>
        <w:keepNext/>
        <w:spacing w:before="0" w:after="0" w:line="594" w:lineRule="exact"/>
        <w:ind w:left="0" w:firstLine="0"/>
        <w:jc w:val="center"/>
        <w:rPr>
          <w:rFonts w:hint="eastAsia" w:ascii="方正黑体_GBK" w:hAnsi="方正黑体_GBK" w:eastAsia="方正黑体_GBK" w:cs="方正黑体_GBK"/>
          <w:bCs/>
          <w:spacing w:val="6"/>
          <w:sz w:val="32"/>
          <w:szCs w:val="32"/>
        </w:rPr>
      </w:pPr>
      <w:bookmarkStart w:id="77" w:name="_Toc2710"/>
      <w:r>
        <w:rPr>
          <w:rFonts w:hint="eastAsia" w:ascii="方正黑体_GBK" w:hAnsi="方正黑体_GBK" w:eastAsia="方正黑体_GBK" w:cs="方正黑体_GBK"/>
          <w:bCs/>
          <w:spacing w:val="6"/>
          <w:sz w:val="32"/>
          <w:szCs w:val="32"/>
        </w:rPr>
        <w:t>第八章 严管理、重能力，提升公众服务水平</w:t>
      </w:r>
      <w:bookmarkEnd w:id="77"/>
    </w:p>
    <w:p>
      <w:pPr>
        <w:spacing w:line="594" w:lineRule="exact"/>
        <w:ind w:firstLine="560"/>
        <w:rPr>
          <w:rFonts w:hint="eastAsia" w:ascii="方正仿宋_GBK" w:hAnsi="方正仿宋_GBK" w:eastAsia="方正仿宋_GBK" w:cs="方正仿宋_GBK"/>
          <w:sz w:val="32"/>
          <w:szCs w:val="32"/>
        </w:rPr>
      </w:pP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围绕江河湖库、水资源、水利工程、水土保持、水旱灾害防御等重点领域，按照“严管理、重能力、强服务”的思路，以“三严”（源头严防、过程严管、后果严惩）为核心，以信息化、智能化管理为手段，针对涉水事务管理的薄弱环节，强化重点领域全过程、全要素监管，全面提升水利公共服务水平，实现制度、制度管水。</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科学把握新发展阶段，要牢牢把握当前治水矛盾已经转化为人民对水资源、水生态、水环境的需求与水利行业服务能力不足之间的矛盾的基本特征和根本要求。紧盯水库、河湖、水资源、水土保持等重点领域风险点，集中力量，重拳出击，通过“四不两直”等方式开展集中督查、暗访等，查处整改违法违规行为，及时帮助和督促地方各级水利部门发现问题解决问题，不断压缩各类问题产生和存在的空间。需要通过体制机制、制度方法等方面的实践创新，实现依法依规对涉水领域全方位、常态化提升管理水平，形成水行政主管部门分级负责、有关部门各负其责、社会群众广泛参与的制度治水、制度管水局面。</w:t>
      </w:r>
    </w:p>
    <w:p>
      <w:pPr>
        <w:spacing w:line="594" w:lineRule="exact"/>
        <w:ind w:firstLine="640" w:firstLineChars="200"/>
        <w:rPr>
          <w:rFonts w:hint="eastAsia" w:ascii="方正仿宋_GBK" w:hAnsi="方正仿宋_GBK" w:eastAsia="方正仿宋_GBK" w:cs="方正仿宋_GBK"/>
          <w:sz w:val="32"/>
          <w:szCs w:val="32"/>
        </w:rPr>
      </w:pPr>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78" w:name="_Toc25962"/>
      <w:r>
        <w:rPr>
          <w:rFonts w:hint="eastAsia" w:ascii="方正楷体_GBK" w:hAnsi="方正楷体_GBK" w:eastAsia="方正楷体_GBK" w:cs="方正楷体_GBK"/>
          <w:b w:val="0"/>
          <w:bCs/>
          <w:spacing w:val="6"/>
          <w:szCs w:val="32"/>
        </w:rPr>
        <w:t>第一节  强化</w:t>
      </w:r>
      <w:bookmarkEnd w:id="76"/>
      <w:r>
        <w:rPr>
          <w:rFonts w:hint="eastAsia" w:ascii="方正楷体_GBK" w:hAnsi="方正楷体_GBK" w:eastAsia="方正楷体_GBK" w:cs="方正楷体_GBK"/>
          <w:b w:val="0"/>
          <w:bCs/>
          <w:spacing w:val="6"/>
          <w:szCs w:val="32"/>
        </w:rPr>
        <w:t>河湖监管，改善河湖风貌</w:t>
      </w:r>
      <w:bookmarkEnd w:id="78"/>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按照中央全面深化改革和加快推进生态文明建设的决策部署。河湖是水资源的载体，是行蓄洪水的通道，也是生态空间的重要组成部分，“十四五”期间，全区要把河湖管理和保护工作放在水生态文明建设的重要位置，从以下几个方面做好河湖监管工作。</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一、建立规划约束机制</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强化河湖空间用途管制。要按照全市岸线规划编制要求，组织开展全区开展流域面积50km</w:t>
      </w:r>
      <w:r>
        <w:rPr>
          <w:rFonts w:hint="eastAsia" w:ascii="方正仿宋_GBK" w:hAnsi="方正仿宋_GBK" w:eastAsia="方正仿宋_GBK" w:cs="方正仿宋_GBK"/>
          <w:sz w:val="32"/>
          <w:szCs w:val="32"/>
          <w:vertAlign w:val="superscript"/>
        </w:rPr>
        <w:t>2</w:t>
      </w:r>
      <w:r>
        <w:rPr>
          <w:rFonts w:hint="eastAsia" w:ascii="方正仿宋_GBK" w:hAnsi="方正仿宋_GBK" w:eastAsia="方正仿宋_GBK" w:cs="方正仿宋_GBK"/>
          <w:sz w:val="32"/>
          <w:szCs w:val="32"/>
        </w:rPr>
        <w:t>及以上河流与其他重要河流的岸线保护与利用规划，全面划定河湖管理范围，明确岸线功能分区和用途管制，以河长制为抓手，严禁违法违规开发利用河道岸线资源，严格涉河建设项目和河道采砂监管，深入推进“清四乱”常态化、规范化。建立河湖岸线保护与利用负面清单，通过编制水利基础设施空间布局规划，加强与规资、交通等有关部门协作，进一步明确河湖水源岸线空间管控要求。</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二、创新河湖管护机制</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积极推进水域岸线占用补偿。按照有偿使用的原则，研究建立水域岸线占用补偿制度，实行等效替代，消除涉河项目和活动对水域岸线功能的不利影响，防止围垦、侵占水域岸线。同时，积极探索引入市场机制，发挥政府和市场两只手的作用，充分利用市场资源，推进河湖管护专业化、市场化、通过合同、委托等方式向社会购买公共服务。在全区建立河湖管护考核机制，对水利主管部门和乡镇管理人员进行分级考核，形成河湖管护监督检查和考核机制，对河湖管理混乱、问题突出以及执法严重不到位的要追究相关单位和人员责任。</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三、强化水政执法和采砂管理</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进一步通过落实《重庆市水利局重大水行政执法决定法制审核实施办法》等5个配套制度以及《重庆市水利系统行政执法文书格式文本及制作指引》等7项行业指引应用，提高执法文件制作、法制审核、执法信息公示、执法全过程记录，档案管理等方面的科学化管理水平，提高执法效率和效能。另一方面，区水利局有关科室要抓紧完善河道采砂日常巡查制度，加大对重点河段、重要时段、敏感水域的日常监管和巡查密度，对非法采砂行为做到早发现、早制止、早处理。另外，还要积极探索区级政府部门间的联合长效管理机制，深化水利部门、交通部门的合作，加强沟通协作，形成有效监管合力同时，要始终保持对侵占河道，破坏水利工程设施，造成水土流失，违规取水，非法采砂等违规水事行为的高压态势。为维所全区良好水生态环境保驾护航。</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四、加强队伍建设</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提升河湖管理保护能力和水平。一方面，要加强水执法能力建设，通过开展培训不断提升执法人员业务水平的执法技能，加大高学历专业人才引进力度，进一步购置执法装备，提升执法效能和服务水平。另一方面，要提高全区河湖管理保护信息化水平，强化河道管理基础工作，建立河湖划界成果数据信息库。充分利用智慧水利平台，通过视频监控手段，加强对社会违法行为、非法采砂的实施动态监控。同时，还要加强镇街基层水利管理人员的教育培训，促使管理人员要牢固树立担当意识、责任意识，确保管理人员要敢抓敢管，敢于问责追究。</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五、深化河长制工作</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宣传贯彻《重庆市河长制条例》，修订完善配套制度，坚决落实河长制党政领导负责制，健全完善河长负责、部门联动、社会参与的河长制工作机制。压实河长责任，加强督查考核，推动各级河长巡河常态化，履职规范化，督促河长巡河查河治河。在“十三五”期间工作成果基础上，强化河长制工作的力度、维度和广度。积极响应第3号市级总河长令，全面提升“三率”水平。编制完成“一河一策”（2021-2025年）方案，有力有序推动实施，并同步建设黔江区“智慧河长”体系，进一步完善“一河一档”，推动河长制工作与信息化的深入融合。推动水质监测工作与河长制工作的联系机制，按照河长办及黔江区跨界断面和饮用水源水库监测方案要求，做好河流和水库水质监测工作。实施流域横向生态补偿机制，推动全区主要河流生态廊道建设，实现上下游、左右岸污染联治、岸线统一管理。</w:t>
      </w:r>
    </w:p>
    <w:p>
      <w:pPr>
        <w:spacing w:line="594" w:lineRule="exact"/>
        <w:ind w:firstLine="640" w:firstLineChars="200"/>
        <w:rPr>
          <w:rFonts w:hint="eastAsia" w:ascii="方正仿宋_GBK" w:hAnsi="方正仿宋_GBK" w:eastAsia="方正仿宋_GBK" w:cs="方正仿宋_GBK"/>
          <w:sz w:val="32"/>
          <w:szCs w:val="32"/>
        </w:rPr>
      </w:pPr>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79" w:name="_Toc1797"/>
      <w:r>
        <w:rPr>
          <w:rFonts w:hint="eastAsia" w:ascii="方正楷体_GBK" w:hAnsi="方正楷体_GBK" w:eastAsia="方正楷体_GBK" w:cs="方正楷体_GBK"/>
          <w:b w:val="0"/>
          <w:bCs/>
          <w:spacing w:val="6"/>
          <w:szCs w:val="32"/>
        </w:rPr>
        <w:t>第二节  严格水资源管理，促进可持续利用</w:t>
      </w:r>
      <w:bookmarkEnd w:id="79"/>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以“合理分水，管住用水”为目标，以落实最严格水资源管理制度和国家节水行动方案为抓手，实行水资源消耗总量和强度双控行动；加强河流水量分配，完成流域面积100km</w:t>
      </w:r>
      <w:r>
        <w:rPr>
          <w:rFonts w:hint="eastAsia" w:ascii="方正仿宋_GBK" w:hAnsi="方正仿宋_GBK" w:eastAsia="方正仿宋_GBK" w:cs="方正仿宋_GBK"/>
          <w:sz w:val="32"/>
          <w:szCs w:val="32"/>
          <w:vertAlign w:val="superscript"/>
        </w:rPr>
        <w:t>2</w:t>
      </w:r>
      <w:r>
        <w:rPr>
          <w:rFonts w:hint="eastAsia" w:ascii="方正仿宋_GBK" w:hAnsi="方正仿宋_GBK" w:eastAsia="方正仿宋_GBK" w:cs="方正仿宋_GBK"/>
          <w:sz w:val="32"/>
          <w:szCs w:val="32"/>
        </w:rPr>
        <w:t>以上跨区县境重要河流水量分配工作。严控取水许可审批，强化取用水总量管理，严格把关接近用水总量控制指标区县的新增取水申请，健全取用水总量管控台账。强化水资源保护，抓好生态流量确定与管控；加强饮用水水源保护，开展重要饮用水水源地水量水质监测及年度安全保障达标评估。</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一、由源头减少水资源开发利用强度，促进人水和谐</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节约优先是生态文明理念的核心之一，全区水资源利用要遵循人口经济与资源环境相均衡的生态文明核心理念，坚持以水定产、以水定城，合理控制水资源开发利用程度，努力维护河湖健康，为落实这一要求，全区要落实用水总量控制，加快制定各级河流（流域）水量分配方案，细化流域和区域取水总量控制指标，严格控制流域和区域取用水总量。强化规划水资源论证制度的实施力度，在国民经济和社会发展规划以及城市总体规划、工业园区、重大项目布局安排中，开展与当地水资源条件和防洪要求相适应的专题论证，做到从源头上降低水资源开发利用强度。加强对实施取水许可承诺并建成运行的建设项目开展取水许可后评估。</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二、全面加强节水型社会建设，切实推动全区用水方式转变</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当前许多水生态环境问题仍然存在，用水方式粗放的局面仍未整体扭转，用水效率仍然不高。为此，“十四五”期间，全区水资源管理工作仍然要把节水放在突出位置，通过推行系统的区域性节水制度、节水行动、节水机制，从城乡居民生活、农业生产和工业企业等重点领域发力，实现全区从粗放用水向节约集约用水的根本转变，对全区农村供水环节仍然存在计量不足的问题，要通过各级集中供水管理机构，通过加大资金投入、宣传提高节水意识等方面，推动镇街水厂、村级饮水工程取水计量设施、入户计量设施的安排。</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三、加大水资源保护，努力改善水环境质量</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水污染是当前全区面临的突出水问题之一，是涉及老百姓饮水安全、居所环境优劣的现实问题。“十四五”期间，要加强水资源保护，改善水环境质量。下一步，还需要从三个方面加大水资源保护力度。首先，要严格水功能区监督管理，从严核定水域纳污能力（容量），严格控制入河排污总量，对排污量超出水功能区限排总量的地区实施限批，加快建立以水域纳污能力倒逼陆域污染减排的综合治污和保护模式。其次，要加强水源地保护，全面开展重要饮用水水源地安全保障达标和规范化建设，依法清理水源保护区内违法建筑、排污口和各类养殖户。还要加强入河排污口整治，对问题突出、威胁饮水安全的排污口实施综合整治。</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四、确保现有梳理工程的生态流量运行监管</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抓好现有水库和已建电站的生态流量泄放措施建设，抓好重要河流断面生态流量确定与管控，建立生态流量水量监控预警和调度机制。</w:t>
      </w:r>
    </w:p>
    <w:p>
      <w:pPr>
        <w:spacing w:line="594" w:lineRule="exact"/>
        <w:ind w:firstLine="640" w:firstLineChars="200"/>
        <w:rPr>
          <w:rFonts w:hint="eastAsia" w:ascii="方正仿宋_GBK" w:hAnsi="方正仿宋_GBK" w:eastAsia="方正仿宋_GBK" w:cs="方正仿宋_GBK"/>
          <w:sz w:val="32"/>
          <w:szCs w:val="32"/>
        </w:rPr>
      </w:pPr>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80" w:name="_Toc22298"/>
      <w:r>
        <w:rPr>
          <w:rFonts w:hint="eastAsia" w:ascii="方正楷体_GBK" w:hAnsi="方正楷体_GBK" w:eastAsia="方正楷体_GBK" w:cs="方正楷体_GBK"/>
          <w:b w:val="0"/>
          <w:bCs/>
          <w:spacing w:val="6"/>
          <w:szCs w:val="32"/>
        </w:rPr>
        <w:t>第三节  强化水利工程运行管理，提升运营能力</w:t>
      </w:r>
      <w:bookmarkEnd w:id="80"/>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抓好水利工程建设管理，积极引入智能化、大数据管理手段，加快规范建设管理制度；采取“四不两直”、明察暗访相结合的方式，严格建设质量考核，强化工程施工管理、建设周期内全过程跟踪审计；强化水利工程建设信用信息管理。抓好水利工程运行管理，推进水源工程安全鉴定常态化管理，全面推进水库信息化、标准化管理，积极推进水利工程物业化管理，加强对工程管护主体、管护人员和管护经费落实情况的管理。</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一、抓好水利安全生产工作</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安全监管方面：一要继续深入开展以“建安”集中执法行动、安全生产大排查大整治大执法等为主线，以突出触电、起重伤害、车辆伤害方面的突出违法行为；职工（包括农民工）安全教育培训和特种作业、重要岗位操作人员持证上岗以及劳动保护用品配备使用等；年末岁尾易发的盲目赶工期、抢进度的问题；危险化学品使用、贮存安全制度建立和落实情况等方面的违法行为为重点的检查督查，加大执法处罚力度，倒逼水利生产经营单位主体责任的落实。二要进一步加大安全生产宣传教育培训力度，为水利安全生产提供基础保障。三要开展安全生产应急救援桌面演练，全面提升水利领域生产安全事故应急处置能力。</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质量监督方面 ：一要进一步加大宣传力度，提高认识，牢固树立质量第一的意识。二要进一步完善质监规章制度，建立健全并形成一整套系统的工作流程，强化质量监督管理，建立完善质量监督管理网络，建立健全质量监督制约机制。三要进一步加大质量检查的频率和力度，加强对受监工程的质量监督抽检，加强第三方检测的管理，确保质量监督的权威性。四是积极汇报争取，确保质监人员尽快到位，加强新进质监人员的技术培训，提高人员综合素质，保证质量监督的技术水平。</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二、做好水利工程建设监管</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要在全区水利行业加快规范建设管理制度，积极引入BIM等智能化、大数据管理手段，推行水利工程建设全生命周期管理、全要素智慧管理。二要严格工程建设质量考核，强化工程施工监管，建设周期内全过程跟踪审计。三要加强水利工程征地移民安置工作，加强水利工程造价管理和服务，强化水利工程建设稽查。加强对水利建设资金监管，严格执行水利财政资金管理、绩效评价制度。</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三、打造生态友好型工程，推进水利基础设施绿色化</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水利基础设施建设是保障水安全的重要手段。在发挥水利基础设施保障能力的同时，努力提高水利工程生态友好性，是生态文明建设的重要任务之一。重点是要强化对工程规划、设计、建设、管理过程的全过程监管，最大程度地避免工程实施的不利环境影响。规划设计方面，要按照“确有需要、生态安全、可以持续”的原则，主动对接全市区域性水资源配置工程（渝南水资源配置、中心城区现代水网工程）的建设，主动融入和争取在有关重大水利工程布局中发挥更大作用，落实各项环境保护措施。尤其针对社会关注的重点水利工程，要坚持“三先三后”原则，深入做好前期论证工作。工程建设方面，要充分考虑水生态环境保护和修复的需要，采取生态友好型工程方案、材料和施工工艺。在工程运行方面，要争取专项资金，推进全区水库打扮安全监测智能化。</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四、做好已建成的大中小型水利工程运行安全风险管理</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安排专项经费及早开展专业化治理，排除工程安全隐患。对于中型水库、小型水库、水文设施、农村饮水安全工程及其他水利工程，加强维修养护，保证其安全可靠运行，最大程度发挥水利工程的价值。同时，对各级水源工程定期委托专业机构开展大坝安全管理应急预案、防汛抢险应急预案的编制，保证安全管理、应急管理有关文件的组织、人员、经费、物资体系具备时效性、可操作性，保障群众生命和财产安全。</w:t>
      </w:r>
    </w:p>
    <w:p>
      <w:pPr>
        <w:pStyle w:val="3"/>
        <w:keepNext w:val="0"/>
        <w:keepLines w:val="0"/>
        <w:tabs>
          <w:tab w:val="left" w:pos="1008"/>
        </w:tabs>
        <w:spacing w:before="0" w:after="0" w:line="594" w:lineRule="exact"/>
        <w:jc w:val="left"/>
        <w:rPr>
          <w:rFonts w:hint="eastAsia" w:ascii="方正仿宋_GBK" w:hAnsi="方正仿宋_GBK" w:eastAsia="方正仿宋_GBK" w:cs="方正仿宋_GBK"/>
          <w:spacing w:val="6"/>
          <w:szCs w:val="32"/>
        </w:rPr>
      </w:pPr>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81" w:name="_Toc9886"/>
      <w:r>
        <w:rPr>
          <w:rFonts w:hint="eastAsia" w:ascii="方正楷体_GBK" w:hAnsi="方正楷体_GBK" w:eastAsia="方正楷体_GBK" w:cs="方正楷体_GBK"/>
          <w:b w:val="0"/>
          <w:bCs/>
          <w:spacing w:val="6"/>
          <w:szCs w:val="32"/>
        </w:rPr>
        <w:t>第四节  强化水土保持管理，控制人为水土流失</w:t>
      </w:r>
      <w:bookmarkEnd w:id="81"/>
    </w:p>
    <w:p>
      <w:pPr>
        <w:pStyle w:val="118"/>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严格落实水土保持目标责任考核办法，强化建设项目水土保持方案审批、水土保持补偿费征收管理工作。充分运用高科技术手段开展监测，实现年度水土流失动态监测全覆盖和人为水土流失监管全覆盖，全面掌握水土流失总量和动态消长变量，科学评估治理成效。水土保持必须充分发挥生态自然修复作用，把新发展理念融入水土保持各项工作之中，夯实水土保持监管力度，主要工作涉及5个方面：</w:t>
      </w:r>
    </w:p>
    <w:p>
      <w:pPr>
        <w:pStyle w:val="118"/>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一、坚持预防为主</w:t>
      </w:r>
    </w:p>
    <w:p>
      <w:pPr>
        <w:pStyle w:val="118"/>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加强对森林植被和水土流失治理成果的管护和培育，重点突出水土流失重点预防区、重要生态功能区、水源地以及重要河流两岸的水土流失预防保护，加强水土流失监测。</w:t>
      </w:r>
    </w:p>
    <w:p>
      <w:pPr>
        <w:pStyle w:val="118"/>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二、全面提升监测与信息化水平</w:t>
      </w:r>
    </w:p>
    <w:p>
      <w:pPr>
        <w:pStyle w:val="118"/>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推动全区水土保持相关的有关部门切实履行法定职责，发挥监测在政府决策、经济社会发展和社会公共服务中的作用。着力推进生产建设项目“天地一体化”监管和水土保持重点治理工程“图斑精细化”管理，采用遥感和信息化手段开展动态监测，加强水土流失动态监测和人为水土流失监管。力争尽快建成全面支撑信息化监管的区级水土保持综合监管与服务平台，切实提高水土保持监管效能与水平。</w:t>
      </w:r>
    </w:p>
    <w:p>
      <w:pPr>
        <w:pStyle w:val="118"/>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三、推进水土保持信息化监管全覆盖</w:t>
      </w:r>
    </w:p>
    <w:p>
      <w:pPr>
        <w:pStyle w:val="118"/>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进一步深化“放管服”改革，精简优化生产建设项目水土保持方案审批；进一步加强生产建设项目水土保持监督检查，督促建设单位依法依规完成水土保持工作，尽量遏制人为水土流失产生；应收尽收生产建设项目水土保持补偿费；全面完成生产建设项目水土保持设施“验收清零”行动；全面完成生产建设项目水土保持信息建设工作。</w:t>
      </w:r>
    </w:p>
    <w:p>
      <w:pPr>
        <w:pStyle w:val="118"/>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四、创新水土保持管理机制，深化水土保持改革</w:t>
      </w:r>
    </w:p>
    <w:p>
      <w:pPr>
        <w:pStyle w:val="118"/>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以贯彻水土保持法为重点，严格落实水土保持目标责任考核办法，压实政府各级部门水土保持主体责任。加强对生产建设项目和生产建设活动的水土保持监管，严格落实水土保持方案审批制度和水土保持“三同时”制度，规范约束各类生产建设行为，最大限度控制人为水土流失，遏制水土流失增量。建立各级管理主体（从区政府到水利局、乡镇）依法履职、（逐级）督查制度，强化对水土保持“三同时”落实工作督查，强化各级管理人员责任意识。因地制宜的采用水土保持委员会、联诺共争机制，建立咨询设计质量和诚信评价体系，引入退出机制确保形成公平公正的、向社会开放的有效竞争市场；加强从业人员技术与知识更新培训，以社会组织为平台，强化技术交流，提高服务水平。</w:t>
      </w:r>
    </w:p>
    <w:p>
      <w:pPr>
        <w:pStyle w:val="18"/>
        <w:pBdr>
          <w:bottom w:val="none" w:color="auto" w:sz="0" w:space="1"/>
        </w:pBdr>
        <w:spacing w:line="594" w:lineRule="exact"/>
        <w:ind w:firstLine="640" w:firstLineChars="200"/>
        <w:jc w:val="lef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五、</w:t>
      </w:r>
      <w:r>
        <w:rPr>
          <w:rFonts w:hint="eastAsia" w:ascii="方正仿宋_GBK" w:hAnsi="方正仿宋_GBK" w:eastAsia="方正仿宋_GBK" w:cs="方正仿宋_GBK"/>
          <w:sz w:val="32"/>
          <w:szCs w:val="32"/>
        </w:rPr>
        <w:t>加大水土保持法律法规宣传教育力度</w:t>
      </w:r>
    </w:p>
    <w:p>
      <w:pPr>
        <w:pStyle w:val="18"/>
        <w:pBdr>
          <w:bottom w:val="none" w:color="auto" w:sz="0" w:space="1"/>
        </w:pBdr>
        <w:spacing w:line="594" w:lineRule="exact"/>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继续加大水土保持法的宣传力度，创新宣传方式。通过组织开展形式多样的宣传教育活动，提升公众对水土流失防治和保护意识，使广大市民树立“绿水青山就是金山银山”的生态文明建设理念，人人参与水土保持，保护水土资源，爱护水环境。</w:t>
      </w:r>
    </w:p>
    <w:p>
      <w:pPr>
        <w:pStyle w:val="3"/>
        <w:keepNext w:val="0"/>
        <w:keepLines w:val="0"/>
        <w:tabs>
          <w:tab w:val="left" w:pos="1008"/>
        </w:tabs>
        <w:spacing w:before="0" w:after="0" w:line="594" w:lineRule="exact"/>
        <w:jc w:val="left"/>
        <w:rPr>
          <w:rFonts w:hint="eastAsia" w:ascii="方正仿宋_GBK" w:hAnsi="方正仿宋_GBK" w:eastAsia="方正仿宋_GBK" w:cs="方正仿宋_GBK"/>
          <w:spacing w:val="6"/>
          <w:szCs w:val="32"/>
        </w:rPr>
      </w:pPr>
    </w:p>
    <w:p>
      <w:pPr>
        <w:pStyle w:val="3"/>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82" w:name="_Toc7548"/>
      <w:r>
        <w:rPr>
          <w:rFonts w:hint="eastAsia" w:ascii="方正楷体_GBK" w:hAnsi="方正楷体_GBK" w:eastAsia="方正楷体_GBK" w:cs="方正楷体_GBK"/>
          <w:b w:val="0"/>
          <w:bCs/>
          <w:spacing w:val="6"/>
          <w:szCs w:val="32"/>
        </w:rPr>
        <w:t>第五节  强化水旱风险防御，提升应急处置能力</w:t>
      </w:r>
      <w:bookmarkEnd w:id="82"/>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完善水文监测预警体系。建设水旱灾害防御指挥系统。分级编制中小河流洪水风险图、防御洪水方案。分片区分年度试点编制干旱风险图。建立洪、旱、水资源、水生态预警指标和评价体系。完善水库、重要江河预警断面洪水预报及调度方案。牢固树立底线思维，强化风险意识，妥善应对水资源、水生态环境、水利工程等领域及水库移民稳定风险，最大程度预防和减少突发水安全事件造成的损害。</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一、进一步健全防汛抗旱制度体系</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在做好洪涝和干旱灾害应急处置的同时，全面加强防汛抗旱能力建设，配合区应急管理局健全防汛抗旱机构队伍和责任体系，完善新时期区级防汛抗旱指挥体系和组织效能，设立乡镇、社区一级的防汛抗旱指挥机构，完善区行政首长负责制为核心的责任体系，夯实防汛抗旱督查体系，加大对区级应急、水利主管部门、镇街、社区（村）的防汛抗旱组织机构在汛前准备工作、汛期应急处置、灾后恢复重建以及各项防汛抗旱专项工作实施等关键环节和重点工作的督查力度，督促各级责任人全面履职尽责。</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强水文基础设施建设，提升水文现代化水平，完善水文监测预警体系。做好已成水文站点和水文信息中心站的运行维护工作，确保水文数据传输通畅。做好山洪灾害防治项目“十个一”建设和运行维护工作，提高山洪灾害防御能力。严格农村饮水安全工程水质监测工作标准，做好农村饮水工程水质监测方案拟定，确保水质监测覆盖率满足要求。</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二、充分发挥有关预案在防灾减灾工作中的效能</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编制中小河流防御洪水方案、超标洪水防御方案。建立洪旱、水资源、水生态预警指标和评价体系。完善全区水库、重要江河预警断面洪水预报和调度方案，加快建立防洪减灾物资储备新机制，加强水利防灾物资储备。定期规范、系统开展全区、各乡镇、水利工程防汛抗旱方案预案编制工作，重点河流、河段编制防御洪水方案，组织全区大中型水库和重点小型水库开展联合调度方案编制，最大限度发挥现有水利工程的防洪效能，促进全区利用现有水利工程形成蓄泄兼筹的防洪体系。提高预案、方案等的可操作性、实用性和针对性，加强预案的培训演练。</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三、进一步增强基层灾害防御能力</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不断完善区级以下基层防汛抗旱组织体系，强化镇街专职机构经济建设、队伍建设、设施建设和保障措施，将组织机构向乡镇、社区（村）进行有效延伸。继续开展山洪灾害防治相关工作，增强基层山洪灾害综合防御能力。开展基层防汛预报预警体系建设，切实提高乡镇组织机构防灾减灾指挥决策现代化水平（“上传下达”能力），不断提高广大人民群众避险自救能力。加强城市、乡镇和连片（城乡一体化、规模化供水）区域应急备用水源的配置和管理，推进全区旱情监测预警系统和抗旱管理服务体系等非工程措施的建设，有效提高抗旱应急保障能力。</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四、规范抗旱社会管理</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推动制定与区级防洪特点相适应的《洪水风险图管理与应用办法》，逐步及建立健全洪水风险图分级、分类使用管理制度，加大洪水风险图成果应用推广宣传力度，开展洪水风险图应用试点。优化中心城区洪涝灾害应急管理体制，完善运作机制，规范城市防洪应急预案管理，提高城市洪涝灾害预测预警和处置能力。从严涉河项目审批和清退管理，制止各类随意侵占河道的建设行为，加强防汛抗旱新闻宣传，健全完善重要信息发布和负面不实信息回应和应急宣传机制，加强社区防灾减灾科普知识宣传，引导群众科学合理防灾避险。</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五、强化防灾应急保障能力</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强全区防汛抗旱应急队伍建设，深入人员队伍运行体制机制研究，保障队伍良性运行、人员相对稳定和可持续发展。按照《全国抗旱规划》和市级有关要求，筹备发展区级抗旱服务队，因地制宜发展乡镇级抗旱服务对，鼓励发展村级抗旱协会和农民抗旱专业户，逐步构建完善的社会化抗旱服务网络体系和良性运行机制，鼓励和扶持抗旱服务组织开展多种多样的社会化服务。增加防汛抗旱物资储备投入，优化全区主管部门、专业机构、工程管理机构的储备物资布局和品种，提高储备物资料科技含量。</w:t>
      </w:r>
    </w:p>
    <w:p>
      <w:pPr>
        <w:pStyle w:val="3"/>
        <w:keepLines w:val="0"/>
        <w:tabs>
          <w:tab w:val="left" w:pos="1008"/>
        </w:tabs>
        <w:spacing w:before="0" w:after="0" w:line="594" w:lineRule="exact"/>
        <w:jc w:val="center"/>
        <w:rPr>
          <w:rFonts w:hint="eastAsia" w:ascii="方正仿宋_GBK" w:hAnsi="方正仿宋_GBK" w:eastAsia="方正仿宋_GBK" w:cs="方正仿宋_GBK"/>
          <w:spacing w:val="6"/>
          <w:szCs w:val="32"/>
        </w:rPr>
      </w:pPr>
    </w:p>
    <w:p>
      <w:pPr>
        <w:pStyle w:val="3"/>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83" w:name="_Toc23183"/>
      <w:r>
        <w:rPr>
          <w:rFonts w:hint="eastAsia" w:ascii="方正楷体_GBK" w:hAnsi="方正楷体_GBK" w:eastAsia="方正楷体_GBK" w:cs="方正楷体_GBK"/>
          <w:b w:val="0"/>
          <w:bCs/>
          <w:spacing w:val="6"/>
          <w:szCs w:val="32"/>
        </w:rPr>
        <w:t>第六节  强化水行政事务管理，维持水事秩序</w:t>
      </w:r>
      <w:bookmarkEnd w:id="83"/>
    </w:p>
    <w:p>
      <w:pPr>
        <w:pStyle w:val="118"/>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强化流域区域水资源数量、质量、变化程度的动态监测，建立水资源承载能力监测预警机制，建立应对水资源变化风险的调控机制。建立重要骨干水源供水可靠度动态监测预警机制，完善城乡供水工程应对特大干旱、突发污染事件等应急保障预案。提高重点区域水资源开发利用强度监测预警水平，建立重要河湖生态流量（水量）以及地下水位预警管控机制，协调周边区县共同构建跨界河流水污染联防联控机制。健全以区长负责制为核心的防汛抗旱责任体系，制订高风险地区防洪抗旱应急预案，建立重大自然灾害引发的水安全事件应对机制。</w:t>
      </w:r>
    </w:p>
    <w:p>
      <w:pPr>
        <w:keepNext/>
        <w:spacing w:line="594" w:lineRule="exact"/>
        <w:ind w:firstLine="560"/>
        <w:rPr>
          <w:rFonts w:hint="eastAsia" w:ascii="方正仿宋_GBK" w:hAnsi="方正仿宋_GBK" w:eastAsia="方正仿宋_GBK" w:cs="方正仿宋_GBK"/>
          <w:sz w:val="32"/>
          <w:szCs w:val="32"/>
        </w:rPr>
      </w:pPr>
    </w:p>
    <w:p>
      <w:pPr>
        <w:pStyle w:val="54"/>
        <w:keepNext/>
        <w:spacing w:before="0" w:after="0" w:line="594" w:lineRule="exact"/>
        <w:ind w:left="0" w:firstLine="0"/>
        <w:jc w:val="center"/>
        <w:rPr>
          <w:rFonts w:hint="eastAsia" w:ascii="方正黑体_GBK" w:hAnsi="方正黑体_GBK" w:eastAsia="方正黑体_GBK" w:cs="方正黑体_GBK"/>
          <w:bCs/>
          <w:spacing w:val="6"/>
          <w:sz w:val="32"/>
          <w:szCs w:val="32"/>
        </w:rPr>
      </w:pPr>
      <w:bookmarkStart w:id="84" w:name="_Toc2177"/>
      <w:r>
        <w:rPr>
          <w:rFonts w:hint="eastAsia" w:ascii="方正黑体_GBK" w:hAnsi="方正黑体_GBK" w:eastAsia="方正黑体_GBK" w:cs="方正黑体_GBK"/>
          <w:bCs/>
          <w:spacing w:val="6"/>
          <w:sz w:val="32"/>
          <w:szCs w:val="32"/>
        </w:rPr>
        <w:t>第九章 抓改革、激活力 破解水利发展瓶颈</w:t>
      </w:r>
      <w:bookmarkEnd w:id="84"/>
    </w:p>
    <w:p>
      <w:pPr>
        <w:pStyle w:val="54"/>
        <w:keepNext/>
        <w:spacing w:before="0" w:after="0" w:line="594" w:lineRule="exact"/>
        <w:ind w:left="0" w:firstLine="0"/>
        <w:jc w:val="center"/>
        <w:rPr>
          <w:rFonts w:hint="eastAsia" w:ascii="方正黑体_GBK" w:hAnsi="方正黑体_GBK" w:eastAsia="方正黑体_GBK" w:cs="方正黑体_GBK"/>
          <w:bCs/>
          <w:spacing w:val="6"/>
          <w:sz w:val="32"/>
          <w:szCs w:val="32"/>
        </w:rPr>
      </w:pPr>
    </w:p>
    <w:p>
      <w:pPr>
        <w:pStyle w:val="119"/>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三五”以来，水利改革不断推进，水利体制机制逐步完善，构建了有利于增强水利保障能力、提升了水利社会管理水平、加快了水生态文明建设的科学完善的水利制度体系，在重要领域和关键环节改革上取得决定性成果，保障了水利事业的快速发展。但是，随着经济结构深入调整和社会持续转型，水利体制机制仍存在与经济社会可持续发展不协调、不适应的问题，必须深化水利改革，加快建立有利于水利科学发展的制度体系。党的十九大报告把水利摆在九大基础设施网络建设之首，深化了水利工作内涵，指明了水利发展方向。贯彻深化改革要求，走好创新路。针对水治理体制机制不健全、不完善的主要制约因素，按照“破障碍、激活力”的思路，发挥政府与市场的协同作用，推动水利重点领域和关键环节改革，破除水利改革发展瓶颈，增强水利发展后劲。</w:t>
      </w:r>
    </w:p>
    <w:p>
      <w:pPr>
        <w:pStyle w:val="3"/>
        <w:keepNext w:val="0"/>
        <w:keepLines w:val="0"/>
        <w:tabs>
          <w:tab w:val="left" w:pos="1008"/>
        </w:tabs>
        <w:spacing w:before="0" w:after="0" w:line="594" w:lineRule="exact"/>
        <w:jc w:val="left"/>
        <w:rPr>
          <w:rFonts w:hint="eastAsia" w:ascii="方正仿宋_GBK" w:hAnsi="方正仿宋_GBK" w:eastAsia="方正仿宋_GBK" w:cs="方正仿宋_GBK"/>
          <w:spacing w:val="6"/>
          <w:szCs w:val="32"/>
        </w:rPr>
      </w:pPr>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85" w:name="_Toc12447"/>
      <w:r>
        <w:rPr>
          <w:rFonts w:hint="eastAsia" w:ascii="方正楷体_GBK" w:hAnsi="方正楷体_GBK" w:eastAsia="方正楷体_GBK" w:cs="方正楷体_GBK"/>
          <w:b w:val="0"/>
          <w:bCs/>
          <w:spacing w:val="6"/>
          <w:szCs w:val="32"/>
        </w:rPr>
        <w:t>第一节  创新水利投融资体制，保障建设运行资金需求</w:t>
      </w:r>
      <w:bookmarkEnd w:id="85"/>
    </w:p>
    <w:p>
      <w:pPr>
        <w:pStyle w:val="119"/>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黔江区水利建设现阶段已初步形成了多元化水利投入机制。区政府利用土地融资收益和地方财政性收入用于河道生态整治、水源工程建设等；同时区委、区政府根据城区生态发展规划，要求新开发区域入驻企业必须遵循规划实施开发建设，投入一定资金用于企业周边的河道治理和水生态建设，缓解了财政资金压力。但随着水利事业步入新时代，单靠政府投入是远远不够的，深入投融资体制改革，坚持政府与市场两手发力，特别是鼓励和引导社会资本参与水利工程建设和运营，对于推进水利建设具有非常重要的意义，是未来水利建设行业发展之路。黔江区投融资思路应遵循“政府引导、市场主导、社会参与、群众支持”的投融资原则，在积极争取国家相关财政专项资金，发挥财政资金杠杆作用的同时，发挥“市场在配置的决定性作用”，构建多元化投融资机制，针对今后的水利建设，黔江区仍需继续推进水利投融资改革。</w:t>
      </w:r>
    </w:p>
    <w:p>
      <w:pPr>
        <w:pStyle w:val="119"/>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积极争取中央、地方配套资金对水利建设投入的同时，要多措并举，吸引社会资金和外资参与水利设施建设，特别是积极引导新开发区域的企业参与，依靠社会力量建设水利工程。建立健全政府和社会资本合作机制，合理选择PPP、BOT、TOT和股权投资等全新的水利工程融资形式；合理使用外资，积极分配低息、长久国际金融机构贷款用在水利工程建设中。对于有社会资本参与的水利建设工程，政府应给予优先支持，并根据项目的不同情况，通过投资补助、资本金注入、贷款贴息等方式引导和扶持，激发群众参与水利设施建设的积极性。</w:t>
      </w:r>
    </w:p>
    <w:p>
      <w:pPr>
        <w:pStyle w:val="119"/>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鼓励金融机构扩大水利信贷经费规模，指引商业银行增加水利项目的信贷经费，加快经营性水利投融资进度，扩大水利专项建设基金规模和范围，提高对公益性水利施项目的扶持力度，同时探索利用工程供水、发电等预期收益质押贷款，充分发挥政策性金融机构的作用，为水利工程建设提供长期稳定、相对低成本的资金支持。</w:t>
      </w:r>
    </w:p>
    <w:p>
      <w:pPr>
        <w:pStyle w:val="119"/>
        <w:spacing w:line="594" w:lineRule="exact"/>
        <w:ind w:firstLine="640" w:firstLineChars="200"/>
        <w:rPr>
          <w:rFonts w:hint="eastAsia" w:ascii="方正仿宋_GBK" w:hAnsi="方正仿宋_GBK" w:eastAsia="方正仿宋_GBK" w:cs="方正仿宋_GBK"/>
          <w:sz w:val="32"/>
          <w:szCs w:val="32"/>
        </w:rPr>
      </w:pPr>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86" w:name="_Toc15899"/>
      <w:r>
        <w:rPr>
          <w:rFonts w:hint="eastAsia" w:ascii="方正楷体_GBK" w:hAnsi="方正楷体_GBK" w:eastAsia="方正楷体_GBK" w:cs="方正楷体_GBK"/>
          <w:b w:val="0"/>
          <w:bCs/>
          <w:spacing w:val="6"/>
          <w:szCs w:val="32"/>
        </w:rPr>
        <w:t>第二节  加快水权水价市场改革，维护市场秩序</w:t>
      </w:r>
      <w:bookmarkEnd w:id="86"/>
    </w:p>
    <w:p>
      <w:pPr>
        <w:pStyle w:val="119"/>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继续推进农业水价综合改革，结合大中型灌区续建配套和节水改造开展计量设施建设，推行农业用水总量控制和定额管理，加强基层服务机构能力建设。做好农业水价综合改革绩效评价，建立改革台账，实化细化改革工作方案。探索实行分类水价，逐步推行阶梯水价，因地制宜探索实行两部制水价和季节水价制度。促进节约高效用水和高质量用水。</w:t>
      </w:r>
    </w:p>
    <w:p>
      <w:pPr>
        <w:pStyle w:val="119"/>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快建立健全水权初始分配制度，以水量分配方案为基础，确定区域取用水总量和权益，开展水利产权确权，建立健全水权登记、公示、调整等管理制度，明确水资源使用、收益、处分等权利归属关系和权责。加快培育和发展水市场，开展多种形式的取水权、排污权等交易，鼓励缺水地区政府回购水权，优先保证生活用水和生态用水，加强水权交易监管，维护良好市场秩序。</w:t>
      </w:r>
    </w:p>
    <w:p>
      <w:pPr>
        <w:pStyle w:val="119"/>
        <w:spacing w:line="594" w:lineRule="exact"/>
        <w:ind w:firstLine="640" w:firstLineChars="200"/>
        <w:rPr>
          <w:rFonts w:hint="eastAsia" w:ascii="方正仿宋_GBK" w:hAnsi="方正仿宋_GBK" w:eastAsia="方正仿宋_GBK" w:cs="方正仿宋_GBK"/>
          <w:sz w:val="32"/>
          <w:szCs w:val="32"/>
        </w:rPr>
      </w:pPr>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87" w:name="_Toc28947"/>
      <w:r>
        <w:rPr>
          <w:rFonts w:hint="eastAsia" w:ascii="方正楷体_GBK" w:hAnsi="方正楷体_GBK" w:eastAsia="方正楷体_GBK" w:cs="方正楷体_GBK"/>
          <w:b w:val="0"/>
          <w:bCs/>
          <w:spacing w:val="6"/>
          <w:szCs w:val="32"/>
        </w:rPr>
        <w:t>第三节  推进水利科技创新，提升水利信息化水平</w:t>
      </w:r>
      <w:bookmarkEnd w:id="87"/>
    </w:p>
    <w:p>
      <w:pPr>
        <w:pStyle w:val="119"/>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深化水利科研管理体制改革，建立具有活力、环境宽松的科研体制机制，制定培养和引进水利科技人才的政策，健全科技管理和科技推广服务体系，建立水利科技创新体制，完善内部运行机制。建设高效率的科技管理体系，完善水利科研项目全过程管理、科技情报管理、科技合作管理等。以全面实施“智慧水利”为主要抓手，在系统规划的基础上，加快推进现代化通信技术、物联网技术、遥测遥感技术等在水利勘测设计、水利工程调度运行、水资源管理保护、暴雨洪水监测预报、防洪抗旱决策指挥等方面的深度应用，以水利信息化引领和带动水利现代化建设。要提升防汛防旱指挥决策支持系统。按照“自动化监测、系统化运行、精准化调度、智能化管理”的要求，加强对已建防汛防旱决策指挥系统的升级改造，充实完善防汛专业数据库，增加开发应用软件功能，进一步提升全区防汛防旱管理和决策指挥科学化能力。</w:t>
      </w:r>
    </w:p>
    <w:p>
      <w:pPr>
        <w:pStyle w:val="119"/>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水利科技创新与信息化建设关键靠人才。黔江区需要切实加强水利科技人才队伍建设。要建立健全科技人才培养机制，制定专项工作计划，加强对中青年科技人员的专业培养和实践锻炼，促进科技人才队伍的更好更快成长。要牢固树立“科技促人才、人才带科技”意识，着力培养建设一批专业领域领军人物和技术带头人，形成一支结构合理、专业齐全、科技创新和推广能力强的水利科技人才队伍。健全水利人才培养开发、考核评价、选拔使用、激励保障和引进等工作机制。大力推进水政监察队伍建设，建立一支职能科学、权责法定、执法严明、公开公正、守法诚信的水行政执法队伍。建立水利职工终身教育体系，全面开展水利职工教育培训，加强基层水利人才队伍培养。推行基层水利专业技术人员实行培训持证上岗。</w:t>
      </w:r>
    </w:p>
    <w:p>
      <w:pPr>
        <w:pStyle w:val="119"/>
        <w:spacing w:line="594" w:lineRule="exact"/>
        <w:ind w:firstLine="640" w:firstLineChars="200"/>
        <w:rPr>
          <w:rFonts w:hint="eastAsia" w:ascii="方正仿宋_GBK" w:hAnsi="方正仿宋_GBK" w:eastAsia="方正仿宋_GBK" w:cs="方正仿宋_GBK"/>
          <w:sz w:val="32"/>
          <w:szCs w:val="32"/>
        </w:rPr>
      </w:pPr>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88" w:name="_Toc16148"/>
      <w:r>
        <w:rPr>
          <w:rFonts w:hint="eastAsia" w:ascii="方正楷体_GBK" w:hAnsi="方正楷体_GBK" w:eastAsia="方正楷体_GBK" w:cs="方正楷体_GBK"/>
          <w:b w:val="0"/>
          <w:bCs/>
          <w:spacing w:val="6"/>
          <w:szCs w:val="32"/>
        </w:rPr>
        <w:t>第四节  深化“放管服”改革，进行政务服务改革</w:t>
      </w:r>
      <w:bookmarkEnd w:id="88"/>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提升水利政务服务能力，主要依托深化“放管服”进行升华，打破行政性垄断，防止市场垄断，减少政府对要素的直接配置，加快建设统一开放、竞争有序的工程建设运营的市场体系，推动实现工程效益最大化和效率最优化。黔江区水利深化“放管服”改革，按照减事项、减程序、减费用的原则，优化审批流程、简化审批环节，大力推进并联审批。由“强审批”逐渐过渡到“重监管”。做好已取消或下放审批事项的事中事后监管；对保留的行政许可事项，要减流程、减环节、减材料，提高工作效率和群众便利度。围绕政务服务全市“一网通办”，加快完成行政许可标准化建设和“互联网+政务服务”，重点推进行政许可事项、流程、服务、场所、监督评价5个方面标准化建设，所有行政许可事项在市网审平台运行。</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大宣传力度，让更多的企业和群众了解审批办理流程，提高企业参与审批和监督审批的意识和能力，促进水利行政主管部门审批行为更严谨、更规范、更阳光。严格依法行政，合规、简明、高效地做好每一项审批服务。要严格按照法定条件和法定程序，取消重复性、形式化的审批手续，推行网上审批，对审批事项通过单位门户网站向社会公示，及时发现和纠正违规审批行为。</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深化行政管理体制改革，把简政放权、放管结合、优化服务作为全面深化改革的“先手棋”，全面提升服务效率和水平。围绕行政审批服务方式，力争申报材料再精简，没有法律依据的申报材料一律取消。</w:t>
      </w:r>
    </w:p>
    <w:p>
      <w:pPr>
        <w:spacing w:line="594" w:lineRule="exact"/>
        <w:ind w:firstLine="640" w:firstLineChars="200"/>
        <w:rPr>
          <w:rFonts w:hint="eastAsia" w:ascii="方正仿宋_GBK" w:hAnsi="方正仿宋_GBK" w:eastAsia="方正仿宋_GBK" w:cs="方正仿宋_GBK"/>
          <w:sz w:val="32"/>
          <w:szCs w:val="32"/>
        </w:rPr>
      </w:pPr>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89" w:name="_Toc29891"/>
      <w:r>
        <w:rPr>
          <w:rFonts w:hint="eastAsia" w:ascii="方正楷体_GBK" w:hAnsi="方正楷体_GBK" w:eastAsia="方正楷体_GBK" w:cs="方正楷体_GBK"/>
          <w:b w:val="0"/>
          <w:bCs/>
          <w:spacing w:val="6"/>
          <w:szCs w:val="32"/>
        </w:rPr>
        <w:t>第五节  实施“文化兴水”战略，厚植新时代水利精神</w:t>
      </w:r>
      <w:bookmarkEnd w:id="89"/>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充分发挥黔江区丰富的人文历史和独特的自然资源禀赋，依托黔江区小南海地质公园、峡谷公园、濯水古镇等特有旅游资源，深度挖掘水利文化、桥文化、码头文化等，加强水利历史遗产保护与建设。大力弘扬水文化，加大水景观的营建。</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一、挖掘和弘扬精神形态的水文化遗产，系统整理总结水文化的基本内涵、核心元素和表征符号，对有关水文化的传说、歌谣、诗赋、碑文等传统文化开展精神水文化遗产的保护和传承。</w:t>
      </w:r>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做好水文化的传播工作将水文化理念带进校园，吸引更多高素质人才到水文化建设队伍中，通过出版杂志、图书、歌曲、画册、比赛等多种文化形式，全方位打造黔江区水文化项目。在重大水利工程管理单位设立陈列馆，在中型水库管理单位、其他重要的或者与市民联系紧密的水利管理单位设立陈列室或者展示室，增强行业荣誉感和职工凝聚力。加强传播载体建设、传播平台建设和内外学习交流，发挥水利工程设施、水利风景区作用，向社会公众充分展现治水兴水的人文关怀和文化魅力。充分利用微信公众号、微博等新型传媒资源,开展多层次、多种类、多形式的持续宣传活动，深化社会各界人士对水的认识，营造爱水、护水、节水的社会氛围，使水文化深入人心。</w:t>
      </w:r>
    </w:p>
    <w:p>
      <w:pPr>
        <w:spacing w:line="594" w:lineRule="exact"/>
        <w:ind w:firstLine="560"/>
        <w:rPr>
          <w:rFonts w:hint="eastAsia" w:ascii="方正仿宋_GBK" w:hAnsi="方正仿宋_GBK" w:eastAsia="方正仿宋_GBK" w:cs="方正仿宋_GBK"/>
          <w:sz w:val="32"/>
          <w:szCs w:val="32"/>
        </w:rPr>
      </w:pPr>
    </w:p>
    <w:p>
      <w:pPr>
        <w:pStyle w:val="54"/>
        <w:spacing w:before="0" w:after="0" w:line="594" w:lineRule="exact"/>
        <w:ind w:left="0" w:firstLine="0"/>
        <w:jc w:val="center"/>
        <w:rPr>
          <w:rFonts w:hint="eastAsia" w:ascii="方正黑体_GBK" w:hAnsi="方正黑体_GBK" w:eastAsia="方正黑体_GBK" w:cs="方正黑体_GBK"/>
          <w:bCs/>
          <w:spacing w:val="6"/>
          <w:sz w:val="32"/>
          <w:szCs w:val="32"/>
        </w:rPr>
      </w:pPr>
      <w:bookmarkStart w:id="90" w:name="_Toc14162"/>
      <w:bookmarkStart w:id="91" w:name="_Toc30388"/>
      <w:bookmarkStart w:id="92" w:name="_Toc12013"/>
      <w:r>
        <w:rPr>
          <w:rFonts w:hint="eastAsia" w:ascii="方正黑体_GBK" w:hAnsi="方正黑体_GBK" w:eastAsia="方正黑体_GBK" w:cs="方正黑体_GBK"/>
          <w:bCs/>
          <w:spacing w:val="6"/>
          <w:sz w:val="32"/>
          <w:szCs w:val="32"/>
        </w:rPr>
        <w:t>第十章 规划投资估算</w:t>
      </w:r>
      <w:bookmarkEnd w:id="90"/>
      <w:bookmarkEnd w:id="91"/>
    </w:p>
    <w:p>
      <w:pPr>
        <w:spacing w:line="594" w:lineRule="exact"/>
        <w:ind w:firstLine="560"/>
        <w:rPr>
          <w:rFonts w:hint="eastAsia" w:ascii="方正仿宋_GBK" w:hAnsi="方正仿宋_GBK" w:eastAsia="方正仿宋_GBK" w:cs="方正仿宋_GBK"/>
          <w:sz w:val="32"/>
          <w:szCs w:val="32"/>
        </w:rPr>
      </w:pPr>
      <w:bookmarkStart w:id="93" w:name="_Toc28613"/>
      <w:bookmarkStart w:id="94" w:name="_Toc13013"/>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按规划所确定的建设任务，根据规划工程类别分别进行投资估算，对已开展前期工作且已获批的项目，直接采用其投资估算成果；对正在开展前期工作但未获批的项目，结合项目实际，按其最新投资估算成果并参考类似项目进行修正后，进行投资估算；对未开展前期工作属于策划阶段的项目，按相关行业的同类工程标准，采用指标法进行投资估算。统筹分析中央、市级、区县级的财力和投入可能性，在确保“十三五”续建项目建设投资需求的前提下，结合“十四五”规划拟建重点项目筛选情况，按不同工程类别投资及其可能来源测算“十四五”时期水利投资规模。经统计本次水安全保障规划共筹划44个大小项目，总投资144.04亿元。其中“十四五”期间投资33.23亿元，占估算总投资的23%。各类型项目投资如下表所示。</w:t>
      </w:r>
      <w:bookmarkEnd w:id="93"/>
    </w:p>
    <w:bookmarkEnd w:id="94"/>
    <w:p>
      <w:pPr>
        <w:jc w:val="center"/>
        <w:rPr>
          <w:rFonts w:hint="eastAsia" w:ascii="方正黑体_GBK" w:hAnsi="方正黑体_GBK" w:eastAsia="方正黑体_GBK" w:cs="方正黑体_GBK"/>
          <w:sz w:val="32"/>
          <w:szCs w:val="32"/>
        </w:rPr>
      </w:pPr>
      <w:bookmarkStart w:id="95" w:name="_Toc20408"/>
      <w:bookmarkStart w:id="96" w:name="_Toc17542"/>
      <w:r>
        <w:rPr>
          <w:rFonts w:hint="eastAsia" w:ascii="方正黑体_GBK" w:hAnsi="方正黑体_GBK" w:eastAsia="方正黑体_GBK" w:cs="方正黑体_GBK"/>
          <w:sz w:val="32"/>
          <w:szCs w:val="32"/>
        </w:rPr>
        <w:t>黔江区水安全保障“十四五”规划建设任务汇总表</w:t>
      </w:r>
      <w:bookmarkEnd w:id="95"/>
      <w:bookmarkEnd w:id="96"/>
    </w:p>
    <w:tbl>
      <w:tblPr>
        <w:tblStyle w:val="28"/>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830"/>
        <w:gridCol w:w="990"/>
        <w:gridCol w:w="2394"/>
        <w:gridCol w:w="674"/>
        <w:gridCol w:w="1048"/>
        <w:gridCol w:w="1048"/>
        <w:gridCol w:w="1049"/>
        <w:gridCol w:w="106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90" w:hRule="atLeast"/>
        </w:trPr>
        <w:tc>
          <w:tcPr>
            <w:tcW w:w="830" w:type="dxa"/>
            <w:noWrap w:val="0"/>
            <w:vAlign w:val="center"/>
          </w:tcPr>
          <w:p>
            <w:pPr>
              <w:widowControl/>
              <w:spacing w:line="240" w:lineRule="exact"/>
              <w:jc w:val="center"/>
              <w:textAlignment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kern w:val="0"/>
                <w:sz w:val="24"/>
                <w:szCs w:val="24"/>
              </w:rPr>
              <w:t>序号</w:t>
            </w:r>
          </w:p>
        </w:tc>
        <w:tc>
          <w:tcPr>
            <w:tcW w:w="3384" w:type="dxa"/>
            <w:gridSpan w:val="2"/>
            <w:noWrap w:val="0"/>
            <w:vAlign w:val="center"/>
          </w:tcPr>
          <w:p>
            <w:pPr>
              <w:widowControl/>
              <w:spacing w:line="240" w:lineRule="exact"/>
              <w:jc w:val="center"/>
              <w:textAlignment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kern w:val="0"/>
                <w:sz w:val="24"/>
                <w:szCs w:val="24"/>
              </w:rPr>
              <w:t>类别</w:t>
            </w:r>
          </w:p>
        </w:tc>
        <w:tc>
          <w:tcPr>
            <w:tcW w:w="674" w:type="dxa"/>
            <w:noWrap w:val="0"/>
            <w:vAlign w:val="center"/>
          </w:tcPr>
          <w:p>
            <w:pPr>
              <w:widowControl/>
              <w:spacing w:line="240" w:lineRule="exact"/>
              <w:jc w:val="center"/>
              <w:textAlignment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kern w:val="0"/>
                <w:sz w:val="24"/>
                <w:szCs w:val="24"/>
              </w:rPr>
              <w:t>项目数</w:t>
            </w:r>
          </w:p>
        </w:tc>
        <w:tc>
          <w:tcPr>
            <w:tcW w:w="1048" w:type="dxa"/>
            <w:tcBorders>
              <w:right w:val="single" w:color="auto" w:sz="4" w:space="0"/>
            </w:tcBorders>
            <w:noWrap w:val="0"/>
            <w:vAlign w:val="center"/>
          </w:tcPr>
          <w:p>
            <w:pPr>
              <w:spacing w:line="240" w:lineRule="exact"/>
              <w:jc w:val="center"/>
              <w:rPr>
                <w:rFonts w:hint="eastAsia" w:ascii="方正黑体_GBK" w:hAnsi="方正黑体_GBK" w:eastAsia="方正黑体_GBK" w:cs="方正黑体_GBK"/>
                <w:snapToGrid w:val="0"/>
                <w:kern w:val="0"/>
                <w:sz w:val="24"/>
                <w:szCs w:val="24"/>
              </w:rPr>
            </w:pPr>
            <w:r>
              <w:rPr>
                <w:rFonts w:hint="eastAsia" w:ascii="方正黑体_GBK" w:hAnsi="方正黑体_GBK" w:eastAsia="方正黑体_GBK" w:cs="方正黑体_GBK"/>
                <w:snapToGrid w:val="0"/>
                <w:kern w:val="0"/>
                <w:sz w:val="24"/>
                <w:szCs w:val="24"/>
              </w:rPr>
              <w:t>总投资</w:t>
            </w:r>
          </w:p>
          <w:p>
            <w:pPr>
              <w:spacing w:line="240" w:lineRule="exact"/>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napToGrid w:val="0"/>
                <w:kern w:val="0"/>
                <w:sz w:val="24"/>
                <w:szCs w:val="24"/>
              </w:rPr>
              <w:t>（亿元）</w:t>
            </w:r>
          </w:p>
        </w:tc>
        <w:tc>
          <w:tcPr>
            <w:tcW w:w="1048" w:type="dxa"/>
            <w:tcBorders>
              <w:left w:val="single" w:color="auto" w:sz="4" w:space="0"/>
              <w:right w:val="single" w:color="auto" w:sz="4" w:space="0"/>
            </w:tcBorders>
            <w:noWrap w:val="0"/>
            <w:vAlign w:val="center"/>
          </w:tcPr>
          <w:p>
            <w:pPr>
              <w:spacing w:line="240" w:lineRule="exact"/>
              <w:jc w:val="center"/>
              <w:rPr>
                <w:rFonts w:hint="eastAsia" w:ascii="方正黑体_GBK" w:hAnsi="方正黑体_GBK" w:eastAsia="方正黑体_GBK" w:cs="方正黑体_GBK"/>
                <w:snapToGrid w:val="0"/>
                <w:kern w:val="0"/>
                <w:sz w:val="24"/>
                <w:szCs w:val="24"/>
              </w:rPr>
            </w:pPr>
            <w:r>
              <w:rPr>
                <w:rFonts w:hint="eastAsia" w:ascii="方正黑体_GBK" w:hAnsi="方正黑体_GBK" w:eastAsia="方正黑体_GBK" w:cs="方正黑体_GBK"/>
                <w:snapToGrid w:val="0"/>
                <w:kern w:val="0"/>
                <w:sz w:val="24"/>
                <w:szCs w:val="24"/>
              </w:rPr>
              <w:t>“十四五”期间投资</w:t>
            </w:r>
          </w:p>
          <w:p>
            <w:pPr>
              <w:spacing w:line="240" w:lineRule="exact"/>
              <w:jc w:val="center"/>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snapToGrid w:val="0"/>
                <w:kern w:val="0"/>
                <w:sz w:val="24"/>
                <w:szCs w:val="24"/>
              </w:rPr>
              <w:t>（亿元）</w:t>
            </w:r>
          </w:p>
        </w:tc>
        <w:tc>
          <w:tcPr>
            <w:tcW w:w="1049" w:type="dxa"/>
            <w:tcBorders>
              <w:left w:val="single" w:color="auto" w:sz="4" w:space="0"/>
            </w:tcBorders>
            <w:noWrap w:val="0"/>
            <w:vAlign w:val="center"/>
          </w:tcPr>
          <w:p>
            <w:pPr>
              <w:spacing w:line="240" w:lineRule="exact"/>
              <w:jc w:val="center"/>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占所有投资比例</w:t>
            </w:r>
          </w:p>
        </w:tc>
        <w:tc>
          <w:tcPr>
            <w:tcW w:w="1069" w:type="dxa"/>
            <w:noWrap w:val="0"/>
            <w:vAlign w:val="center"/>
          </w:tcPr>
          <w:p>
            <w:pPr>
              <w:widowControl/>
              <w:spacing w:line="240" w:lineRule="exact"/>
              <w:jc w:val="center"/>
              <w:textAlignment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kern w:val="0"/>
                <w:sz w:val="24"/>
                <w:szCs w:val="24"/>
              </w:rPr>
              <w:t>“十四五”分类汇总投资（亿元）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830"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1</w:t>
            </w:r>
          </w:p>
        </w:tc>
        <w:tc>
          <w:tcPr>
            <w:tcW w:w="990" w:type="dxa"/>
            <w:vMerge w:val="restart"/>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防洪保安体系建设</w:t>
            </w:r>
          </w:p>
        </w:tc>
        <w:tc>
          <w:tcPr>
            <w:tcW w:w="239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重点河流综合治理</w:t>
            </w:r>
          </w:p>
        </w:tc>
        <w:tc>
          <w:tcPr>
            <w:tcW w:w="67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w:t>
            </w:r>
          </w:p>
        </w:tc>
        <w:tc>
          <w:tcPr>
            <w:tcW w:w="1048" w:type="dxa"/>
            <w:tcBorders>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2.76</w:t>
            </w:r>
          </w:p>
        </w:tc>
        <w:tc>
          <w:tcPr>
            <w:tcW w:w="1048" w:type="dxa"/>
            <w:tcBorders>
              <w:left w:val="single" w:color="auto" w:sz="4" w:space="0"/>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 xml:space="preserve">2.76 </w:t>
            </w:r>
          </w:p>
        </w:tc>
        <w:tc>
          <w:tcPr>
            <w:tcW w:w="1049" w:type="dxa"/>
            <w:tcBorders>
              <w:lef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8.31%</w:t>
            </w:r>
          </w:p>
        </w:tc>
        <w:tc>
          <w:tcPr>
            <w:tcW w:w="1069" w:type="dxa"/>
            <w:vMerge w:val="restart"/>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830"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2</w:t>
            </w:r>
          </w:p>
        </w:tc>
        <w:tc>
          <w:tcPr>
            <w:tcW w:w="990" w:type="dxa"/>
            <w:vMerge w:val="continue"/>
            <w:noWrap w:val="0"/>
            <w:vAlign w:val="center"/>
          </w:tcPr>
          <w:p>
            <w:pPr>
              <w:spacing w:line="240" w:lineRule="exact"/>
              <w:jc w:val="center"/>
              <w:rPr>
                <w:rFonts w:hint="eastAsia" w:ascii="方正仿宋_GBK" w:hAnsi="方正仿宋_GBK" w:eastAsia="方正仿宋_GBK" w:cs="方正仿宋_GBK"/>
                <w:sz w:val="24"/>
                <w:szCs w:val="24"/>
              </w:rPr>
            </w:pPr>
          </w:p>
        </w:tc>
        <w:tc>
          <w:tcPr>
            <w:tcW w:w="239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山洪灾害防治</w:t>
            </w:r>
          </w:p>
        </w:tc>
        <w:tc>
          <w:tcPr>
            <w:tcW w:w="67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w:t>
            </w:r>
          </w:p>
        </w:tc>
        <w:tc>
          <w:tcPr>
            <w:tcW w:w="1048" w:type="dxa"/>
            <w:tcBorders>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0.25</w:t>
            </w:r>
          </w:p>
        </w:tc>
        <w:tc>
          <w:tcPr>
            <w:tcW w:w="1048" w:type="dxa"/>
            <w:tcBorders>
              <w:left w:val="single" w:color="auto" w:sz="4" w:space="0"/>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0.25</w:t>
            </w:r>
          </w:p>
        </w:tc>
        <w:tc>
          <w:tcPr>
            <w:tcW w:w="1049" w:type="dxa"/>
            <w:tcBorders>
              <w:lef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0.75%</w:t>
            </w:r>
          </w:p>
        </w:tc>
        <w:tc>
          <w:tcPr>
            <w:tcW w:w="1069" w:type="dxa"/>
            <w:vMerge w:val="continue"/>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90" w:hRule="atLeast"/>
        </w:trPr>
        <w:tc>
          <w:tcPr>
            <w:tcW w:w="830"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w:t>
            </w:r>
          </w:p>
        </w:tc>
        <w:tc>
          <w:tcPr>
            <w:tcW w:w="990" w:type="dxa"/>
            <w:vMerge w:val="continue"/>
            <w:noWrap w:val="0"/>
            <w:vAlign w:val="center"/>
          </w:tcPr>
          <w:p>
            <w:pPr>
              <w:spacing w:line="240" w:lineRule="exact"/>
              <w:jc w:val="center"/>
              <w:rPr>
                <w:rFonts w:hint="eastAsia" w:ascii="方正仿宋_GBK" w:hAnsi="方正仿宋_GBK" w:eastAsia="方正仿宋_GBK" w:cs="方正仿宋_GBK"/>
                <w:sz w:val="24"/>
                <w:szCs w:val="24"/>
              </w:rPr>
            </w:pPr>
          </w:p>
        </w:tc>
        <w:tc>
          <w:tcPr>
            <w:tcW w:w="2394"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城市防洪排涝能力提升</w:t>
            </w:r>
          </w:p>
        </w:tc>
        <w:tc>
          <w:tcPr>
            <w:tcW w:w="674"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c>
          <w:tcPr>
            <w:tcW w:w="1048" w:type="dxa"/>
            <w:tcBorders>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0.5</w:t>
            </w:r>
          </w:p>
        </w:tc>
        <w:tc>
          <w:tcPr>
            <w:tcW w:w="1048" w:type="dxa"/>
            <w:tcBorders>
              <w:left w:val="single" w:color="auto" w:sz="4" w:space="0"/>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0.5</w:t>
            </w:r>
          </w:p>
        </w:tc>
        <w:tc>
          <w:tcPr>
            <w:tcW w:w="1049" w:type="dxa"/>
            <w:tcBorders>
              <w:lef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1.50%</w:t>
            </w:r>
          </w:p>
        </w:tc>
        <w:tc>
          <w:tcPr>
            <w:tcW w:w="1069" w:type="dxa"/>
            <w:vMerge w:val="continue"/>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830"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w:t>
            </w:r>
          </w:p>
        </w:tc>
        <w:tc>
          <w:tcPr>
            <w:tcW w:w="990" w:type="dxa"/>
            <w:vMerge w:val="continue"/>
            <w:noWrap w:val="0"/>
            <w:vAlign w:val="center"/>
          </w:tcPr>
          <w:p>
            <w:pPr>
              <w:spacing w:line="240" w:lineRule="exact"/>
              <w:jc w:val="center"/>
              <w:rPr>
                <w:rFonts w:hint="eastAsia" w:ascii="方正仿宋_GBK" w:hAnsi="方正仿宋_GBK" w:eastAsia="方正仿宋_GBK" w:cs="方正仿宋_GBK"/>
                <w:sz w:val="24"/>
                <w:szCs w:val="24"/>
              </w:rPr>
            </w:pPr>
          </w:p>
        </w:tc>
        <w:tc>
          <w:tcPr>
            <w:tcW w:w="2394"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其他类（应急水毁项目、水利工程维修养护、防洪工程5年提升计划）</w:t>
            </w:r>
          </w:p>
        </w:tc>
        <w:tc>
          <w:tcPr>
            <w:tcW w:w="674"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c>
          <w:tcPr>
            <w:tcW w:w="1048" w:type="dxa"/>
            <w:tcBorders>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0.3</w:t>
            </w:r>
          </w:p>
        </w:tc>
        <w:tc>
          <w:tcPr>
            <w:tcW w:w="1048" w:type="dxa"/>
            <w:tcBorders>
              <w:left w:val="single" w:color="auto" w:sz="4" w:space="0"/>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0.3</w:t>
            </w:r>
          </w:p>
        </w:tc>
        <w:tc>
          <w:tcPr>
            <w:tcW w:w="1049" w:type="dxa"/>
            <w:tcBorders>
              <w:lef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0.90%</w:t>
            </w:r>
          </w:p>
        </w:tc>
        <w:tc>
          <w:tcPr>
            <w:tcW w:w="1069" w:type="dxa"/>
            <w:vMerge w:val="continue"/>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8" w:hRule="atLeast"/>
        </w:trPr>
        <w:tc>
          <w:tcPr>
            <w:tcW w:w="830"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w:t>
            </w:r>
          </w:p>
        </w:tc>
        <w:tc>
          <w:tcPr>
            <w:tcW w:w="990" w:type="dxa"/>
            <w:vMerge w:val="restart"/>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城乡供水保障体系建设</w:t>
            </w:r>
          </w:p>
        </w:tc>
        <w:tc>
          <w:tcPr>
            <w:tcW w:w="239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水源工程</w:t>
            </w:r>
          </w:p>
        </w:tc>
        <w:tc>
          <w:tcPr>
            <w:tcW w:w="67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16</w:t>
            </w:r>
          </w:p>
        </w:tc>
        <w:tc>
          <w:tcPr>
            <w:tcW w:w="1048" w:type="dxa"/>
            <w:tcBorders>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101.93</w:t>
            </w:r>
          </w:p>
        </w:tc>
        <w:tc>
          <w:tcPr>
            <w:tcW w:w="1048" w:type="dxa"/>
            <w:tcBorders>
              <w:left w:val="single" w:color="auto" w:sz="4" w:space="0"/>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15.40</w:t>
            </w:r>
          </w:p>
        </w:tc>
        <w:tc>
          <w:tcPr>
            <w:tcW w:w="1049" w:type="dxa"/>
            <w:tcBorders>
              <w:lef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46.34%</w:t>
            </w:r>
          </w:p>
        </w:tc>
        <w:tc>
          <w:tcPr>
            <w:tcW w:w="1069" w:type="dxa"/>
            <w:vMerge w:val="restart"/>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21.50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80" w:hRule="atLeast"/>
        </w:trPr>
        <w:tc>
          <w:tcPr>
            <w:tcW w:w="830"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w:t>
            </w:r>
          </w:p>
        </w:tc>
        <w:tc>
          <w:tcPr>
            <w:tcW w:w="990" w:type="dxa"/>
            <w:vMerge w:val="continue"/>
            <w:noWrap w:val="0"/>
            <w:vAlign w:val="center"/>
          </w:tcPr>
          <w:p>
            <w:pPr>
              <w:spacing w:line="240" w:lineRule="exact"/>
              <w:jc w:val="center"/>
              <w:rPr>
                <w:rFonts w:hint="eastAsia" w:ascii="方正仿宋_GBK" w:hAnsi="方正仿宋_GBK" w:eastAsia="方正仿宋_GBK" w:cs="方正仿宋_GBK"/>
                <w:sz w:val="24"/>
                <w:szCs w:val="24"/>
              </w:rPr>
            </w:pPr>
          </w:p>
        </w:tc>
        <w:tc>
          <w:tcPr>
            <w:tcW w:w="239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引提水工程</w:t>
            </w:r>
          </w:p>
        </w:tc>
        <w:tc>
          <w:tcPr>
            <w:tcW w:w="67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w:t>
            </w:r>
          </w:p>
        </w:tc>
        <w:tc>
          <w:tcPr>
            <w:tcW w:w="1048" w:type="dxa"/>
            <w:tcBorders>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1.39</w:t>
            </w:r>
          </w:p>
        </w:tc>
        <w:tc>
          <w:tcPr>
            <w:tcW w:w="1048" w:type="dxa"/>
            <w:tcBorders>
              <w:left w:val="single" w:color="auto" w:sz="4" w:space="0"/>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1.39</w:t>
            </w:r>
          </w:p>
        </w:tc>
        <w:tc>
          <w:tcPr>
            <w:tcW w:w="1049" w:type="dxa"/>
            <w:tcBorders>
              <w:lef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4.18%</w:t>
            </w:r>
          </w:p>
        </w:tc>
        <w:tc>
          <w:tcPr>
            <w:tcW w:w="1069" w:type="dxa"/>
            <w:vMerge w:val="continue"/>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1" w:hRule="atLeast"/>
        </w:trPr>
        <w:tc>
          <w:tcPr>
            <w:tcW w:w="830"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w:t>
            </w:r>
          </w:p>
        </w:tc>
        <w:tc>
          <w:tcPr>
            <w:tcW w:w="990" w:type="dxa"/>
            <w:vMerge w:val="continue"/>
            <w:noWrap w:val="0"/>
            <w:vAlign w:val="center"/>
          </w:tcPr>
          <w:p>
            <w:pPr>
              <w:spacing w:line="240" w:lineRule="exact"/>
              <w:jc w:val="center"/>
              <w:rPr>
                <w:rFonts w:hint="eastAsia" w:ascii="方正仿宋_GBK" w:hAnsi="方正仿宋_GBK" w:eastAsia="方正仿宋_GBK" w:cs="方正仿宋_GBK"/>
                <w:sz w:val="24"/>
                <w:szCs w:val="24"/>
              </w:rPr>
            </w:pPr>
          </w:p>
        </w:tc>
        <w:tc>
          <w:tcPr>
            <w:tcW w:w="239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城乡供水一体化工程</w:t>
            </w:r>
          </w:p>
        </w:tc>
        <w:tc>
          <w:tcPr>
            <w:tcW w:w="67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1048" w:type="dxa"/>
            <w:tcBorders>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3.41</w:t>
            </w:r>
          </w:p>
        </w:tc>
        <w:tc>
          <w:tcPr>
            <w:tcW w:w="1048" w:type="dxa"/>
            <w:tcBorders>
              <w:left w:val="single" w:color="auto" w:sz="4" w:space="0"/>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3.41</w:t>
            </w:r>
          </w:p>
        </w:tc>
        <w:tc>
          <w:tcPr>
            <w:tcW w:w="1049" w:type="dxa"/>
            <w:tcBorders>
              <w:lef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10.26%</w:t>
            </w:r>
          </w:p>
        </w:tc>
        <w:tc>
          <w:tcPr>
            <w:tcW w:w="1069" w:type="dxa"/>
            <w:vMerge w:val="continue"/>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81" w:hRule="atLeast"/>
        </w:trPr>
        <w:tc>
          <w:tcPr>
            <w:tcW w:w="830"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9</w:t>
            </w:r>
          </w:p>
        </w:tc>
        <w:tc>
          <w:tcPr>
            <w:tcW w:w="990" w:type="dxa"/>
            <w:vMerge w:val="continue"/>
            <w:noWrap w:val="0"/>
            <w:vAlign w:val="center"/>
          </w:tcPr>
          <w:p>
            <w:pPr>
              <w:spacing w:line="240" w:lineRule="exact"/>
              <w:jc w:val="center"/>
              <w:rPr>
                <w:rFonts w:hint="eastAsia" w:ascii="方正仿宋_GBK" w:hAnsi="方正仿宋_GBK" w:eastAsia="方正仿宋_GBK" w:cs="方正仿宋_GBK"/>
                <w:sz w:val="24"/>
                <w:szCs w:val="24"/>
              </w:rPr>
            </w:pPr>
          </w:p>
        </w:tc>
        <w:tc>
          <w:tcPr>
            <w:tcW w:w="2394"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农村供水工程</w:t>
            </w:r>
          </w:p>
        </w:tc>
        <w:tc>
          <w:tcPr>
            <w:tcW w:w="674"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226</w:t>
            </w:r>
          </w:p>
        </w:tc>
        <w:tc>
          <w:tcPr>
            <w:tcW w:w="1048" w:type="dxa"/>
            <w:tcBorders>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1.30</w:t>
            </w:r>
          </w:p>
        </w:tc>
        <w:tc>
          <w:tcPr>
            <w:tcW w:w="1048" w:type="dxa"/>
            <w:tcBorders>
              <w:left w:val="single" w:color="auto" w:sz="4" w:space="0"/>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1.30</w:t>
            </w:r>
          </w:p>
        </w:tc>
        <w:tc>
          <w:tcPr>
            <w:tcW w:w="1049" w:type="dxa"/>
            <w:tcBorders>
              <w:lef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3.91%</w:t>
            </w:r>
          </w:p>
        </w:tc>
        <w:tc>
          <w:tcPr>
            <w:tcW w:w="1069" w:type="dxa"/>
            <w:vMerge w:val="continue"/>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90" w:hRule="atLeast"/>
        </w:trPr>
        <w:tc>
          <w:tcPr>
            <w:tcW w:w="830"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w:t>
            </w:r>
          </w:p>
        </w:tc>
        <w:tc>
          <w:tcPr>
            <w:tcW w:w="990" w:type="dxa"/>
            <w:vMerge w:val="restart"/>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水生态文明建设体系建设</w:t>
            </w:r>
          </w:p>
        </w:tc>
        <w:tc>
          <w:tcPr>
            <w:tcW w:w="239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水生态项目</w:t>
            </w:r>
          </w:p>
        </w:tc>
        <w:tc>
          <w:tcPr>
            <w:tcW w:w="67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3</w:t>
            </w:r>
          </w:p>
        </w:tc>
        <w:tc>
          <w:tcPr>
            <w:tcW w:w="1048" w:type="dxa"/>
            <w:tcBorders>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29.76</w:t>
            </w:r>
          </w:p>
        </w:tc>
        <w:tc>
          <w:tcPr>
            <w:tcW w:w="1048" w:type="dxa"/>
            <w:tcBorders>
              <w:left w:val="single" w:color="auto" w:sz="4" w:space="0"/>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5.48</w:t>
            </w:r>
          </w:p>
        </w:tc>
        <w:tc>
          <w:tcPr>
            <w:tcW w:w="1049" w:type="dxa"/>
            <w:tcBorders>
              <w:lef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16.49%</w:t>
            </w:r>
          </w:p>
        </w:tc>
        <w:tc>
          <w:tcPr>
            <w:tcW w:w="1069" w:type="dxa"/>
            <w:vMerge w:val="restart"/>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6.36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830"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11</w:t>
            </w:r>
          </w:p>
        </w:tc>
        <w:tc>
          <w:tcPr>
            <w:tcW w:w="990" w:type="dxa"/>
            <w:vMerge w:val="continue"/>
            <w:noWrap w:val="0"/>
            <w:vAlign w:val="center"/>
          </w:tcPr>
          <w:p>
            <w:pPr>
              <w:spacing w:line="240" w:lineRule="exact"/>
              <w:jc w:val="center"/>
              <w:rPr>
                <w:rFonts w:hint="eastAsia" w:ascii="方正仿宋_GBK" w:hAnsi="方正仿宋_GBK" w:eastAsia="方正仿宋_GBK" w:cs="方正仿宋_GBK"/>
                <w:sz w:val="24"/>
                <w:szCs w:val="24"/>
              </w:rPr>
            </w:pPr>
          </w:p>
        </w:tc>
        <w:tc>
          <w:tcPr>
            <w:tcW w:w="239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水环境治理工程</w:t>
            </w:r>
          </w:p>
        </w:tc>
        <w:tc>
          <w:tcPr>
            <w:tcW w:w="67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1</w:t>
            </w:r>
          </w:p>
        </w:tc>
        <w:tc>
          <w:tcPr>
            <w:tcW w:w="1048" w:type="dxa"/>
            <w:tcBorders>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0.38</w:t>
            </w:r>
          </w:p>
        </w:tc>
        <w:tc>
          <w:tcPr>
            <w:tcW w:w="1048" w:type="dxa"/>
            <w:tcBorders>
              <w:left w:val="single" w:color="auto" w:sz="4" w:space="0"/>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0.38</w:t>
            </w:r>
          </w:p>
        </w:tc>
        <w:tc>
          <w:tcPr>
            <w:tcW w:w="1049" w:type="dxa"/>
            <w:tcBorders>
              <w:lef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1.14%</w:t>
            </w:r>
          </w:p>
        </w:tc>
        <w:tc>
          <w:tcPr>
            <w:tcW w:w="1069" w:type="dxa"/>
            <w:vMerge w:val="continue"/>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830"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12</w:t>
            </w:r>
          </w:p>
        </w:tc>
        <w:tc>
          <w:tcPr>
            <w:tcW w:w="990" w:type="dxa"/>
            <w:vMerge w:val="continue"/>
            <w:noWrap w:val="0"/>
            <w:vAlign w:val="center"/>
          </w:tcPr>
          <w:p>
            <w:pPr>
              <w:spacing w:line="240" w:lineRule="exact"/>
              <w:jc w:val="center"/>
              <w:rPr>
                <w:rFonts w:hint="eastAsia" w:ascii="方正仿宋_GBK" w:hAnsi="方正仿宋_GBK" w:eastAsia="方正仿宋_GBK" w:cs="方正仿宋_GBK"/>
                <w:sz w:val="24"/>
                <w:szCs w:val="24"/>
              </w:rPr>
            </w:pPr>
          </w:p>
        </w:tc>
        <w:tc>
          <w:tcPr>
            <w:tcW w:w="2394"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水土保持项目</w:t>
            </w:r>
          </w:p>
        </w:tc>
        <w:tc>
          <w:tcPr>
            <w:tcW w:w="674"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c>
          <w:tcPr>
            <w:tcW w:w="1048" w:type="dxa"/>
            <w:tcBorders>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0.5</w:t>
            </w:r>
          </w:p>
        </w:tc>
        <w:tc>
          <w:tcPr>
            <w:tcW w:w="1048" w:type="dxa"/>
            <w:tcBorders>
              <w:left w:val="single" w:color="auto" w:sz="4" w:space="0"/>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0.5</w:t>
            </w:r>
          </w:p>
        </w:tc>
        <w:tc>
          <w:tcPr>
            <w:tcW w:w="1049" w:type="dxa"/>
            <w:tcBorders>
              <w:lef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1.50%</w:t>
            </w:r>
          </w:p>
        </w:tc>
        <w:tc>
          <w:tcPr>
            <w:tcW w:w="1069" w:type="dxa"/>
            <w:vMerge w:val="continue"/>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830"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13</w:t>
            </w:r>
          </w:p>
        </w:tc>
        <w:tc>
          <w:tcPr>
            <w:tcW w:w="990"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智慧水利体系建设</w:t>
            </w:r>
          </w:p>
        </w:tc>
        <w:tc>
          <w:tcPr>
            <w:tcW w:w="239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黔江区智慧水利项目</w:t>
            </w:r>
          </w:p>
        </w:tc>
        <w:tc>
          <w:tcPr>
            <w:tcW w:w="67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w:t>
            </w:r>
          </w:p>
        </w:tc>
        <w:tc>
          <w:tcPr>
            <w:tcW w:w="1048" w:type="dxa"/>
            <w:tcBorders>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0.05</w:t>
            </w:r>
          </w:p>
        </w:tc>
        <w:tc>
          <w:tcPr>
            <w:tcW w:w="1048" w:type="dxa"/>
            <w:tcBorders>
              <w:left w:val="single" w:color="auto" w:sz="4" w:space="0"/>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0.05</w:t>
            </w:r>
          </w:p>
        </w:tc>
        <w:tc>
          <w:tcPr>
            <w:tcW w:w="1049" w:type="dxa"/>
            <w:tcBorders>
              <w:lef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0.15%</w:t>
            </w:r>
          </w:p>
        </w:tc>
        <w:tc>
          <w:tcPr>
            <w:tcW w:w="1069"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00" w:hRule="atLeast"/>
        </w:trPr>
        <w:tc>
          <w:tcPr>
            <w:tcW w:w="830"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14</w:t>
            </w:r>
          </w:p>
        </w:tc>
        <w:tc>
          <w:tcPr>
            <w:tcW w:w="990" w:type="dxa"/>
            <w:vMerge w:val="restart"/>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其他项目</w:t>
            </w:r>
          </w:p>
        </w:tc>
        <w:tc>
          <w:tcPr>
            <w:tcW w:w="239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大中型水库移民后期扶持项目</w:t>
            </w:r>
          </w:p>
        </w:tc>
        <w:tc>
          <w:tcPr>
            <w:tcW w:w="674"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c>
          <w:tcPr>
            <w:tcW w:w="1048" w:type="dxa"/>
            <w:tcBorders>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1.26</w:t>
            </w:r>
          </w:p>
        </w:tc>
        <w:tc>
          <w:tcPr>
            <w:tcW w:w="1048" w:type="dxa"/>
            <w:tcBorders>
              <w:left w:val="single" w:color="auto" w:sz="4" w:space="0"/>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1.26</w:t>
            </w:r>
          </w:p>
        </w:tc>
        <w:tc>
          <w:tcPr>
            <w:tcW w:w="1049" w:type="dxa"/>
            <w:tcBorders>
              <w:lef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3.79%</w:t>
            </w:r>
          </w:p>
        </w:tc>
        <w:tc>
          <w:tcPr>
            <w:tcW w:w="1069" w:type="dxa"/>
            <w:vMerge w:val="restart"/>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830"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15</w:t>
            </w:r>
          </w:p>
        </w:tc>
        <w:tc>
          <w:tcPr>
            <w:tcW w:w="990" w:type="dxa"/>
            <w:vMerge w:val="continue"/>
            <w:noWrap w:val="0"/>
            <w:vAlign w:val="center"/>
          </w:tcPr>
          <w:p>
            <w:pPr>
              <w:spacing w:line="240" w:lineRule="exact"/>
              <w:jc w:val="center"/>
              <w:rPr>
                <w:rFonts w:hint="eastAsia" w:ascii="方正仿宋_GBK" w:hAnsi="方正仿宋_GBK" w:eastAsia="方正仿宋_GBK" w:cs="方正仿宋_GBK"/>
                <w:sz w:val="24"/>
                <w:szCs w:val="24"/>
              </w:rPr>
            </w:pPr>
          </w:p>
        </w:tc>
        <w:tc>
          <w:tcPr>
            <w:tcW w:w="239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防汛抗旱能力建设</w:t>
            </w:r>
          </w:p>
        </w:tc>
        <w:tc>
          <w:tcPr>
            <w:tcW w:w="674"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c>
          <w:tcPr>
            <w:tcW w:w="1048" w:type="dxa"/>
            <w:tcBorders>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0.05</w:t>
            </w:r>
          </w:p>
        </w:tc>
        <w:tc>
          <w:tcPr>
            <w:tcW w:w="1048" w:type="dxa"/>
            <w:tcBorders>
              <w:left w:val="single" w:color="auto" w:sz="4" w:space="0"/>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0.05</w:t>
            </w:r>
          </w:p>
        </w:tc>
        <w:tc>
          <w:tcPr>
            <w:tcW w:w="1049" w:type="dxa"/>
            <w:tcBorders>
              <w:lef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0.15%</w:t>
            </w:r>
          </w:p>
        </w:tc>
        <w:tc>
          <w:tcPr>
            <w:tcW w:w="1069" w:type="dxa"/>
            <w:vMerge w:val="continue"/>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830"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16</w:t>
            </w:r>
          </w:p>
        </w:tc>
        <w:tc>
          <w:tcPr>
            <w:tcW w:w="990" w:type="dxa"/>
            <w:vMerge w:val="continue"/>
            <w:noWrap w:val="0"/>
            <w:vAlign w:val="center"/>
          </w:tcPr>
          <w:p>
            <w:pPr>
              <w:spacing w:line="240" w:lineRule="exact"/>
              <w:jc w:val="center"/>
              <w:rPr>
                <w:rFonts w:hint="eastAsia" w:ascii="方正仿宋_GBK" w:hAnsi="方正仿宋_GBK" w:eastAsia="方正仿宋_GBK" w:cs="方正仿宋_GBK"/>
                <w:sz w:val="24"/>
                <w:szCs w:val="24"/>
              </w:rPr>
            </w:pPr>
          </w:p>
        </w:tc>
        <w:tc>
          <w:tcPr>
            <w:tcW w:w="239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河长制建设</w:t>
            </w:r>
          </w:p>
        </w:tc>
        <w:tc>
          <w:tcPr>
            <w:tcW w:w="674"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c>
          <w:tcPr>
            <w:tcW w:w="1048" w:type="dxa"/>
            <w:tcBorders>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0.025</w:t>
            </w:r>
          </w:p>
        </w:tc>
        <w:tc>
          <w:tcPr>
            <w:tcW w:w="1048" w:type="dxa"/>
            <w:tcBorders>
              <w:left w:val="single" w:color="auto" w:sz="4" w:space="0"/>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0.025</w:t>
            </w:r>
          </w:p>
        </w:tc>
        <w:tc>
          <w:tcPr>
            <w:tcW w:w="1049" w:type="dxa"/>
            <w:tcBorders>
              <w:lef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0.08%</w:t>
            </w:r>
          </w:p>
        </w:tc>
        <w:tc>
          <w:tcPr>
            <w:tcW w:w="1069" w:type="dxa"/>
            <w:vMerge w:val="continue"/>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90" w:hRule="atLeast"/>
        </w:trPr>
        <w:tc>
          <w:tcPr>
            <w:tcW w:w="830"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17</w:t>
            </w:r>
          </w:p>
        </w:tc>
        <w:tc>
          <w:tcPr>
            <w:tcW w:w="990" w:type="dxa"/>
            <w:vMerge w:val="continue"/>
            <w:noWrap w:val="0"/>
            <w:vAlign w:val="center"/>
          </w:tcPr>
          <w:p>
            <w:pPr>
              <w:spacing w:line="240" w:lineRule="exact"/>
              <w:jc w:val="center"/>
              <w:rPr>
                <w:rFonts w:hint="eastAsia" w:ascii="方正仿宋_GBK" w:hAnsi="方正仿宋_GBK" w:eastAsia="方正仿宋_GBK" w:cs="方正仿宋_GBK"/>
                <w:sz w:val="24"/>
                <w:szCs w:val="24"/>
              </w:rPr>
            </w:pPr>
          </w:p>
        </w:tc>
        <w:tc>
          <w:tcPr>
            <w:tcW w:w="239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水文化项目</w:t>
            </w:r>
          </w:p>
        </w:tc>
        <w:tc>
          <w:tcPr>
            <w:tcW w:w="674"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c>
          <w:tcPr>
            <w:tcW w:w="1048" w:type="dxa"/>
            <w:tcBorders>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0.03</w:t>
            </w:r>
          </w:p>
        </w:tc>
        <w:tc>
          <w:tcPr>
            <w:tcW w:w="1048" w:type="dxa"/>
            <w:tcBorders>
              <w:left w:val="single" w:color="auto" w:sz="4" w:space="0"/>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0.03</w:t>
            </w:r>
          </w:p>
        </w:tc>
        <w:tc>
          <w:tcPr>
            <w:tcW w:w="1049" w:type="dxa"/>
            <w:tcBorders>
              <w:lef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0.09%</w:t>
            </w:r>
          </w:p>
        </w:tc>
        <w:tc>
          <w:tcPr>
            <w:tcW w:w="1069" w:type="dxa"/>
            <w:vMerge w:val="continue"/>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90" w:hRule="atLeast"/>
        </w:trPr>
        <w:tc>
          <w:tcPr>
            <w:tcW w:w="830"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18</w:t>
            </w:r>
          </w:p>
        </w:tc>
        <w:tc>
          <w:tcPr>
            <w:tcW w:w="990" w:type="dxa"/>
            <w:vMerge w:val="continue"/>
            <w:noWrap w:val="0"/>
            <w:vAlign w:val="center"/>
          </w:tcPr>
          <w:p>
            <w:pPr>
              <w:spacing w:line="240" w:lineRule="exact"/>
              <w:jc w:val="center"/>
              <w:rPr>
                <w:rFonts w:hint="eastAsia" w:ascii="方正仿宋_GBK" w:hAnsi="方正仿宋_GBK" w:eastAsia="方正仿宋_GBK" w:cs="方正仿宋_GBK"/>
                <w:sz w:val="24"/>
                <w:szCs w:val="24"/>
              </w:rPr>
            </w:pPr>
          </w:p>
        </w:tc>
        <w:tc>
          <w:tcPr>
            <w:tcW w:w="2394"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水利人才队伍建设</w:t>
            </w:r>
          </w:p>
        </w:tc>
        <w:tc>
          <w:tcPr>
            <w:tcW w:w="674"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c>
          <w:tcPr>
            <w:tcW w:w="1048" w:type="dxa"/>
            <w:tcBorders>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0.15</w:t>
            </w:r>
          </w:p>
        </w:tc>
        <w:tc>
          <w:tcPr>
            <w:tcW w:w="1048" w:type="dxa"/>
            <w:tcBorders>
              <w:left w:val="single" w:color="auto" w:sz="4" w:space="0"/>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0.15</w:t>
            </w:r>
          </w:p>
        </w:tc>
        <w:tc>
          <w:tcPr>
            <w:tcW w:w="1049" w:type="dxa"/>
            <w:tcBorders>
              <w:lef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0.45%</w:t>
            </w:r>
          </w:p>
        </w:tc>
        <w:tc>
          <w:tcPr>
            <w:tcW w:w="1069"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830" w:type="dxa"/>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w:t>
            </w:r>
          </w:p>
        </w:tc>
        <w:tc>
          <w:tcPr>
            <w:tcW w:w="3384" w:type="dxa"/>
            <w:gridSpan w:val="2"/>
            <w:noWrap w:val="0"/>
            <w:vAlign w:val="center"/>
          </w:tcPr>
          <w:p>
            <w:pPr>
              <w:widowControl/>
              <w:spacing w:line="24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合计</w:t>
            </w:r>
          </w:p>
        </w:tc>
        <w:tc>
          <w:tcPr>
            <w:tcW w:w="674" w:type="dxa"/>
            <w:noWrap w:val="0"/>
            <w:vAlign w:val="center"/>
          </w:tcPr>
          <w:p>
            <w:pPr>
              <w:spacing w:line="240" w:lineRule="exact"/>
              <w:jc w:val="center"/>
              <w:rPr>
                <w:rFonts w:hint="eastAsia" w:ascii="方正仿宋_GBK" w:hAnsi="方正仿宋_GBK" w:eastAsia="方正仿宋_GBK" w:cs="方正仿宋_GBK"/>
                <w:sz w:val="24"/>
                <w:szCs w:val="24"/>
              </w:rPr>
            </w:pPr>
          </w:p>
        </w:tc>
        <w:tc>
          <w:tcPr>
            <w:tcW w:w="1048" w:type="dxa"/>
            <w:tcBorders>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144.04</w:t>
            </w:r>
          </w:p>
        </w:tc>
        <w:tc>
          <w:tcPr>
            <w:tcW w:w="1048" w:type="dxa"/>
            <w:tcBorders>
              <w:left w:val="single" w:color="auto" w:sz="4" w:space="0"/>
              <w:righ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33.23</w:t>
            </w:r>
          </w:p>
        </w:tc>
        <w:tc>
          <w:tcPr>
            <w:tcW w:w="1049" w:type="dxa"/>
            <w:tcBorders>
              <w:left w:val="single" w:color="auto" w:sz="4" w:space="0"/>
            </w:tcBorders>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100%</w:t>
            </w:r>
          </w:p>
        </w:tc>
        <w:tc>
          <w:tcPr>
            <w:tcW w:w="1069" w:type="dxa"/>
            <w:noWrap w:val="0"/>
            <w:vAlign w:val="center"/>
          </w:tcPr>
          <w:p>
            <w:pPr>
              <w:widowControl/>
              <w:spacing w:line="24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r>
    </w:tbl>
    <w:p>
      <w:pPr>
        <w:jc w:val="center"/>
        <w:rPr>
          <w:rFonts w:hint="eastAsia" w:ascii="方正仿宋_GBK" w:hAnsi="方正仿宋_GBK" w:eastAsia="方正仿宋_GBK" w:cs="方正仿宋_GBK"/>
          <w:b/>
          <w:bCs/>
          <w:sz w:val="32"/>
          <w:szCs w:val="32"/>
        </w:rPr>
      </w:pPr>
      <w:bookmarkStart w:id="97" w:name="_Toc26038"/>
    </w:p>
    <w:p>
      <w:pPr>
        <w:jc w:val="center"/>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黔江区水安全保障“十四五”规划建设项目投资表</w:t>
      </w:r>
      <w:bookmarkEnd w:id="97"/>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
      <w:tblGrid>
        <w:gridCol w:w="921"/>
        <w:gridCol w:w="1589"/>
        <w:gridCol w:w="1076"/>
        <w:gridCol w:w="779"/>
        <w:gridCol w:w="1027"/>
        <w:gridCol w:w="954"/>
        <w:gridCol w:w="1329"/>
        <w:gridCol w:w="13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30" w:hRule="atLeast"/>
          <w:tblHeader/>
        </w:trPr>
        <w:tc>
          <w:tcPr>
            <w:tcW w:w="921" w:type="dxa"/>
            <w:vMerge w:val="restart"/>
            <w:noWrap w:val="0"/>
            <w:vAlign w:val="center"/>
          </w:tcPr>
          <w:p>
            <w:pPr>
              <w:widowControl/>
              <w:spacing w:line="260" w:lineRule="exact"/>
              <w:jc w:val="center"/>
              <w:textAlignment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kern w:val="0"/>
                <w:sz w:val="24"/>
                <w:szCs w:val="24"/>
              </w:rPr>
              <w:t>序号</w:t>
            </w:r>
          </w:p>
        </w:tc>
        <w:tc>
          <w:tcPr>
            <w:tcW w:w="1589" w:type="dxa"/>
            <w:vMerge w:val="restart"/>
            <w:noWrap w:val="0"/>
            <w:vAlign w:val="center"/>
          </w:tcPr>
          <w:p>
            <w:pPr>
              <w:widowControl/>
              <w:spacing w:line="260" w:lineRule="exact"/>
              <w:jc w:val="center"/>
              <w:textAlignment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kern w:val="0"/>
                <w:sz w:val="24"/>
                <w:szCs w:val="24"/>
              </w:rPr>
              <w:t>项目类别</w:t>
            </w:r>
          </w:p>
        </w:tc>
        <w:tc>
          <w:tcPr>
            <w:tcW w:w="1076" w:type="dxa"/>
            <w:vMerge w:val="restart"/>
            <w:noWrap w:val="0"/>
            <w:vAlign w:val="center"/>
          </w:tcPr>
          <w:p>
            <w:pPr>
              <w:widowControl/>
              <w:spacing w:line="260" w:lineRule="exact"/>
              <w:jc w:val="center"/>
              <w:textAlignment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kern w:val="0"/>
                <w:sz w:val="24"/>
                <w:szCs w:val="24"/>
              </w:rPr>
              <w:t>“十四五”期间总投资</w:t>
            </w:r>
          </w:p>
          <w:p>
            <w:pPr>
              <w:widowControl/>
              <w:spacing w:line="260" w:lineRule="exact"/>
              <w:jc w:val="center"/>
              <w:textAlignment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kern w:val="0"/>
                <w:sz w:val="24"/>
                <w:szCs w:val="24"/>
              </w:rPr>
              <w:t>(万元)</w:t>
            </w:r>
          </w:p>
        </w:tc>
        <w:tc>
          <w:tcPr>
            <w:tcW w:w="779" w:type="dxa"/>
            <w:vMerge w:val="restart"/>
            <w:noWrap w:val="0"/>
            <w:vAlign w:val="center"/>
          </w:tcPr>
          <w:p>
            <w:pPr>
              <w:widowControl/>
              <w:spacing w:line="260" w:lineRule="exact"/>
              <w:jc w:val="center"/>
              <w:textAlignment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kern w:val="0"/>
                <w:sz w:val="24"/>
                <w:szCs w:val="24"/>
              </w:rPr>
              <w:t>中央资金</w:t>
            </w:r>
          </w:p>
        </w:tc>
        <w:tc>
          <w:tcPr>
            <w:tcW w:w="3310" w:type="dxa"/>
            <w:gridSpan w:val="3"/>
            <w:noWrap w:val="0"/>
            <w:vAlign w:val="center"/>
          </w:tcPr>
          <w:p>
            <w:pPr>
              <w:widowControl/>
              <w:spacing w:line="260" w:lineRule="exact"/>
              <w:jc w:val="center"/>
              <w:textAlignment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kern w:val="0"/>
                <w:sz w:val="24"/>
                <w:szCs w:val="24"/>
              </w:rPr>
              <w:t>地方政府</w:t>
            </w:r>
          </w:p>
        </w:tc>
        <w:tc>
          <w:tcPr>
            <w:tcW w:w="1363" w:type="dxa"/>
            <w:vMerge w:val="restart"/>
            <w:noWrap w:val="0"/>
            <w:vAlign w:val="center"/>
          </w:tcPr>
          <w:p>
            <w:pPr>
              <w:widowControl/>
              <w:spacing w:line="260" w:lineRule="exact"/>
              <w:jc w:val="center"/>
              <w:textAlignment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其他资金来源（企业和私人投资、贷款、债券及外资等）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881" w:hRule="atLeast"/>
          <w:tblHeader/>
        </w:trPr>
        <w:tc>
          <w:tcPr>
            <w:tcW w:w="921" w:type="dxa"/>
            <w:vMerge w:val="continue"/>
            <w:noWrap w:val="0"/>
            <w:vAlign w:val="center"/>
          </w:tcPr>
          <w:p>
            <w:pPr>
              <w:spacing w:line="260" w:lineRule="exact"/>
              <w:jc w:val="center"/>
              <w:rPr>
                <w:rFonts w:hint="eastAsia" w:ascii="方正黑体_GBK" w:hAnsi="方正黑体_GBK" w:eastAsia="方正黑体_GBK" w:cs="方正黑体_GBK"/>
                <w:sz w:val="24"/>
                <w:szCs w:val="24"/>
              </w:rPr>
            </w:pPr>
          </w:p>
        </w:tc>
        <w:tc>
          <w:tcPr>
            <w:tcW w:w="1589" w:type="dxa"/>
            <w:vMerge w:val="continue"/>
            <w:noWrap w:val="0"/>
            <w:vAlign w:val="center"/>
          </w:tcPr>
          <w:p>
            <w:pPr>
              <w:spacing w:line="260" w:lineRule="exact"/>
              <w:jc w:val="center"/>
              <w:rPr>
                <w:rFonts w:hint="eastAsia" w:ascii="方正黑体_GBK" w:hAnsi="方正黑体_GBK" w:eastAsia="方正黑体_GBK" w:cs="方正黑体_GBK"/>
                <w:sz w:val="24"/>
                <w:szCs w:val="24"/>
              </w:rPr>
            </w:pPr>
          </w:p>
        </w:tc>
        <w:tc>
          <w:tcPr>
            <w:tcW w:w="1076" w:type="dxa"/>
            <w:vMerge w:val="continue"/>
            <w:noWrap w:val="0"/>
            <w:vAlign w:val="center"/>
          </w:tcPr>
          <w:p>
            <w:pPr>
              <w:widowControl/>
              <w:spacing w:line="260" w:lineRule="exact"/>
              <w:jc w:val="center"/>
              <w:textAlignment w:val="center"/>
              <w:rPr>
                <w:rFonts w:hint="eastAsia" w:ascii="方正黑体_GBK" w:hAnsi="方正黑体_GBK" w:eastAsia="方正黑体_GBK" w:cs="方正黑体_GBK"/>
                <w:sz w:val="24"/>
                <w:szCs w:val="24"/>
              </w:rPr>
            </w:pPr>
          </w:p>
        </w:tc>
        <w:tc>
          <w:tcPr>
            <w:tcW w:w="779" w:type="dxa"/>
            <w:vMerge w:val="continue"/>
            <w:noWrap w:val="0"/>
            <w:vAlign w:val="center"/>
          </w:tcPr>
          <w:p>
            <w:pPr>
              <w:spacing w:line="260" w:lineRule="exact"/>
              <w:jc w:val="center"/>
              <w:rPr>
                <w:rFonts w:hint="eastAsia" w:ascii="方正黑体_GBK" w:hAnsi="方正黑体_GBK" w:eastAsia="方正黑体_GBK" w:cs="方正黑体_GBK"/>
                <w:sz w:val="24"/>
                <w:szCs w:val="24"/>
              </w:rPr>
            </w:pPr>
          </w:p>
        </w:tc>
        <w:tc>
          <w:tcPr>
            <w:tcW w:w="1027" w:type="dxa"/>
            <w:noWrap w:val="0"/>
            <w:vAlign w:val="center"/>
          </w:tcPr>
          <w:p>
            <w:pPr>
              <w:widowControl/>
              <w:spacing w:line="260" w:lineRule="exact"/>
              <w:jc w:val="center"/>
              <w:textAlignment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kern w:val="0"/>
                <w:sz w:val="24"/>
                <w:szCs w:val="24"/>
              </w:rPr>
              <w:t>合计</w:t>
            </w:r>
          </w:p>
        </w:tc>
        <w:tc>
          <w:tcPr>
            <w:tcW w:w="954" w:type="dxa"/>
            <w:noWrap w:val="0"/>
            <w:vAlign w:val="center"/>
          </w:tcPr>
          <w:p>
            <w:pPr>
              <w:widowControl/>
              <w:spacing w:line="260" w:lineRule="exact"/>
              <w:jc w:val="center"/>
              <w:textAlignment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kern w:val="0"/>
                <w:sz w:val="24"/>
                <w:szCs w:val="24"/>
              </w:rPr>
              <w:t>市级</w:t>
            </w:r>
          </w:p>
        </w:tc>
        <w:tc>
          <w:tcPr>
            <w:tcW w:w="1329" w:type="dxa"/>
            <w:noWrap w:val="0"/>
            <w:vAlign w:val="center"/>
          </w:tcPr>
          <w:p>
            <w:pPr>
              <w:widowControl/>
              <w:spacing w:line="260" w:lineRule="exact"/>
              <w:jc w:val="center"/>
              <w:textAlignment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kern w:val="0"/>
                <w:sz w:val="24"/>
                <w:szCs w:val="24"/>
              </w:rPr>
              <w:t>区级</w:t>
            </w:r>
          </w:p>
        </w:tc>
        <w:tc>
          <w:tcPr>
            <w:tcW w:w="1363" w:type="dxa"/>
            <w:vMerge w:val="continue"/>
            <w:noWrap w:val="0"/>
            <w:vAlign w:val="center"/>
          </w:tcPr>
          <w:p>
            <w:pPr>
              <w:widowControl/>
              <w:spacing w:line="260" w:lineRule="exact"/>
              <w:jc w:val="center"/>
              <w:textAlignment w:val="center"/>
              <w:rPr>
                <w:rFonts w:hint="eastAsia" w:ascii="方正黑体_GBK" w:hAnsi="方正黑体_GBK" w:eastAsia="方正黑体_GBK" w:cs="方正黑体_GBK"/>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2510" w:type="dxa"/>
            <w:gridSpan w:val="2"/>
            <w:noWrap w:val="0"/>
            <w:vAlign w:val="center"/>
          </w:tcPr>
          <w:p>
            <w:pPr>
              <w:widowControl/>
              <w:spacing w:line="260" w:lineRule="exact"/>
              <w:jc w:val="center"/>
              <w:textAlignment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kern w:val="0"/>
                <w:sz w:val="24"/>
                <w:szCs w:val="24"/>
              </w:rPr>
              <w:t>总计</w:t>
            </w:r>
          </w:p>
        </w:tc>
        <w:tc>
          <w:tcPr>
            <w:tcW w:w="1076" w:type="dxa"/>
            <w:noWrap w:val="0"/>
            <w:vAlign w:val="center"/>
          </w:tcPr>
          <w:p>
            <w:pPr>
              <w:widowControl/>
              <w:spacing w:line="260" w:lineRule="exact"/>
              <w:jc w:val="center"/>
              <w:textAlignment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332253.8</w:t>
            </w:r>
          </w:p>
        </w:tc>
        <w:tc>
          <w:tcPr>
            <w:tcW w:w="779" w:type="dxa"/>
            <w:noWrap w:val="0"/>
            <w:vAlign w:val="center"/>
          </w:tcPr>
          <w:p>
            <w:pPr>
              <w:widowControl/>
              <w:spacing w:line="260" w:lineRule="exact"/>
              <w:jc w:val="center"/>
              <w:textAlignment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141308</w:t>
            </w:r>
          </w:p>
        </w:tc>
        <w:tc>
          <w:tcPr>
            <w:tcW w:w="1027" w:type="dxa"/>
            <w:noWrap w:val="0"/>
            <w:vAlign w:val="center"/>
          </w:tcPr>
          <w:p>
            <w:pPr>
              <w:widowControl/>
              <w:spacing w:line="260" w:lineRule="exact"/>
              <w:jc w:val="center"/>
              <w:textAlignment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165170.8</w:t>
            </w:r>
          </w:p>
        </w:tc>
        <w:tc>
          <w:tcPr>
            <w:tcW w:w="954" w:type="dxa"/>
            <w:noWrap w:val="0"/>
            <w:vAlign w:val="center"/>
          </w:tcPr>
          <w:p>
            <w:pPr>
              <w:widowControl/>
              <w:spacing w:line="260" w:lineRule="exact"/>
              <w:jc w:val="center"/>
              <w:textAlignment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109125</w:t>
            </w:r>
          </w:p>
        </w:tc>
        <w:tc>
          <w:tcPr>
            <w:tcW w:w="1329" w:type="dxa"/>
            <w:noWrap w:val="0"/>
            <w:vAlign w:val="center"/>
          </w:tcPr>
          <w:p>
            <w:pPr>
              <w:widowControl/>
              <w:spacing w:line="260" w:lineRule="exact"/>
              <w:jc w:val="center"/>
              <w:textAlignment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56045.8</w:t>
            </w:r>
          </w:p>
        </w:tc>
        <w:tc>
          <w:tcPr>
            <w:tcW w:w="1363" w:type="dxa"/>
            <w:noWrap w:val="0"/>
            <w:vAlign w:val="center"/>
          </w:tcPr>
          <w:p>
            <w:pPr>
              <w:widowControl/>
              <w:spacing w:line="260" w:lineRule="exact"/>
              <w:jc w:val="center"/>
              <w:textAlignment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25775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21"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一</w:t>
            </w:r>
          </w:p>
        </w:tc>
        <w:tc>
          <w:tcPr>
            <w:tcW w:w="158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重点河流综合治理</w:t>
            </w:r>
          </w:p>
        </w:tc>
        <w:tc>
          <w:tcPr>
            <w:tcW w:w="1076"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27600</w:t>
            </w:r>
          </w:p>
        </w:tc>
        <w:tc>
          <w:tcPr>
            <w:tcW w:w="77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12140</w:t>
            </w:r>
          </w:p>
        </w:tc>
        <w:tc>
          <w:tcPr>
            <w:tcW w:w="1027"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15460</w:t>
            </w:r>
          </w:p>
        </w:tc>
        <w:tc>
          <w:tcPr>
            <w:tcW w:w="954"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7800</w:t>
            </w:r>
          </w:p>
        </w:tc>
        <w:tc>
          <w:tcPr>
            <w:tcW w:w="132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7660</w:t>
            </w:r>
          </w:p>
        </w:tc>
        <w:tc>
          <w:tcPr>
            <w:tcW w:w="1363"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65" w:hRule="atLeast"/>
        </w:trPr>
        <w:tc>
          <w:tcPr>
            <w:tcW w:w="921"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二</w:t>
            </w:r>
          </w:p>
        </w:tc>
        <w:tc>
          <w:tcPr>
            <w:tcW w:w="158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山洪灾害防治</w:t>
            </w:r>
          </w:p>
        </w:tc>
        <w:tc>
          <w:tcPr>
            <w:tcW w:w="1076"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2500</w:t>
            </w:r>
          </w:p>
        </w:tc>
        <w:tc>
          <w:tcPr>
            <w:tcW w:w="77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2500</w:t>
            </w:r>
          </w:p>
        </w:tc>
        <w:tc>
          <w:tcPr>
            <w:tcW w:w="1027"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954"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132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1363"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495" w:hRule="atLeast"/>
        </w:trPr>
        <w:tc>
          <w:tcPr>
            <w:tcW w:w="921"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三</w:t>
            </w:r>
          </w:p>
        </w:tc>
        <w:tc>
          <w:tcPr>
            <w:tcW w:w="158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城市防洪排涝能力提升</w:t>
            </w:r>
          </w:p>
        </w:tc>
        <w:tc>
          <w:tcPr>
            <w:tcW w:w="1076"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5000</w:t>
            </w:r>
          </w:p>
        </w:tc>
        <w:tc>
          <w:tcPr>
            <w:tcW w:w="77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1027"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4000</w:t>
            </w:r>
          </w:p>
        </w:tc>
        <w:tc>
          <w:tcPr>
            <w:tcW w:w="954"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3000</w:t>
            </w:r>
          </w:p>
        </w:tc>
        <w:tc>
          <w:tcPr>
            <w:tcW w:w="132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1000</w:t>
            </w:r>
          </w:p>
        </w:tc>
        <w:tc>
          <w:tcPr>
            <w:tcW w:w="1363"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495" w:hRule="atLeast"/>
        </w:trPr>
        <w:tc>
          <w:tcPr>
            <w:tcW w:w="921"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四</w:t>
            </w:r>
          </w:p>
        </w:tc>
        <w:tc>
          <w:tcPr>
            <w:tcW w:w="158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其他类（应急水毁项目、水利工程维修养护、防洪工程5年提升计划）</w:t>
            </w:r>
          </w:p>
        </w:tc>
        <w:tc>
          <w:tcPr>
            <w:tcW w:w="1076"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3000</w:t>
            </w:r>
          </w:p>
        </w:tc>
        <w:tc>
          <w:tcPr>
            <w:tcW w:w="77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3000</w:t>
            </w:r>
          </w:p>
        </w:tc>
        <w:tc>
          <w:tcPr>
            <w:tcW w:w="1027"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954"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132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1363"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409" w:hRule="atLeast"/>
        </w:trPr>
        <w:tc>
          <w:tcPr>
            <w:tcW w:w="921"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五</w:t>
            </w:r>
          </w:p>
        </w:tc>
        <w:tc>
          <w:tcPr>
            <w:tcW w:w="158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水源工程</w:t>
            </w:r>
          </w:p>
        </w:tc>
        <w:tc>
          <w:tcPr>
            <w:tcW w:w="1076"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153981</w:t>
            </w:r>
          </w:p>
        </w:tc>
        <w:tc>
          <w:tcPr>
            <w:tcW w:w="77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52900</w:t>
            </w:r>
          </w:p>
        </w:tc>
        <w:tc>
          <w:tcPr>
            <w:tcW w:w="1027"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91081</w:t>
            </w:r>
          </w:p>
        </w:tc>
        <w:tc>
          <w:tcPr>
            <w:tcW w:w="954"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71065</w:t>
            </w:r>
          </w:p>
        </w:tc>
        <w:tc>
          <w:tcPr>
            <w:tcW w:w="1329"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20016</w:t>
            </w:r>
          </w:p>
        </w:tc>
        <w:tc>
          <w:tcPr>
            <w:tcW w:w="1363"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82" w:hRule="atLeast"/>
        </w:trPr>
        <w:tc>
          <w:tcPr>
            <w:tcW w:w="921"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六</w:t>
            </w:r>
          </w:p>
        </w:tc>
        <w:tc>
          <w:tcPr>
            <w:tcW w:w="158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引提水工程</w:t>
            </w:r>
          </w:p>
        </w:tc>
        <w:tc>
          <w:tcPr>
            <w:tcW w:w="1076"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13860</w:t>
            </w:r>
          </w:p>
        </w:tc>
        <w:tc>
          <w:tcPr>
            <w:tcW w:w="77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7300</w:t>
            </w:r>
          </w:p>
        </w:tc>
        <w:tc>
          <w:tcPr>
            <w:tcW w:w="1027"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6560</w:t>
            </w:r>
          </w:p>
        </w:tc>
        <w:tc>
          <w:tcPr>
            <w:tcW w:w="954"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3900</w:t>
            </w:r>
          </w:p>
        </w:tc>
        <w:tc>
          <w:tcPr>
            <w:tcW w:w="132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2660</w:t>
            </w:r>
          </w:p>
        </w:tc>
        <w:tc>
          <w:tcPr>
            <w:tcW w:w="1363"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495" w:hRule="atLeast"/>
        </w:trPr>
        <w:tc>
          <w:tcPr>
            <w:tcW w:w="921"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七</w:t>
            </w:r>
          </w:p>
        </w:tc>
        <w:tc>
          <w:tcPr>
            <w:tcW w:w="158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城乡供水一体化工程</w:t>
            </w:r>
          </w:p>
        </w:tc>
        <w:tc>
          <w:tcPr>
            <w:tcW w:w="1076"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34072.8</w:t>
            </w:r>
          </w:p>
        </w:tc>
        <w:tc>
          <w:tcPr>
            <w:tcW w:w="77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20000</w:t>
            </w:r>
          </w:p>
        </w:tc>
        <w:tc>
          <w:tcPr>
            <w:tcW w:w="1027"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11072.8</w:t>
            </w:r>
          </w:p>
        </w:tc>
        <w:tc>
          <w:tcPr>
            <w:tcW w:w="954"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10000</w:t>
            </w:r>
          </w:p>
        </w:tc>
        <w:tc>
          <w:tcPr>
            <w:tcW w:w="132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1072.8</w:t>
            </w:r>
          </w:p>
        </w:tc>
        <w:tc>
          <w:tcPr>
            <w:tcW w:w="1363"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58" w:hRule="atLeast"/>
        </w:trPr>
        <w:tc>
          <w:tcPr>
            <w:tcW w:w="921"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八</w:t>
            </w:r>
          </w:p>
        </w:tc>
        <w:tc>
          <w:tcPr>
            <w:tcW w:w="158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农村供水工程</w:t>
            </w:r>
          </w:p>
        </w:tc>
        <w:tc>
          <w:tcPr>
            <w:tcW w:w="1076"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13018</w:t>
            </w:r>
          </w:p>
        </w:tc>
        <w:tc>
          <w:tcPr>
            <w:tcW w:w="77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4920</w:t>
            </w:r>
          </w:p>
        </w:tc>
        <w:tc>
          <w:tcPr>
            <w:tcW w:w="1027"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8098</w:t>
            </w:r>
          </w:p>
        </w:tc>
        <w:tc>
          <w:tcPr>
            <w:tcW w:w="954"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4160</w:t>
            </w:r>
          </w:p>
        </w:tc>
        <w:tc>
          <w:tcPr>
            <w:tcW w:w="132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3938</w:t>
            </w:r>
          </w:p>
        </w:tc>
        <w:tc>
          <w:tcPr>
            <w:tcW w:w="1363"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8" w:hRule="atLeast"/>
        </w:trPr>
        <w:tc>
          <w:tcPr>
            <w:tcW w:w="921"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九</w:t>
            </w:r>
          </w:p>
        </w:tc>
        <w:tc>
          <w:tcPr>
            <w:tcW w:w="158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水生态项目</w:t>
            </w:r>
          </w:p>
        </w:tc>
        <w:tc>
          <w:tcPr>
            <w:tcW w:w="1076"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54799</w:t>
            </w:r>
          </w:p>
        </w:tc>
        <w:tc>
          <w:tcPr>
            <w:tcW w:w="77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24000</w:t>
            </w:r>
          </w:p>
        </w:tc>
        <w:tc>
          <w:tcPr>
            <w:tcW w:w="1027"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20799</w:t>
            </w:r>
          </w:p>
        </w:tc>
        <w:tc>
          <w:tcPr>
            <w:tcW w:w="954"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8000</w:t>
            </w:r>
          </w:p>
        </w:tc>
        <w:tc>
          <w:tcPr>
            <w:tcW w:w="132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12799</w:t>
            </w:r>
          </w:p>
        </w:tc>
        <w:tc>
          <w:tcPr>
            <w:tcW w:w="1363"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495" w:hRule="atLeast"/>
        </w:trPr>
        <w:tc>
          <w:tcPr>
            <w:tcW w:w="921"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十</w:t>
            </w:r>
          </w:p>
        </w:tc>
        <w:tc>
          <w:tcPr>
            <w:tcW w:w="158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水环境治理工程</w:t>
            </w:r>
          </w:p>
        </w:tc>
        <w:tc>
          <w:tcPr>
            <w:tcW w:w="1076"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3800</w:t>
            </w:r>
          </w:p>
        </w:tc>
        <w:tc>
          <w:tcPr>
            <w:tcW w:w="77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1027"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3800</w:t>
            </w:r>
          </w:p>
        </w:tc>
        <w:tc>
          <w:tcPr>
            <w:tcW w:w="954"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132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3800</w:t>
            </w:r>
          </w:p>
        </w:tc>
        <w:tc>
          <w:tcPr>
            <w:tcW w:w="1363"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65" w:hRule="atLeast"/>
        </w:trPr>
        <w:tc>
          <w:tcPr>
            <w:tcW w:w="921"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十一</w:t>
            </w:r>
          </w:p>
        </w:tc>
        <w:tc>
          <w:tcPr>
            <w:tcW w:w="158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水土保持项目</w:t>
            </w:r>
          </w:p>
        </w:tc>
        <w:tc>
          <w:tcPr>
            <w:tcW w:w="1076"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5000</w:t>
            </w:r>
          </w:p>
        </w:tc>
        <w:tc>
          <w:tcPr>
            <w:tcW w:w="77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3000</w:t>
            </w:r>
          </w:p>
        </w:tc>
        <w:tc>
          <w:tcPr>
            <w:tcW w:w="1027"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2000</w:t>
            </w:r>
          </w:p>
        </w:tc>
        <w:tc>
          <w:tcPr>
            <w:tcW w:w="954"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1000</w:t>
            </w:r>
          </w:p>
        </w:tc>
        <w:tc>
          <w:tcPr>
            <w:tcW w:w="132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1000</w:t>
            </w:r>
          </w:p>
        </w:tc>
        <w:tc>
          <w:tcPr>
            <w:tcW w:w="1363"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474" w:hRule="atLeast"/>
        </w:trPr>
        <w:tc>
          <w:tcPr>
            <w:tcW w:w="921"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十二</w:t>
            </w:r>
          </w:p>
        </w:tc>
        <w:tc>
          <w:tcPr>
            <w:tcW w:w="158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黔江区智慧水利项目</w:t>
            </w:r>
          </w:p>
        </w:tc>
        <w:tc>
          <w:tcPr>
            <w:tcW w:w="1076"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500</w:t>
            </w:r>
          </w:p>
        </w:tc>
        <w:tc>
          <w:tcPr>
            <w:tcW w:w="77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1027"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500</w:t>
            </w:r>
          </w:p>
        </w:tc>
        <w:tc>
          <w:tcPr>
            <w:tcW w:w="954"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132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500</w:t>
            </w:r>
          </w:p>
        </w:tc>
        <w:tc>
          <w:tcPr>
            <w:tcW w:w="1363"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495" w:hRule="atLeast"/>
        </w:trPr>
        <w:tc>
          <w:tcPr>
            <w:tcW w:w="921"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十三</w:t>
            </w:r>
          </w:p>
        </w:tc>
        <w:tc>
          <w:tcPr>
            <w:tcW w:w="158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大中型水库移民后期扶持项目</w:t>
            </w:r>
          </w:p>
        </w:tc>
        <w:tc>
          <w:tcPr>
            <w:tcW w:w="1076"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12573</w:t>
            </w:r>
          </w:p>
        </w:tc>
        <w:tc>
          <w:tcPr>
            <w:tcW w:w="779"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10798</w:t>
            </w:r>
          </w:p>
        </w:tc>
        <w:tc>
          <w:tcPr>
            <w:tcW w:w="1027"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954"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1329"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1363"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1775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21"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十四</w:t>
            </w:r>
          </w:p>
        </w:tc>
        <w:tc>
          <w:tcPr>
            <w:tcW w:w="158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防汛抗旱能力建设</w:t>
            </w:r>
          </w:p>
        </w:tc>
        <w:tc>
          <w:tcPr>
            <w:tcW w:w="1076"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500</w:t>
            </w:r>
          </w:p>
        </w:tc>
        <w:tc>
          <w:tcPr>
            <w:tcW w:w="77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500</w:t>
            </w:r>
          </w:p>
        </w:tc>
        <w:tc>
          <w:tcPr>
            <w:tcW w:w="1027"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954"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132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1363"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21" w:type="dxa"/>
            <w:noWrap w:val="0"/>
            <w:vAlign w:val="center"/>
          </w:tcPr>
          <w:p>
            <w:pPr>
              <w:widowControl/>
              <w:spacing w:line="26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十五</w:t>
            </w:r>
          </w:p>
        </w:tc>
        <w:tc>
          <w:tcPr>
            <w:tcW w:w="1589" w:type="dxa"/>
            <w:noWrap w:val="0"/>
            <w:vAlign w:val="center"/>
          </w:tcPr>
          <w:p>
            <w:pPr>
              <w:widowControl/>
              <w:spacing w:line="26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河长制建设</w:t>
            </w:r>
          </w:p>
        </w:tc>
        <w:tc>
          <w:tcPr>
            <w:tcW w:w="1076" w:type="dxa"/>
            <w:noWrap w:val="0"/>
            <w:vAlign w:val="center"/>
          </w:tcPr>
          <w:p>
            <w:pPr>
              <w:widowControl/>
              <w:spacing w:line="26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250</w:t>
            </w:r>
          </w:p>
        </w:tc>
        <w:tc>
          <w:tcPr>
            <w:tcW w:w="779" w:type="dxa"/>
            <w:noWrap w:val="0"/>
            <w:vAlign w:val="center"/>
          </w:tcPr>
          <w:p>
            <w:pPr>
              <w:widowControl/>
              <w:spacing w:line="26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250</w:t>
            </w:r>
          </w:p>
        </w:tc>
        <w:tc>
          <w:tcPr>
            <w:tcW w:w="1027"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954" w:type="dxa"/>
            <w:noWrap w:val="0"/>
            <w:vAlign w:val="center"/>
          </w:tcPr>
          <w:p>
            <w:pPr>
              <w:widowControl/>
              <w:spacing w:line="26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w:t>
            </w:r>
          </w:p>
        </w:tc>
        <w:tc>
          <w:tcPr>
            <w:tcW w:w="1329" w:type="dxa"/>
            <w:noWrap w:val="0"/>
            <w:vAlign w:val="center"/>
          </w:tcPr>
          <w:p>
            <w:pPr>
              <w:widowControl/>
              <w:spacing w:line="26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w:t>
            </w:r>
          </w:p>
        </w:tc>
        <w:tc>
          <w:tcPr>
            <w:tcW w:w="1363"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21"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十六</w:t>
            </w:r>
          </w:p>
        </w:tc>
        <w:tc>
          <w:tcPr>
            <w:tcW w:w="158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水文化项目</w:t>
            </w:r>
          </w:p>
        </w:tc>
        <w:tc>
          <w:tcPr>
            <w:tcW w:w="1076"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c>
          <w:tcPr>
            <w:tcW w:w="77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1027"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c>
          <w:tcPr>
            <w:tcW w:w="954"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w:t>
            </w:r>
          </w:p>
        </w:tc>
        <w:tc>
          <w:tcPr>
            <w:tcW w:w="132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w:t>
            </w:r>
          </w:p>
        </w:tc>
        <w:tc>
          <w:tcPr>
            <w:tcW w:w="1363"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466" w:hRule="atLeast"/>
        </w:trPr>
        <w:tc>
          <w:tcPr>
            <w:tcW w:w="921" w:type="dxa"/>
            <w:noWrap w:val="0"/>
            <w:vAlign w:val="center"/>
          </w:tcPr>
          <w:p>
            <w:pPr>
              <w:widowControl/>
              <w:spacing w:line="260" w:lineRule="exact"/>
              <w:jc w:val="center"/>
              <w:textAlignment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十七</w:t>
            </w:r>
          </w:p>
        </w:tc>
        <w:tc>
          <w:tcPr>
            <w:tcW w:w="158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水利人才队伍建设</w:t>
            </w:r>
          </w:p>
        </w:tc>
        <w:tc>
          <w:tcPr>
            <w:tcW w:w="1076"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1500</w:t>
            </w:r>
          </w:p>
        </w:tc>
        <w:tc>
          <w:tcPr>
            <w:tcW w:w="77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1027"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1500</w:t>
            </w:r>
          </w:p>
        </w:tc>
        <w:tc>
          <w:tcPr>
            <w:tcW w:w="954"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1329" w:type="dxa"/>
            <w:noWrap w:val="0"/>
            <w:vAlign w:val="center"/>
          </w:tcPr>
          <w:p>
            <w:pPr>
              <w:widowControl/>
              <w:spacing w:line="260" w:lineRule="exact"/>
              <w:jc w:val="center"/>
              <w:textAlignment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1500</w:t>
            </w:r>
          </w:p>
        </w:tc>
        <w:tc>
          <w:tcPr>
            <w:tcW w:w="1363" w:type="dxa"/>
            <w:noWrap w:val="0"/>
            <w:vAlign w:val="center"/>
          </w:tcPr>
          <w:p>
            <w:pPr>
              <w:spacing w:line="26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r>
    </w:tbl>
    <w:p>
      <w:pPr>
        <w:spacing w:line="594" w:lineRule="exact"/>
        <w:ind w:firstLine="640" w:firstLineChars="200"/>
        <w:rPr>
          <w:rFonts w:hint="eastAsia" w:ascii="方正仿宋_GBK" w:hAnsi="方正仿宋_GBK" w:eastAsia="方正仿宋_GBK" w:cs="方正仿宋_GBK"/>
          <w:sz w:val="32"/>
          <w:szCs w:val="32"/>
        </w:rPr>
        <w:sectPr>
          <w:headerReference r:id="rId15" w:type="default"/>
          <w:footerReference r:id="rId16" w:type="default"/>
          <w:pgSz w:w="11905" w:h="16838"/>
          <w:pgMar w:top="1984" w:right="1446" w:bottom="1644" w:left="1446" w:header="1134" w:footer="1134" w:gutter="0"/>
          <w:pgNumType w:fmt="numberInDash"/>
          <w:cols w:space="720" w:num="1"/>
          <w:docGrid w:linePitch="312" w:charSpace="0"/>
        </w:sectPr>
      </w:pPr>
      <w:r>
        <w:rPr>
          <w:rFonts w:hint="eastAsia" w:ascii="方正仿宋_GBK" w:hAnsi="方正仿宋_GBK" w:eastAsia="方正仿宋_GBK" w:cs="方正仿宋_GBK"/>
          <w:sz w:val="32"/>
          <w:szCs w:val="32"/>
        </w:rPr>
        <w:t>占比较重的几类项目如：水源工程、水生态项目、城乡供水一体化工程分别占水安全保障“十四五”规划项目总投资的46.34%、16.49%、10.26%，可见“十四五”项目规划重心在区域骨干水源工程的建设。黔江区“十四五”各类水利项目投资情况如下图所示。</w:t>
      </w:r>
    </w:p>
    <w:p>
      <w:pPr>
        <w:pStyle w:val="18"/>
        <w:pBdr>
          <w:bottom w:val="none" w:color="auto" w:sz="0" w:space="1"/>
        </w:pBdr>
        <w:ind w:firstLine="360"/>
        <w:sectPr>
          <w:pgSz w:w="16838" w:h="11905" w:orient="landscape"/>
          <w:pgMar w:top="1446" w:right="1984" w:bottom="1446" w:left="1644" w:header="1134" w:footer="1134" w:gutter="0"/>
          <w:pgNumType w:fmt="numberInDash"/>
          <w:cols w:space="720" w:num="1"/>
          <w:docGrid w:linePitch="312" w:charSpace="0"/>
        </w:sectPr>
      </w:pPr>
      <w:r>
        <w:drawing>
          <wp:inline distT="0" distB="0" distL="114300" distR="114300">
            <wp:extent cx="8534400" cy="5600700"/>
            <wp:effectExtent l="0" t="0" r="0" b="0"/>
            <wp:docPr id="9" name="图片 6"/>
            <wp:cNvGraphicFramePr>
              <a:graphicFrameLocks xmlns:a="http://schemas.openxmlformats.org/drawingml/2006/main" noChangeAspect="tru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54"/>
        <w:keepNext/>
        <w:spacing w:before="0" w:after="0" w:line="594" w:lineRule="exact"/>
        <w:ind w:left="0" w:firstLine="640" w:firstLineChars="200"/>
        <w:jc w:val="both"/>
        <w:outlineLvl w:val="9"/>
        <w:rPr>
          <w:rFonts w:hint="eastAsia" w:ascii="方正仿宋_GBK" w:hAnsi="方正仿宋_GBK" w:eastAsia="方正仿宋_GBK" w:cs="方正仿宋_GBK"/>
          <w:kern w:val="2"/>
          <w:sz w:val="32"/>
          <w:szCs w:val="32"/>
        </w:rPr>
      </w:pPr>
      <w:bookmarkStart w:id="98" w:name="_Toc21764"/>
      <w:bookmarkStart w:id="99" w:name="_Toc20225"/>
      <w:bookmarkStart w:id="100" w:name="_Toc29504"/>
      <w:bookmarkStart w:id="101" w:name="_Toc15550"/>
      <w:r>
        <w:rPr>
          <w:rFonts w:hint="eastAsia" w:ascii="方正仿宋_GBK" w:hAnsi="方正仿宋_GBK" w:eastAsia="方正仿宋_GBK" w:cs="方正仿宋_GBK"/>
          <w:kern w:val="2"/>
          <w:sz w:val="32"/>
          <w:szCs w:val="32"/>
        </w:rPr>
        <w:t>黔江区“十四五”资金来源结构：中央投资、市级政府投资（含水投集团融资）、区政府投资、其他资金来源（企业和私人投资、贷款、债券及外资等）分别占水安全保障“十四五”规划项目总投资的42.53%、32.84%、16.87%、8.06%。</w:t>
      </w:r>
      <w:bookmarkEnd w:id="98"/>
      <w:bookmarkEnd w:id="99"/>
      <w:bookmarkEnd w:id="100"/>
      <w:bookmarkEnd w:id="101"/>
    </w:p>
    <w:p>
      <w:pPr>
        <w:pStyle w:val="54"/>
        <w:keepNext/>
        <w:spacing w:before="0" w:after="0" w:line="360" w:lineRule="auto"/>
        <w:ind w:left="0" w:firstLine="0"/>
        <w:jc w:val="both"/>
        <w:outlineLvl w:val="9"/>
      </w:pPr>
      <w:bookmarkStart w:id="102" w:name="_Toc7522"/>
      <w:bookmarkStart w:id="103" w:name="_Toc26302"/>
      <w:r>
        <w:drawing>
          <wp:inline distT="0" distB="0" distL="114300" distR="114300">
            <wp:extent cx="5829300" cy="4991100"/>
            <wp:effectExtent l="0" t="0" r="0" b="0"/>
            <wp:docPr id="10" name="图表 1"/>
            <wp:cNvGraphicFramePr>
              <a:graphicFrameLocks xmlns:a="http://schemas.openxmlformats.org/drawingml/2006/main" noChangeAspect="tru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102"/>
      <w:bookmarkEnd w:id="103"/>
    </w:p>
    <w:p>
      <w:pPr>
        <w:pStyle w:val="54"/>
        <w:keepNext/>
        <w:spacing w:before="0" w:after="0" w:line="594" w:lineRule="exact"/>
        <w:ind w:left="0" w:firstLine="640" w:firstLineChars="200"/>
        <w:jc w:val="both"/>
        <w:outlineLvl w:val="9"/>
        <w:rPr>
          <w:rFonts w:hint="eastAsia" w:ascii="方正仿宋_GBK" w:hAnsi="方正仿宋_GBK" w:eastAsia="方正仿宋_GBK" w:cs="方正仿宋_GBK"/>
          <w:kern w:val="2"/>
          <w:sz w:val="32"/>
          <w:szCs w:val="32"/>
        </w:rPr>
      </w:pPr>
      <w:bookmarkStart w:id="104" w:name="_Toc24623"/>
      <w:bookmarkStart w:id="105" w:name="_Toc30220"/>
      <w:bookmarkStart w:id="106" w:name="_Toc27801"/>
      <w:bookmarkStart w:id="107" w:name="_Toc5175"/>
      <w:r>
        <w:rPr>
          <w:rFonts w:hint="eastAsia" w:ascii="方正仿宋_GBK" w:hAnsi="方正仿宋_GBK" w:eastAsia="方正仿宋_GBK" w:cs="方正仿宋_GBK"/>
          <w:kern w:val="2"/>
          <w:sz w:val="32"/>
          <w:szCs w:val="32"/>
        </w:rPr>
        <w:t>年度投资计划：根据“十四五”项目实施年度计划，预计在2025年末下达全部投资计划，2021年投资总额6.12亿元，占总投资的18.41%，2022年投资总额6.76亿元，占总投资的20.35%，2023年投资总额8.35亿元，占总投资的25.12%，2024年投资总额7.11亿元，占总投资的21.39%，2025年投资总额4.90亿元，占总投资的14.74%。</w:t>
      </w:r>
      <w:bookmarkEnd w:id="104"/>
      <w:bookmarkEnd w:id="105"/>
      <w:bookmarkEnd w:id="106"/>
      <w:bookmarkEnd w:id="107"/>
    </w:p>
    <w:p>
      <w:pPr>
        <w:pStyle w:val="54"/>
        <w:keepNext/>
        <w:spacing w:before="0" w:after="0" w:line="360" w:lineRule="auto"/>
        <w:ind w:left="0" w:firstLine="0"/>
        <w:jc w:val="both"/>
        <w:outlineLvl w:val="9"/>
      </w:pPr>
      <w:bookmarkStart w:id="108" w:name="_Toc841"/>
      <w:bookmarkStart w:id="109" w:name="_Toc5943"/>
      <w:r>
        <w:drawing>
          <wp:inline distT="0" distB="0" distL="114300" distR="114300">
            <wp:extent cx="5777865" cy="4655820"/>
            <wp:effectExtent l="0" t="0" r="0" b="0"/>
            <wp:docPr id="11" name="图表 4"/>
            <wp:cNvGraphicFramePr>
              <a:graphicFrameLocks xmlns:a="http://schemas.openxmlformats.org/drawingml/2006/main" noChangeAspect="tru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108"/>
      <w:bookmarkEnd w:id="109"/>
    </w:p>
    <w:p>
      <w:pPr>
        <w:pStyle w:val="54"/>
        <w:keepNext/>
        <w:spacing w:before="0" w:after="0" w:line="594" w:lineRule="exact"/>
        <w:ind w:left="0" w:firstLine="0"/>
        <w:jc w:val="center"/>
        <w:rPr>
          <w:rFonts w:hint="eastAsia" w:ascii="方正仿宋_GBK" w:hAnsi="方正仿宋_GBK" w:eastAsia="方正仿宋_GBK" w:cs="方正仿宋_GBK"/>
          <w:b/>
          <w:spacing w:val="6"/>
          <w:sz w:val="32"/>
          <w:szCs w:val="32"/>
        </w:rPr>
      </w:pPr>
      <w:bookmarkStart w:id="110" w:name="_Toc14186"/>
    </w:p>
    <w:p>
      <w:pPr>
        <w:pStyle w:val="54"/>
        <w:keepNext/>
        <w:spacing w:before="0" w:after="0" w:line="594" w:lineRule="exact"/>
        <w:ind w:left="0" w:firstLine="0"/>
        <w:jc w:val="center"/>
        <w:rPr>
          <w:rFonts w:hint="eastAsia" w:ascii="方正黑体_GBK" w:hAnsi="方正黑体_GBK" w:eastAsia="方正黑体_GBK" w:cs="方正黑体_GBK"/>
          <w:bCs/>
          <w:spacing w:val="6"/>
          <w:sz w:val="32"/>
          <w:szCs w:val="32"/>
        </w:rPr>
      </w:pPr>
      <w:bookmarkStart w:id="111" w:name="_Toc19050"/>
      <w:r>
        <w:rPr>
          <w:rFonts w:hint="eastAsia" w:ascii="方正黑体_GBK" w:hAnsi="方正黑体_GBK" w:eastAsia="方正黑体_GBK" w:cs="方正黑体_GBK"/>
          <w:bCs/>
          <w:spacing w:val="6"/>
          <w:sz w:val="32"/>
          <w:szCs w:val="32"/>
        </w:rPr>
        <w:t>第十一章 环境影响评价</w:t>
      </w:r>
      <w:bookmarkEnd w:id="92"/>
      <w:bookmarkEnd w:id="110"/>
      <w:bookmarkEnd w:id="111"/>
    </w:p>
    <w:p>
      <w:pPr>
        <w:pStyle w:val="54"/>
        <w:keepNext/>
        <w:spacing w:before="0" w:after="0" w:line="594" w:lineRule="exact"/>
        <w:ind w:left="0" w:firstLine="0"/>
        <w:jc w:val="center"/>
        <w:rPr>
          <w:rFonts w:hint="eastAsia" w:ascii="方正仿宋_GBK" w:hAnsi="方正仿宋_GBK" w:eastAsia="方正仿宋_GBK" w:cs="方正仿宋_GBK"/>
          <w:b/>
          <w:spacing w:val="6"/>
          <w:sz w:val="32"/>
          <w:szCs w:val="32"/>
        </w:rPr>
      </w:pP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四五”时期，水利建设任务主要包括水源工程、防洪工程、供水工程、灌溉工程、水生态工程以及水利信息化建设等，规划实施后，将有效提高农田水利保障能力、防洪减灾能力、城乡供水保障能力、水环境生态能力，为全区经济社会发展提供水利支撑和保障。</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但规划实施和水利工程建设也可能对局部带来一些不利环境影响。水库建设将淹没土地和产生移民，征地拆迁和移民安置可能带来一些社会问题。整治河道、加固堤防、筑坝建库等水利工程建设将影响河流的水文情势及水生态环境；水库蓄水可能改变岩体的应力状态，产生局部的应力集中，可能产生滑坡塌岸，可能对自然景观和文物、水生生物栖息繁衍环境、生物多样性等产生影响。农业灌溉工程建成运行后，减少了沿程和田间的渗漏，对灌区植物生长及植被带来不利影响。为此，要高度重视水利工程建设的不利环境影响，依法加强相关规划和建设项目环境影响评价等工程建设前期工作，采取相应的生态环境保护措施，并根据生态环境对规划实施的响应及时优化调整实施方式，强化对工程规划、设计建设管理全过程的监管，最大程度地减免规划实施的不利环境影响。</w:t>
      </w:r>
    </w:p>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重点是做好以下几个方面：一是要坚持科学发展、绿色发展，在水资源开发利用过程中高度重视对河流生态环境和地下水系统的保护。二是要认真落实工程建设项目环境影响评价制度和各项环境保护措施，足额计列和保证环境保护工程投资，严格执行“三同时”管理制度。在中小河流治理中，要坚决避免束窄河道、减少行洪断面，以及河流渠道化的倾向，尽量保持河道自然形态，提倡采用环境保护相结合的生态型河道治理措施，并注意与生态环境的协调。三是要妥善安置工程建设被征地居民，切实做好工程征地补偿、搬迁安置和水库移民后期扶持工作，确保被征地居民的生活水平逐步提高，保障期合法权益，维护社会稳定。四是要加强对规划实施可能影响的重要生态环境敏感区和重要目标的监测与保护，及时掌握环境变化，采取相应的对策措施。五是要加强规划实施的环境风险评价与管理，针对可能发生的重大环境风险问题，制定突发环境事件的风险应急管理措施。</w:t>
      </w:r>
    </w:p>
    <w:p>
      <w:pPr>
        <w:keepNext/>
        <w:spacing w:line="594" w:lineRule="exact"/>
        <w:ind w:firstLine="640" w:firstLineChars="200"/>
        <w:rPr>
          <w:rFonts w:hint="eastAsia" w:ascii="方正仿宋_GBK" w:hAnsi="方正仿宋_GBK" w:eastAsia="方正仿宋_GBK" w:cs="方正仿宋_GBK"/>
          <w:sz w:val="32"/>
          <w:szCs w:val="32"/>
        </w:rPr>
      </w:pPr>
    </w:p>
    <w:p>
      <w:pPr>
        <w:pStyle w:val="54"/>
        <w:keepNext/>
        <w:spacing w:before="0" w:after="0" w:line="594" w:lineRule="exact"/>
        <w:ind w:left="0" w:firstLine="0"/>
        <w:jc w:val="center"/>
        <w:rPr>
          <w:rFonts w:hint="eastAsia" w:ascii="方正黑体_GBK" w:hAnsi="方正黑体_GBK" w:eastAsia="方正黑体_GBK" w:cs="方正黑体_GBK"/>
          <w:bCs/>
          <w:spacing w:val="6"/>
          <w:sz w:val="32"/>
          <w:szCs w:val="32"/>
        </w:rPr>
      </w:pPr>
      <w:bookmarkStart w:id="112" w:name="_Toc19175"/>
      <w:bookmarkStart w:id="113" w:name="_Toc5160"/>
      <w:bookmarkStart w:id="114" w:name="_Toc28338"/>
      <w:r>
        <w:rPr>
          <w:rFonts w:hint="eastAsia" w:ascii="方正黑体_GBK" w:hAnsi="方正黑体_GBK" w:eastAsia="方正黑体_GBK" w:cs="方正黑体_GBK"/>
          <w:bCs/>
          <w:spacing w:val="6"/>
          <w:sz w:val="32"/>
          <w:szCs w:val="32"/>
        </w:rPr>
        <w:t>第十二章 规划实施的保障措施</w:t>
      </w:r>
      <w:bookmarkEnd w:id="112"/>
      <w:bookmarkEnd w:id="113"/>
      <w:bookmarkEnd w:id="114"/>
    </w:p>
    <w:p>
      <w:pPr>
        <w:pStyle w:val="54"/>
        <w:keepNext/>
        <w:spacing w:before="0" w:after="0" w:line="594" w:lineRule="exact"/>
        <w:ind w:left="0" w:firstLine="0"/>
        <w:jc w:val="center"/>
        <w:rPr>
          <w:rFonts w:hint="eastAsia" w:ascii="方正仿宋_GBK" w:hAnsi="方正仿宋_GBK" w:eastAsia="方正仿宋_GBK" w:cs="方正仿宋_GBK"/>
          <w:b/>
          <w:spacing w:val="6"/>
          <w:sz w:val="32"/>
          <w:szCs w:val="32"/>
        </w:rPr>
      </w:pPr>
    </w:p>
    <w:p>
      <w:pPr>
        <w:pStyle w:val="3"/>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115" w:name="_Toc21056"/>
      <w:bookmarkStart w:id="116" w:name="_Toc16755"/>
      <w:bookmarkStart w:id="117" w:name="_Toc441835747"/>
      <w:bookmarkStart w:id="118" w:name="_Toc453600889"/>
      <w:r>
        <w:rPr>
          <w:rFonts w:hint="eastAsia" w:ascii="方正楷体_GBK" w:hAnsi="方正楷体_GBK" w:eastAsia="方正楷体_GBK" w:cs="方正楷体_GBK"/>
          <w:b w:val="0"/>
          <w:bCs/>
          <w:spacing w:val="6"/>
          <w:szCs w:val="32"/>
        </w:rPr>
        <w:t>第一节  组织领导保障</w:t>
      </w:r>
      <w:bookmarkEnd w:id="115"/>
      <w:bookmarkEnd w:id="116"/>
    </w:p>
    <w:bookmarkEnd w:id="117"/>
    <w:bookmarkEnd w:id="118"/>
    <w:p>
      <w:pPr>
        <w:keepNext/>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全区水安全保障“十四五”规划执行的重点是推动各项水利工程的建设实施，要积极争取区委、区政府高位推动实施全区水利改革发展“十三五”规划，争取区政府按重点水利项目成立建设指挥部，由分管副区长任指挥长，区发改委、区财政局、区水利局、区规划</w:t>
      </w:r>
      <w:r>
        <w:rPr>
          <w:rFonts w:hint="eastAsia" w:ascii="方正仿宋_GBK" w:hAnsi="方正仿宋_GBK" w:eastAsia="方正仿宋_GBK" w:cs="方正仿宋_GBK"/>
          <w:sz w:val="32"/>
          <w:szCs w:val="32"/>
          <w:lang w:eastAsia="zh-CN"/>
        </w:rPr>
        <w:t>和</w:t>
      </w:r>
      <w:r>
        <w:rPr>
          <w:rFonts w:hint="eastAsia" w:ascii="方正仿宋_GBK" w:hAnsi="方正仿宋_GBK" w:eastAsia="方正仿宋_GBK" w:cs="方正仿宋_GBK"/>
          <w:sz w:val="32"/>
          <w:szCs w:val="32"/>
        </w:rPr>
        <w:t>自然资源局、区林业局、区生态环境局等单位主要负责同志为成员，加强与其他单位对接，利用好平行联络机制，做好项目动态化管理，建立储备项目信息化管理台账内容，统筹协调指挥全区重点水利项目建设，协调区征地拆迁大队负责重点水利项目征地拆迁工作。区水利局对重点水利项目建设实行“一对一”的工作机制，落实责任领导和工作专班。项目业主单位切实履行项目法人职责，按项目组建工程项目部，做好工程施工组织，加强工程投资、进度、质量控制和安全监管，确保重点水利工程建设顺利实施。</w:t>
      </w:r>
    </w:p>
    <w:p>
      <w:pPr>
        <w:keepNext/>
        <w:spacing w:line="594" w:lineRule="exact"/>
        <w:ind w:firstLine="640" w:firstLineChars="200"/>
        <w:rPr>
          <w:rFonts w:hint="eastAsia" w:ascii="方正仿宋_GBK" w:hAnsi="方正仿宋_GBK" w:eastAsia="方正仿宋_GBK" w:cs="方正仿宋_GBK"/>
          <w:sz w:val="32"/>
          <w:szCs w:val="32"/>
        </w:rPr>
      </w:pPr>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119" w:name="_Toc17013"/>
      <w:bookmarkStart w:id="120" w:name="_Toc21591"/>
      <w:r>
        <w:rPr>
          <w:rFonts w:hint="eastAsia" w:ascii="方正楷体_GBK" w:hAnsi="方正楷体_GBK" w:eastAsia="方正楷体_GBK" w:cs="方正楷体_GBK"/>
          <w:b w:val="0"/>
          <w:bCs/>
          <w:spacing w:val="6"/>
          <w:szCs w:val="32"/>
        </w:rPr>
        <w:t>第二节  前期工作保障</w:t>
      </w:r>
      <w:bookmarkEnd w:id="119"/>
      <w:bookmarkEnd w:id="120"/>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完备的项目前期工作是确保各类水利建设项目落地、实现规划目标的基础。要在全区水安全保障“十四五”规划的基础上，细化完善抗旱水源、农村饮水巩固提升、城市供水、江河治理、水土保持、大中型水库移民后期扶持、小型农田水利、灌区建设、水生态文明建设等专项规划或实施方案，以专项规划或实施方案支撑水安全保障“十四五”规划。积极对接国市水利投入政策，做好重点水利建设项目规划论证、技术经济比较、环境影响、移民安置等前期工作，完善重点水利建设项目决策机制。</w:t>
      </w:r>
    </w:p>
    <w:p>
      <w:pPr>
        <w:spacing w:line="594" w:lineRule="exact"/>
        <w:ind w:firstLine="640" w:firstLineChars="200"/>
        <w:rPr>
          <w:rFonts w:hint="eastAsia" w:ascii="方正仿宋_GBK" w:hAnsi="方正仿宋_GBK" w:eastAsia="方正仿宋_GBK" w:cs="方正仿宋_GBK"/>
          <w:sz w:val="32"/>
          <w:szCs w:val="32"/>
        </w:rPr>
      </w:pPr>
      <w:bookmarkStart w:id="121" w:name="_Toc453600891"/>
      <w:bookmarkStart w:id="122" w:name="_Toc441835749"/>
      <w:r>
        <w:rPr>
          <w:rFonts w:hint="eastAsia" w:ascii="方正仿宋_GBK" w:hAnsi="方正仿宋_GBK" w:eastAsia="方正仿宋_GBK" w:cs="方正仿宋_GBK"/>
          <w:sz w:val="32"/>
          <w:szCs w:val="32"/>
        </w:rPr>
        <w:t>一、资金投入保障</w:t>
      </w:r>
      <w:bookmarkEnd w:id="121"/>
      <w:bookmarkEnd w:id="122"/>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要实现全区水安全保障“十四五”规划目标，筹集足额的水利建设资金是关键，要积极研究国家、市级水利投入政策，拓宽水利投融资渠道，特别是向国家、市级层面争取政策，解决小型水源工程建设资金投入不足问题，利用好国家、市级水利补助政策，专债专贷，争取区本级财政投入，利用水利资源招商引资，烟草、市政等部门援建投入，社会资本投入等，多渠道筹集水利建设资金，建立水利投入持续增长的投融资体制。主要采取以下措施：一是向上争资。研究国家、市级骨干水源、江河治理、防汛抗旱、水土保持、移民后扶、灌区建设、小型农田水利等存量政策，把握水利扶贫、农村饮水安全巩固提升、水生态文明建设等增量政策。二是部门筹资。利用好市政基础设施补助政策，完善城镇供排水体系；整合国土、农业部门等高标准农田建设，完善农田灌溉体系。三是财政投资。通过财政预算安排，落实土地出让金提取水利建设基金，返还水资源费、水土保持设施补偿费等加大区本级财政水利投入。四是社会引资。利用泰来公司减持股份，获增市水投集团资金投入；利用好城市建设、旅游发展平台公司，投资建设城市生态水体和旅游涉水项目建设。</w:t>
      </w:r>
      <w:bookmarkStart w:id="123" w:name="_Toc441835750"/>
      <w:bookmarkStart w:id="124" w:name="_Toc453600892"/>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二、制度建设保障</w:t>
      </w:r>
      <w:bookmarkEnd w:id="123"/>
      <w:bookmarkEnd w:id="124"/>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建立、健全水利改革发展的体制机制，完善各项规章制度，突出水安全保障“十四五”规划的权威性和严肃性。严格实行项目法人责任制、招标投标制、建设监理制、合同管理制和质量终身负责制等制度，强化安全监管，建立“项目法人负责、建设单位控制、施工单位保证、政府部门监督”的质量保障体系，保证工程质量和效益。</w:t>
      </w:r>
    </w:p>
    <w:p>
      <w:pPr>
        <w:spacing w:line="594" w:lineRule="exact"/>
        <w:ind w:firstLine="640" w:firstLineChars="200"/>
        <w:rPr>
          <w:rFonts w:hint="eastAsia" w:ascii="方正仿宋_GBK" w:hAnsi="方正仿宋_GBK" w:eastAsia="方正仿宋_GBK" w:cs="方正仿宋_GBK"/>
          <w:sz w:val="32"/>
          <w:szCs w:val="32"/>
        </w:rPr>
      </w:pPr>
      <w:bookmarkStart w:id="125" w:name="_Toc453600893"/>
      <w:bookmarkStart w:id="126" w:name="_Toc441835753"/>
      <w:r>
        <w:rPr>
          <w:rFonts w:hint="eastAsia" w:ascii="方正仿宋_GBK" w:hAnsi="方正仿宋_GBK" w:eastAsia="方正仿宋_GBK" w:cs="方正仿宋_GBK"/>
          <w:sz w:val="32"/>
          <w:szCs w:val="32"/>
        </w:rPr>
        <w:t>三、人才队伍保障</w:t>
      </w:r>
      <w:bookmarkEnd w:id="125"/>
      <w:bookmarkEnd w:id="126"/>
    </w:p>
    <w:p>
      <w:pPr>
        <w:spacing w:line="594"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强水利人才队伍建设，建立完善人才吸引、使用的激励机制；优化人才结构，加快培养适应全区水利改革发展的一大批应用型、复合型人才，特别是培养优秀管理人才和专业技术带头人，完善水利专家组。健全水利行业职工教育培训和终身学习机制，加大水利行业职工培训力度和继续教育力度，提升水利人才队伍整体素质。建立水利人才流动机制，优化人才结构，引进一定数量的水利建设管理高素质人才，逐步形成与水利现代化建设管理相适应人才队伍。加强基层水利服务体系建设，引导帮助乡镇吸纳水利专业人才，专门从事水利建设管理工作，提升基层水利管理服务能力。</w:t>
      </w:r>
    </w:p>
    <w:p>
      <w:pPr>
        <w:spacing w:line="594" w:lineRule="exact"/>
        <w:ind w:firstLine="640" w:firstLineChars="200"/>
        <w:rPr>
          <w:rFonts w:hint="eastAsia" w:ascii="方正仿宋_GBK" w:hAnsi="方正仿宋_GBK" w:eastAsia="方正仿宋_GBK" w:cs="方正仿宋_GBK"/>
          <w:sz w:val="32"/>
          <w:szCs w:val="32"/>
        </w:rPr>
      </w:pPr>
    </w:p>
    <w:p>
      <w:pPr>
        <w:pStyle w:val="54"/>
        <w:keepNext/>
        <w:spacing w:before="0" w:after="0" w:line="594" w:lineRule="exact"/>
        <w:ind w:left="0" w:firstLine="0"/>
        <w:jc w:val="center"/>
        <w:rPr>
          <w:rFonts w:hint="eastAsia" w:ascii="方正黑体_GBK" w:hAnsi="方正黑体_GBK" w:eastAsia="方正黑体_GBK" w:cs="方正黑体_GBK"/>
          <w:bCs/>
          <w:spacing w:val="6"/>
          <w:sz w:val="32"/>
          <w:szCs w:val="32"/>
        </w:rPr>
      </w:pPr>
      <w:bookmarkStart w:id="127" w:name="_Toc27879"/>
      <w:bookmarkStart w:id="128" w:name="_Toc19818"/>
      <w:bookmarkStart w:id="129" w:name="_Toc23398"/>
      <w:bookmarkStart w:id="130" w:name="_Toc15626"/>
      <w:r>
        <w:rPr>
          <w:rFonts w:hint="eastAsia" w:ascii="方正黑体_GBK" w:hAnsi="方正黑体_GBK" w:eastAsia="方正黑体_GBK" w:cs="方正黑体_GBK"/>
          <w:bCs/>
          <w:spacing w:val="6"/>
          <w:sz w:val="32"/>
          <w:szCs w:val="32"/>
        </w:rPr>
        <w:t>第十三章 附表及附图</w:t>
      </w:r>
      <w:bookmarkEnd w:id="127"/>
      <w:bookmarkEnd w:id="128"/>
      <w:bookmarkEnd w:id="129"/>
      <w:bookmarkEnd w:id="130"/>
    </w:p>
    <w:p>
      <w:pPr>
        <w:pStyle w:val="3"/>
        <w:keepNext w:val="0"/>
        <w:keepLines w:val="0"/>
        <w:tabs>
          <w:tab w:val="left" w:pos="1008"/>
        </w:tabs>
        <w:spacing w:before="0" w:after="0" w:line="594" w:lineRule="exact"/>
        <w:jc w:val="left"/>
        <w:rPr>
          <w:rFonts w:hint="eastAsia" w:ascii="方正仿宋_GBK" w:hAnsi="方正仿宋_GBK" w:eastAsia="方正仿宋_GBK" w:cs="方正仿宋_GBK"/>
          <w:spacing w:val="6"/>
          <w:szCs w:val="32"/>
        </w:rPr>
      </w:pPr>
      <w:bookmarkStart w:id="131" w:name="_Toc4596"/>
      <w:bookmarkStart w:id="132" w:name="_Toc15462"/>
      <w:bookmarkStart w:id="133" w:name="_Toc9077"/>
      <w:bookmarkStart w:id="134" w:name="_Toc18687"/>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135" w:name="_Toc4574"/>
      <w:r>
        <w:rPr>
          <w:rFonts w:hint="eastAsia" w:ascii="方正楷体_GBK" w:hAnsi="方正楷体_GBK" w:eastAsia="方正楷体_GBK" w:cs="方正楷体_GBK"/>
          <w:b w:val="0"/>
          <w:bCs/>
          <w:spacing w:val="6"/>
          <w:szCs w:val="32"/>
        </w:rPr>
        <w:t>第一节  附表</w:t>
      </w:r>
      <w:bookmarkEnd w:id="131"/>
      <w:bookmarkEnd w:id="132"/>
      <w:bookmarkEnd w:id="133"/>
      <w:bookmarkEnd w:id="134"/>
      <w:bookmarkEnd w:id="135"/>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附表1 黔江区水安全保障“十四五”规划项目投资计划汇总表。</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附表2 黔江区水安全保障“十四五”规划编制策划储备项目清单。</w:t>
      </w:r>
    </w:p>
    <w:p>
      <w:pPr>
        <w:spacing w:line="594" w:lineRule="exact"/>
        <w:ind w:firstLine="560"/>
        <w:rPr>
          <w:rFonts w:hint="eastAsia" w:ascii="方正仿宋_GBK" w:hAnsi="方正仿宋_GBK" w:eastAsia="方正仿宋_GBK" w:cs="方正仿宋_GBK"/>
          <w:sz w:val="32"/>
          <w:szCs w:val="32"/>
        </w:rPr>
      </w:pPr>
    </w:p>
    <w:p>
      <w:pPr>
        <w:pStyle w:val="3"/>
        <w:keepNext w:val="0"/>
        <w:keepLines w:val="0"/>
        <w:tabs>
          <w:tab w:val="left" w:pos="1008"/>
        </w:tabs>
        <w:spacing w:before="0" w:after="0" w:line="594" w:lineRule="exact"/>
        <w:jc w:val="center"/>
        <w:rPr>
          <w:rFonts w:hint="eastAsia" w:ascii="方正楷体_GBK" w:hAnsi="方正楷体_GBK" w:eastAsia="方正楷体_GBK" w:cs="方正楷体_GBK"/>
          <w:b w:val="0"/>
          <w:bCs/>
          <w:spacing w:val="6"/>
          <w:szCs w:val="32"/>
        </w:rPr>
      </w:pPr>
      <w:bookmarkStart w:id="136" w:name="_Toc4884"/>
      <w:bookmarkStart w:id="137" w:name="_Toc2968"/>
      <w:bookmarkStart w:id="138" w:name="_Toc7749"/>
      <w:bookmarkStart w:id="139" w:name="_Toc29926"/>
      <w:bookmarkStart w:id="140" w:name="_Toc14302"/>
      <w:r>
        <w:rPr>
          <w:rFonts w:hint="eastAsia" w:ascii="方正楷体_GBK" w:hAnsi="方正楷体_GBK" w:eastAsia="方正楷体_GBK" w:cs="方正楷体_GBK"/>
          <w:b w:val="0"/>
          <w:bCs/>
          <w:spacing w:val="6"/>
          <w:szCs w:val="32"/>
        </w:rPr>
        <w:t>第二节  附图</w:t>
      </w:r>
      <w:bookmarkEnd w:id="136"/>
      <w:bookmarkEnd w:id="137"/>
      <w:bookmarkEnd w:id="138"/>
      <w:bookmarkEnd w:id="139"/>
      <w:bookmarkEnd w:id="140"/>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附图1：黔江区水安全保障“十四五”规划—防洪保安体系规划工程示意图。</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附图2：黔江区水安全保障“十四五”规划—城乡供水保障体系现状工程位置示意图。</w:t>
      </w:r>
    </w:p>
    <w:p>
      <w:pPr>
        <w:spacing w:line="594" w:lineRule="exact"/>
        <w:ind w:firstLine="56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附图3：黔江区水安全保障“十四五”规划—城乡供水保障体系规划工程位置示意图。</w:t>
      </w:r>
    </w:p>
    <w:p>
      <w:pPr>
        <w:spacing w:line="594" w:lineRule="exact"/>
        <w:ind w:firstLine="560"/>
        <w:rPr>
          <w:rFonts w:ascii="仿宋" w:hAnsi="仿宋" w:eastAsia="仿宋"/>
          <w:sz w:val="28"/>
          <w:szCs w:val="28"/>
        </w:rPr>
      </w:pPr>
      <w:r>
        <w:rPr>
          <w:rFonts w:hint="eastAsia" w:ascii="方正仿宋_GBK" w:hAnsi="方正仿宋_GBK" w:eastAsia="方正仿宋_GBK" w:cs="方正仿宋_GBK"/>
          <w:sz w:val="32"/>
          <w:szCs w:val="32"/>
        </w:rPr>
        <w:t>附图4：黔江区水安全保障“十四五”规划—水生态文明体系规划工程位置示意图。</w:t>
      </w:r>
    </w:p>
    <w:p>
      <w:pPr>
        <w:spacing w:line="594" w:lineRule="exact"/>
        <w:ind w:firstLine="420"/>
      </w:pPr>
    </w:p>
    <w:p>
      <w:pPr>
        <w:pStyle w:val="9"/>
        <w:spacing w:line="594" w:lineRule="exact"/>
        <w:sectPr>
          <w:headerReference r:id="rId17" w:type="default"/>
          <w:footerReference r:id="rId19" w:type="default"/>
          <w:headerReference r:id="rId18" w:type="even"/>
          <w:footerReference r:id="rId20" w:type="even"/>
          <w:pgSz w:w="11905" w:h="16838"/>
          <w:pgMar w:top="1984" w:right="1446" w:bottom="1644" w:left="1446" w:header="1134" w:footer="1134" w:gutter="0"/>
          <w:pgNumType w:fmt="numberInDash"/>
          <w:cols w:space="720" w:num="1"/>
          <w:docGrid w:linePitch="312" w:charSpace="0"/>
        </w:sectPr>
      </w:pPr>
    </w:p>
    <w:p>
      <w:pPr>
        <w:pStyle w:val="10"/>
        <w:ind w:left="0"/>
        <w:jc w:val="center"/>
        <w:rPr>
          <w:rFonts w:hint="eastAsia" w:ascii="方正黑体_GBK" w:hAnsi="方正黑体_GBK" w:eastAsia="方正黑体_GBK" w:cs="方正黑体_GBK"/>
          <w:sz w:val="36"/>
          <w:szCs w:val="36"/>
        </w:rPr>
      </w:pPr>
      <w:r>
        <w:rPr>
          <w:rFonts w:hint="eastAsia" w:ascii="方正黑体_GBK" w:hAnsi="方正黑体_GBK" w:eastAsia="方正黑体_GBK" w:cs="方正黑体_GBK"/>
          <w:kern w:val="0"/>
          <w:sz w:val="36"/>
          <w:szCs w:val="36"/>
          <w:lang w:bidi="ar"/>
        </w:rPr>
        <w:t>附表1 黔江区水安全保障“十四五”规划项目投资计划汇总表</w:t>
      </w:r>
    </w:p>
    <w:p>
      <w:pPr>
        <w:pStyle w:val="10"/>
      </w:pPr>
    </w:p>
    <w:tbl>
      <w:tblPr>
        <w:tblStyle w:val="28"/>
        <w:tblW w:w="0" w:type="auto"/>
        <w:jc w:val="center"/>
        <w:tblLayout w:type="fixed"/>
        <w:tblCellMar>
          <w:top w:w="0" w:type="dxa"/>
          <w:left w:w="108" w:type="dxa"/>
          <w:bottom w:w="0" w:type="dxa"/>
          <w:right w:w="108" w:type="dxa"/>
        </w:tblCellMar>
      </w:tblPr>
      <w:tblGrid>
        <w:gridCol w:w="837"/>
        <w:gridCol w:w="617"/>
        <w:gridCol w:w="1696"/>
        <w:gridCol w:w="1756"/>
        <w:gridCol w:w="1274"/>
        <w:gridCol w:w="840"/>
        <w:gridCol w:w="2490"/>
        <w:gridCol w:w="1050"/>
        <w:gridCol w:w="930"/>
        <w:gridCol w:w="1350"/>
        <w:gridCol w:w="1230"/>
        <w:gridCol w:w="1380"/>
        <w:gridCol w:w="1080"/>
        <w:gridCol w:w="1030"/>
        <w:gridCol w:w="1040"/>
        <w:gridCol w:w="1200"/>
        <w:gridCol w:w="960"/>
      </w:tblGrid>
      <w:tr>
        <w:tblPrEx>
          <w:tblCellMar>
            <w:top w:w="0" w:type="dxa"/>
            <w:left w:w="108" w:type="dxa"/>
            <w:bottom w:w="0" w:type="dxa"/>
            <w:right w:w="108" w:type="dxa"/>
          </w:tblCellMar>
        </w:tblPrEx>
        <w:trPr>
          <w:trHeight w:val="514" w:hRule="atLeast"/>
          <w:tblHeader/>
          <w:jc w:val="center"/>
        </w:trPr>
        <w:tc>
          <w:tcPr>
            <w:tcW w:w="837" w:type="dxa"/>
            <w:vMerge w:val="restart"/>
            <w:tcBorders>
              <w:top w:val="single" w:color="000000" w:sz="8" w:space="0"/>
              <w:left w:val="single" w:color="000000" w:sz="8" w:space="0"/>
              <w:bottom w:val="single" w:color="000000" w:sz="8" w:space="0"/>
              <w:right w:val="single" w:color="000000" w:sz="8" w:space="0"/>
            </w:tcBorders>
            <w:noWrap/>
            <w:vAlign w:val="center"/>
          </w:tcPr>
          <w:p>
            <w:pPr>
              <w:widowControl/>
              <w:spacing w:line="220" w:lineRule="exact"/>
              <w:jc w:val="center"/>
              <w:textAlignment w:val="center"/>
              <w:rPr>
                <w:rFonts w:ascii="方正黑体_GBK" w:hAnsi="方正黑体_GBK" w:eastAsia="方正黑体_GBK" w:cs="方正黑体_GBK"/>
                <w:sz w:val="20"/>
                <w:szCs w:val="20"/>
              </w:rPr>
            </w:pPr>
            <w:r>
              <w:rPr>
                <w:rFonts w:hint="eastAsia" w:ascii="方正黑体_GBK" w:hAnsi="方正黑体_GBK" w:eastAsia="方正黑体_GBK" w:cs="方正黑体_GBK"/>
                <w:kern w:val="0"/>
                <w:sz w:val="20"/>
                <w:szCs w:val="20"/>
                <w:lang w:bidi="ar"/>
              </w:rPr>
              <w:t>体系</w:t>
            </w:r>
          </w:p>
        </w:tc>
        <w:tc>
          <w:tcPr>
            <w:tcW w:w="617" w:type="dxa"/>
            <w:vMerge w:val="restart"/>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方正黑体_GBK" w:hAnsi="方正黑体_GBK" w:eastAsia="方正黑体_GBK" w:cs="方正黑体_GBK"/>
                <w:sz w:val="20"/>
                <w:szCs w:val="20"/>
              </w:rPr>
            </w:pPr>
            <w:r>
              <w:rPr>
                <w:rFonts w:hint="eastAsia" w:ascii="方正黑体_GBK" w:hAnsi="方正黑体_GBK" w:eastAsia="方正黑体_GBK" w:cs="方正黑体_GBK"/>
                <w:kern w:val="0"/>
                <w:sz w:val="20"/>
                <w:szCs w:val="20"/>
                <w:lang w:bidi="ar"/>
              </w:rPr>
              <w:t>序号</w:t>
            </w:r>
          </w:p>
        </w:tc>
        <w:tc>
          <w:tcPr>
            <w:tcW w:w="1696" w:type="dxa"/>
            <w:vMerge w:val="restart"/>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方正黑体_GBK" w:hAnsi="方正黑体_GBK" w:eastAsia="方正黑体_GBK" w:cs="方正黑体_GBK"/>
                <w:sz w:val="20"/>
                <w:szCs w:val="20"/>
              </w:rPr>
            </w:pPr>
            <w:r>
              <w:rPr>
                <w:rFonts w:hint="eastAsia" w:ascii="方正黑体_GBK" w:hAnsi="方正黑体_GBK" w:eastAsia="方正黑体_GBK" w:cs="方正黑体_GBK"/>
                <w:kern w:val="0"/>
                <w:sz w:val="20"/>
                <w:szCs w:val="20"/>
                <w:lang w:bidi="ar"/>
              </w:rPr>
              <w:t>项目类型</w:t>
            </w:r>
          </w:p>
        </w:tc>
        <w:tc>
          <w:tcPr>
            <w:tcW w:w="1756" w:type="dxa"/>
            <w:vMerge w:val="restart"/>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方正黑体_GBK" w:hAnsi="方正黑体_GBK" w:eastAsia="方正黑体_GBK" w:cs="方正黑体_GBK"/>
                <w:sz w:val="20"/>
                <w:szCs w:val="20"/>
              </w:rPr>
            </w:pPr>
            <w:r>
              <w:rPr>
                <w:rFonts w:hint="eastAsia" w:ascii="方正黑体_GBK" w:hAnsi="方正黑体_GBK" w:eastAsia="方正黑体_GBK" w:cs="方正黑体_GBK"/>
                <w:kern w:val="0"/>
                <w:sz w:val="20"/>
                <w:szCs w:val="20"/>
                <w:lang w:bidi="ar"/>
              </w:rPr>
              <w:t>项目名称</w:t>
            </w:r>
          </w:p>
        </w:tc>
        <w:tc>
          <w:tcPr>
            <w:tcW w:w="1274" w:type="dxa"/>
            <w:vMerge w:val="restart"/>
            <w:tcBorders>
              <w:top w:val="single" w:color="000000" w:sz="8" w:space="0"/>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方正黑体_GBK" w:hAnsi="方正黑体_GBK" w:eastAsia="方正黑体_GBK" w:cs="方正黑体_GBK"/>
                <w:sz w:val="20"/>
                <w:szCs w:val="20"/>
              </w:rPr>
            </w:pPr>
            <w:r>
              <w:rPr>
                <w:rFonts w:hint="eastAsia" w:ascii="方正黑体_GBK" w:hAnsi="方正黑体_GBK" w:eastAsia="方正黑体_GBK" w:cs="方正黑体_GBK"/>
                <w:kern w:val="0"/>
                <w:sz w:val="20"/>
                <w:szCs w:val="20"/>
                <w:lang w:bidi="ar"/>
              </w:rPr>
              <w:t>建设地点</w:t>
            </w:r>
          </w:p>
        </w:tc>
        <w:tc>
          <w:tcPr>
            <w:tcW w:w="840" w:type="dxa"/>
            <w:vMerge w:val="restart"/>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方正黑体_GBK" w:hAnsi="方正黑体_GBK" w:eastAsia="方正黑体_GBK" w:cs="方正黑体_GBK"/>
                <w:sz w:val="20"/>
                <w:szCs w:val="20"/>
              </w:rPr>
            </w:pPr>
            <w:r>
              <w:rPr>
                <w:rFonts w:hint="eastAsia" w:ascii="方正黑体_GBK" w:hAnsi="方正黑体_GBK" w:eastAsia="方正黑体_GBK" w:cs="方正黑体_GBK"/>
                <w:kern w:val="0"/>
                <w:sz w:val="20"/>
                <w:szCs w:val="20"/>
                <w:lang w:bidi="ar"/>
              </w:rPr>
              <w:t>建设性质</w:t>
            </w:r>
          </w:p>
        </w:tc>
        <w:tc>
          <w:tcPr>
            <w:tcW w:w="2490" w:type="dxa"/>
            <w:vMerge w:val="restart"/>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方正黑体_GBK" w:hAnsi="方正黑体_GBK" w:eastAsia="方正黑体_GBK" w:cs="方正黑体_GBK"/>
                <w:sz w:val="20"/>
                <w:szCs w:val="20"/>
              </w:rPr>
            </w:pPr>
            <w:r>
              <w:rPr>
                <w:rFonts w:hint="eastAsia" w:ascii="方正黑体_GBK" w:hAnsi="方正黑体_GBK" w:eastAsia="方正黑体_GBK" w:cs="方正黑体_GBK"/>
                <w:kern w:val="0"/>
                <w:sz w:val="20"/>
                <w:szCs w:val="20"/>
                <w:lang w:bidi="ar"/>
              </w:rPr>
              <w:t>主要建设内容及规模</w:t>
            </w:r>
          </w:p>
        </w:tc>
        <w:tc>
          <w:tcPr>
            <w:tcW w:w="1050" w:type="dxa"/>
            <w:vMerge w:val="restart"/>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方正黑体_GBK" w:hAnsi="方正黑体_GBK" w:eastAsia="方正黑体_GBK" w:cs="方正黑体_GBK"/>
                <w:sz w:val="20"/>
                <w:szCs w:val="20"/>
              </w:rPr>
            </w:pPr>
            <w:r>
              <w:rPr>
                <w:rFonts w:hint="eastAsia" w:ascii="方正黑体_GBK" w:hAnsi="方正黑体_GBK" w:eastAsia="方正黑体_GBK" w:cs="方正黑体_GBK"/>
                <w:kern w:val="0"/>
                <w:sz w:val="20"/>
                <w:szCs w:val="20"/>
                <w:lang w:bidi="ar"/>
              </w:rPr>
              <w:t>开工时间</w:t>
            </w:r>
          </w:p>
        </w:tc>
        <w:tc>
          <w:tcPr>
            <w:tcW w:w="930" w:type="dxa"/>
            <w:vMerge w:val="restart"/>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方正黑体_GBK" w:hAnsi="方正黑体_GBK" w:eastAsia="方正黑体_GBK" w:cs="方正黑体_GBK"/>
                <w:sz w:val="20"/>
                <w:szCs w:val="20"/>
              </w:rPr>
            </w:pPr>
            <w:r>
              <w:rPr>
                <w:rFonts w:hint="eastAsia" w:ascii="方正黑体_GBK" w:hAnsi="方正黑体_GBK" w:eastAsia="方正黑体_GBK" w:cs="方正黑体_GBK"/>
                <w:kern w:val="0"/>
                <w:sz w:val="20"/>
                <w:szCs w:val="20"/>
                <w:lang w:bidi="ar"/>
              </w:rPr>
              <w:t>建设年限(年）</w:t>
            </w:r>
          </w:p>
        </w:tc>
        <w:tc>
          <w:tcPr>
            <w:tcW w:w="1350" w:type="dxa"/>
            <w:vMerge w:val="restart"/>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方正黑体_GBK" w:hAnsi="方正黑体_GBK" w:eastAsia="方正黑体_GBK" w:cs="方正黑体_GBK"/>
                <w:sz w:val="20"/>
                <w:szCs w:val="20"/>
              </w:rPr>
            </w:pPr>
            <w:r>
              <w:rPr>
                <w:rFonts w:hint="eastAsia" w:ascii="方正黑体_GBK" w:hAnsi="方正黑体_GBK" w:eastAsia="方正黑体_GBK" w:cs="方正黑体_GBK"/>
                <w:kern w:val="0"/>
                <w:sz w:val="20"/>
                <w:szCs w:val="20"/>
                <w:lang w:bidi="ar"/>
              </w:rPr>
              <w:t>总投资（万元）</w:t>
            </w:r>
          </w:p>
        </w:tc>
        <w:tc>
          <w:tcPr>
            <w:tcW w:w="1230" w:type="dxa"/>
            <w:vMerge w:val="restart"/>
            <w:tcBorders>
              <w:top w:val="single" w:color="000000" w:sz="8" w:space="0"/>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方正黑体_GBK" w:hAnsi="方正黑体_GBK" w:eastAsia="方正黑体_GBK" w:cs="方正黑体_GBK"/>
                <w:sz w:val="20"/>
                <w:szCs w:val="20"/>
              </w:rPr>
            </w:pPr>
            <w:r>
              <w:rPr>
                <w:rFonts w:hint="eastAsia" w:ascii="方正黑体_GBK" w:hAnsi="方正黑体_GBK" w:eastAsia="方正黑体_GBK" w:cs="方正黑体_GBK"/>
                <w:kern w:val="0"/>
                <w:sz w:val="20"/>
                <w:szCs w:val="20"/>
                <w:lang w:bidi="ar"/>
              </w:rPr>
              <w:t>已完成投资</w:t>
            </w:r>
          </w:p>
        </w:tc>
        <w:tc>
          <w:tcPr>
            <w:tcW w:w="1380" w:type="dxa"/>
            <w:vMerge w:val="restart"/>
            <w:tcBorders>
              <w:top w:val="single" w:color="000000" w:sz="8" w:space="0"/>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方正黑体_GBK" w:hAnsi="方正黑体_GBK" w:eastAsia="方正黑体_GBK" w:cs="方正黑体_GBK"/>
                <w:sz w:val="20"/>
                <w:szCs w:val="20"/>
              </w:rPr>
            </w:pPr>
            <w:r>
              <w:rPr>
                <w:rFonts w:hint="eastAsia" w:ascii="方正黑体_GBK" w:hAnsi="方正黑体_GBK" w:eastAsia="方正黑体_GBK" w:cs="方正黑体_GBK"/>
                <w:kern w:val="0"/>
                <w:sz w:val="20"/>
                <w:szCs w:val="20"/>
                <w:lang w:bidi="ar"/>
              </w:rPr>
              <w:t>“十四五”期间投资(万元）</w:t>
            </w:r>
          </w:p>
        </w:tc>
        <w:tc>
          <w:tcPr>
            <w:tcW w:w="4350" w:type="dxa"/>
            <w:gridSpan w:val="4"/>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方正黑体_GBK" w:hAnsi="方正黑体_GBK" w:eastAsia="方正黑体_GBK" w:cs="方正黑体_GBK"/>
                <w:sz w:val="20"/>
                <w:szCs w:val="20"/>
              </w:rPr>
            </w:pPr>
            <w:r>
              <w:rPr>
                <w:rFonts w:hint="eastAsia" w:ascii="方正黑体_GBK" w:hAnsi="方正黑体_GBK" w:eastAsia="方正黑体_GBK" w:cs="方正黑体_GBK"/>
                <w:kern w:val="0"/>
                <w:sz w:val="20"/>
                <w:szCs w:val="20"/>
                <w:lang w:bidi="ar"/>
              </w:rPr>
              <w:t>资金来源</w:t>
            </w:r>
          </w:p>
        </w:tc>
        <w:tc>
          <w:tcPr>
            <w:tcW w:w="960" w:type="dxa"/>
            <w:vMerge w:val="restart"/>
            <w:tcBorders>
              <w:top w:val="single" w:color="000000" w:sz="8" w:space="0"/>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方正黑体_GBK" w:hAnsi="方正黑体_GBK" w:eastAsia="方正黑体_GBK" w:cs="方正黑体_GBK"/>
                <w:sz w:val="20"/>
                <w:szCs w:val="20"/>
              </w:rPr>
            </w:pPr>
            <w:r>
              <w:rPr>
                <w:rFonts w:hint="eastAsia" w:ascii="方正黑体_GBK" w:hAnsi="方正黑体_GBK" w:eastAsia="方正黑体_GBK" w:cs="方正黑体_GBK"/>
                <w:kern w:val="0"/>
                <w:sz w:val="20"/>
                <w:szCs w:val="20"/>
                <w:lang w:bidi="ar"/>
              </w:rPr>
              <w:t>备注</w:t>
            </w:r>
          </w:p>
        </w:tc>
      </w:tr>
      <w:tr>
        <w:tblPrEx>
          <w:tblCellMar>
            <w:top w:w="0" w:type="dxa"/>
            <w:left w:w="108" w:type="dxa"/>
            <w:bottom w:w="0" w:type="dxa"/>
            <w:right w:w="108" w:type="dxa"/>
          </w:tblCellMar>
        </w:tblPrEx>
        <w:trPr>
          <w:trHeight w:val="1353" w:hRule="atLeast"/>
          <w:tblHeader/>
          <w:jc w:val="center"/>
        </w:trPr>
        <w:tc>
          <w:tcPr>
            <w:tcW w:w="837" w:type="dxa"/>
            <w:vMerge w:val="continue"/>
            <w:tcBorders>
              <w:top w:val="single" w:color="000000" w:sz="8" w:space="0"/>
              <w:left w:val="single" w:color="000000" w:sz="8" w:space="0"/>
              <w:bottom w:val="single" w:color="000000" w:sz="8" w:space="0"/>
              <w:right w:val="single" w:color="000000" w:sz="8" w:space="0"/>
            </w:tcBorders>
            <w:noWrap/>
            <w:vAlign w:val="center"/>
          </w:tcPr>
          <w:p>
            <w:pPr>
              <w:widowControl/>
              <w:spacing w:line="220" w:lineRule="exact"/>
              <w:jc w:val="center"/>
              <w:rPr>
                <w:rFonts w:hint="eastAsia" w:ascii="方正黑体_GBK" w:hAnsi="方正黑体_GBK" w:eastAsia="方正黑体_GBK" w:cs="方正黑体_GBK"/>
                <w:sz w:val="20"/>
                <w:szCs w:val="20"/>
              </w:rPr>
            </w:pPr>
          </w:p>
        </w:tc>
        <w:tc>
          <w:tcPr>
            <w:tcW w:w="617" w:type="dxa"/>
            <w:vMerge w:val="continue"/>
            <w:tcBorders>
              <w:top w:val="single" w:color="000000" w:sz="8" w:space="0"/>
              <w:left w:val="nil"/>
              <w:bottom w:val="single" w:color="000000" w:sz="8" w:space="0"/>
              <w:right w:val="single" w:color="000000" w:sz="8" w:space="0"/>
            </w:tcBorders>
            <w:noWrap/>
            <w:vAlign w:val="center"/>
          </w:tcPr>
          <w:p>
            <w:pPr>
              <w:widowControl/>
              <w:spacing w:line="220" w:lineRule="exact"/>
              <w:jc w:val="center"/>
              <w:rPr>
                <w:rFonts w:hint="eastAsia" w:ascii="方正黑体_GBK" w:hAnsi="方正黑体_GBK" w:eastAsia="方正黑体_GBK" w:cs="方正黑体_GBK"/>
                <w:sz w:val="20"/>
                <w:szCs w:val="20"/>
              </w:rPr>
            </w:pPr>
          </w:p>
        </w:tc>
        <w:tc>
          <w:tcPr>
            <w:tcW w:w="1696" w:type="dxa"/>
            <w:vMerge w:val="continue"/>
            <w:tcBorders>
              <w:top w:val="single" w:color="000000" w:sz="8" w:space="0"/>
              <w:left w:val="nil"/>
              <w:bottom w:val="single" w:color="000000" w:sz="8" w:space="0"/>
              <w:right w:val="single" w:color="000000" w:sz="8" w:space="0"/>
            </w:tcBorders>
            <w:noWrap/>
            <w:vAlign w:val="center"/>
          </w:tcPr>
          <w:p>
            <w:pPr>
              <w:widowControl/>
              <w:spacing w:line="220" w:lineRule="exact"/>
              <w:jc w:val="center"/>
              <w:rPr>
                <w:rFonts w:hint="eastAsia" w:ascii="方正黑体_GBK" w:hAnsi="方正黑体_GBK" w:eastAsia="方正黑体_GBK" w:cs="方正黑体_GBK"/>
                <w:sz w:val="20"/>
                <w:szCs w:val="20"/>
              </w:rPr>
            </w:pPr>
          </w:p>
        </w:tc>
        <w:tc>
          <w:tcPr>
            <w:tcW w:w="1756" w:type="dxa"/>
            <w:vMerge w:val="continue"/>
            <w:tcBorders>
              <w:top w:val="single" w:color="000000" w:sz="8" w:space="0"/>
              <w:left w:val="nil"/>
              <w:bottom w:val="single" w:color="000000" w:sz="8" w:space="0"/>
              <w:right w:val="single" w:color="000000" w:sz="8" w:space="0"/>
            </w:tcBorders>
            <w:noWrap/>
            <w:vAlign w:val="center"/>
          </w:tcPr>
          <w:p>
            <w:pPr>
              <w:widowControl/>
              <w:spacing w:line="220" w:lineRule="exact"/>
              <w:jc w:val="center"/>
              <w:rPr>
                <w:rFonts w:hint="eastAsia" w:ascii="方正黑体_GBK" w:hAnsi="方正黑体_GBK" w:eastAsia="方正黑体_GBK" w:cs="方正黑体_GBK"/>
                <w:sz w:val="20"/>
                <w:szCs w:val="20"/>
              </w:rPr>
            </w:pPr>
          </w:p>
        </w:tc>
        <w:tc>
          <w:tcPr>
            <w:tcW w:w="1274" w:type="dxa"/>
            <w:vMerge w:val="continue"/>
            <w:tcBorders>
              <w:top w:val="single" w:color="000000" w:sz="8" w:space="0"/>
              <w:left w:val="nil"/>
              <w:bottom w:val="single" w:color="000000" w:sz="8" w:space="0"/>
              <w:right w:val="single" w:color="000000" w:sz="8" w:space="0"/>
            </w:tcBorders>
            <w:noWrap w:val="0"/>
            <w:vAlign w:val="center"/>
          </w:tcPr>
          <w:p>
            <w:pPr>
              <w:widowControl/>
              <w:spacing w:line="220" w:lineRule="exact"/>
              <w:jc w:val="center"/>
              <w:rPr>
                <w:rFonts w:hint="eastAsia" w:ascii="方正黑体_GBK" w:hAnsi="方正黑体_GBK" w:eastAsia="方正黑体_GBK" w:cs="方正黑体_GBK"/>
                <w:sz w:val="20"/>
                <w:szCs w:val="20"/>
              </w:rPr>
            </w:pPr>
          </w:p>
        </w:tc>
        <w:tc>
          <w:tcPr>
            <w:tcW w:w="840" w:type="dxa"/>
            <w:vMerge w:val="continue"/>
            <w:tcBorders>
              <w:top w:val="single" w:color="000000" w:sz="8" w:space="0"/>
              <w:left w:val="nil"/>
              <w:bottom w:val="single" w:color="000000" w:sz="8" w:space="0"/>
              <w:right w:val="single" w:color="000000" w:sz="8" w:space="0"/>
            </w:tcBorders>
            <w:noWrap/>
            <w:vAlign w:val="center"/>
          </w:tcPr>
          <w:p>
            <w:pPr>
              <w:widowControl/>
              <w:spacing w:line="220" w:lineRule="exact"/>
              <w:jc w:val="center"/>
              <w:rPr>
                <w:rFonts w:hint="eastAsia" w:ascii="方正黑体_GBK" w:hAnsi="方正黑体_GBK" w:eastAsia="方正黑体_GBK" w:cs="方正黑体_GBK"/>
                <w:sz w:val="20"/>
                <w:szCs w:val="20"/>
              </w:rPr>
            </w:pPr>
          </w:p>
        </w:tc>
        <w:tc>
          <w:tcPr>
            <w:tcW w:w="2490" w:type="dxa"/>
            <w:vMerge w:val="continue"/>
            <w:tcBorders>
              <w:top w:val="single" w:color="000000" w:sz="8" w:space="0"/>
              <w:left w:val="nil"/>
              <w:bottom w:val="single" w:color="000000" w:sz="8" w:space="0"/>
              <w:right w:val="single" w:color="000000" w:sz="8" w:space="0"/>
            </w:tcBorders>
            <w:noWrap/>
            <w:vAlign w:val="center"/>
          </w:tcPr>
          <w:p>
            <w:pPr>
              <w:widowControl/>
              <w:spacing w:line="220" w:lineRule="exact"/>
              <w:jc w:val="center"/>
              <w:rPr>
                <w:rFonts w:hint="eastAsia" w:ascii="方正黑体_GBK" w:hAnsi="方正黑体_GBK" w:eastAsia="方正黑体_GBK" w:cs="方正黑体_GBK"/>
                <w:sz w:val="20"/>
                <w:szCs w:val="20"/>
              </w:rPr>
            </w:pPr>
          </w:p>
        </w:tc>
        <w:tc>
          <w:tcPr>
            <w:tcW w:w="1050" w:type="dxa"/>
            <w:vMerge w:val="continue"/>
            <w:tcBorders>
              <w:top w:val="single" w:color="000000" w:sz="8" w:space="0"/>
              <w:left w:val="nil"/>
              <w:bottom w:val="single" w:color="000000" w:sz="8" w:space="0"/>
              <w:right w:val="single" w:color="000000" w:sz="8" w:space="0"/>
            </w:tcBorders>
            <w:noWrap/>
            <w:vAlign w:val="center"/>
          </w:tcPr>
          <w:p>
            <w:pPr>
              <w:widowControl/>
              <w:spacing w:line="220" w:lineRule="exact"/>
              <w:jc w:val="center"/>
              <w:rPr>
                <w:rFonts w:hint="eastAsia" w:ascii="方正黑体_GBK" w:hAnsi="方正黑体_GBK" w:eastAsia="方正黑体_GBK" w:cs="方正黑体_GBK"/>
                <w:sz w:val="20"/>
                <w:szCs w:val="20"/>
              </w:rPr>
            </w:pPr>
          </w:p>
        </w:tc>
        <w:tc>
          <w:tcPr>
            <w:tcW w:w="930" w:type="dxa"/>
            <w:vMerge w:val="continue"/>
            <w:tcBorders>
              <w:top w:val="single" w:color="000000" w:sz="8" w:space="0"/>
              <w:left w:val="nil"/>
              <w:bottom w:val="single" w:color="000000" w:sz="8" w:space="0"/>
              <w:right w:val="single" w:color="000000" w:sz="8" w:space="0"/>
            </w:tcBorders>
            <w:noWrap/>
            <w:vAlign w:val="center"/>
          </w:tcPr>
          <w:p>
            <w:pPr>
              <w:widowControl/>
              <w:spacing w:line="220" w:lineRule="exact"/>
              <w:jc w:val="center"/>
              <w:rPr>
                <w:rFonts w:hint="eastAsia" w:ascii="方正黑体_GBK" w:hAnsi="方正黑体_GBK" w:eastAsia="方正黑体_GBK" w:cs="方正黑体_GBK"/>
                <w:sz w:val="20"/>
                <w:szCs w:val="20"/>
              </w:rPr>
            </w:pPr>
          </w:p>
        </w:tc>
        <w:tc>
          <w:tcPr>
            <w:tcW w:w="1350" w:type="dxa"/>
            <w:vMerge w:val="continue"/>
            <w:tcBorders>
              <w:top w:val="single" w:color="000000" w:sz="8" w:space="0"/>
              <w:left w:val="nil"/>
              <w:bottom w:val="single" w:color="000000" w:sz="8" w:space="0"/>
              <w:right w:val="single" w:color="000000" w:sz="8" w:space="0"/>
            </w:tcBorders>
            <w:noWrap/>
            <w:vAlign w:val="center"/>
          </w:tcPr>
          <w:p>
            <w:pPr>
              <w:widowControl/>
              <w:spacing w:line="220" w:lineRule="exact"/>
              <w:jc w:val="center"/>
              <w:rPr>
                <w:rFonts w:hint="eastAsia" w:ascii="方正黑体_GBK" w:hAnsi="方正黑体_GBK" w:eastAsia="方正黑体_GBK" w:cs="方正黑体_GBK"/>
                <w:sz w:val="20"/>
                <w:szCs w:val="20"/>
              </w:rPr>
            </w:pPr>
          </w:p>
        </w:tc>
        <w:tc>
          <w:tcPr>
            <w:tcW w:w="1230" w:type="dxa"/>
            <w:vMerge w:val="continue"/>
            <w:tcBorders>
              <w:top w:val="single" w:color="000000" w:sz="8" w:space="0"/>
              <w:left w:val="nil"/>
              <w:bottom w:val="single" w:color="000000" w:sz="8" w:space="0"/>
              <w:right w:val="single" w:color="000000" w:sz="8" w:space="0"/>
            </w:tcBorders>
            <w:noWrap w:val="0"/>
            <w:vAlign w:val="center"/>
          </w:tcPr>
          <w:p>
            <w:pPr>
              <w:widowControl/>
              <w:spacing w:line="220" w:lineRule="exact"/>
              <w:jc w:val="center"/>
              <w:rPr>
                <w:rFonts w:hint="eastAsia" w:ascii="方正黑体_GBK" w:hAnsi="方正黑体_GBK" w:eastAsia="方正黑体_GBK" w:cs="方正黑体_GBK"/>
                <w:sz w:val="20"/>
                <w:szCs w:val="20"/>
              </w:rPr>
            </w:pPr>
          </w:p>
        </w:tc>
        <w:tc>
          <w:tcPr>
            <w:tcW w:w="1380" w:type="dxa"/>
            <w:vMerge w:val="continue"/>
            <w:tcBorders>
              <w:top w:val="single" w:color="000000" w:sz="8" w:space="0"/>
              <w:left w:val="nil"/>
              <w:bottom w:val="single" w:color="000000" w:sz="8" w:space="0"/>
              <w:right w:val="single" w:color="000000" w:sz="8" w:space="0"/>
            </w:tcBorders>
            <w:noWrap w:val="0"/>
            <w:vAlign w:val="center"/>
          </w:tcPr>
          <w:p>
            <w:pPr>
              <w:widowControl/>
              <w:spacing w:line="220" w:lineRule="exact"/>
              <w:jc w:val="center"/>
              <w:rPr>
                <w:rFonts w:hint="eastAsia" w:ascii="方正黑体_GBK" w:hAnsi="方正黑体_GBK" w:eastAsia="方正黑体_GBK" w:cs="方正黑体_GBK"/>
                <w:sz w:val="20"/>
                <w:szCs w:val="20"/>
              </w:rPr>
            </w:pP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方正黑体_GBK" w:hAnsi="方正黑体_GBK" w:eastAsia="方正黑体_GBK" w:cs="方正黑体_GBK"/>
                <w:sz w:val="20"/>
                <w:szCs w:val="20"/>
              </w:rPr>
            </w:pPr>
            <w:r>
              <w:rPr>
                <w:rFonts w:hint="eastAsia" w:ascii="方正黑体_GBK" w:hAnsi="方正黑体_GBK" w:eastAsia="方正黑体_GBK" w:cs="方正黑体_GBK"/>
                <w:kern w:val="0"/>
                <w:sz w:val="20"/>
                <w:szCs w:val="20"/>
                <w:lang w:bidi="ar"/>
              </w:rPr>
              <w:t>中央</w:t>
            </w:r>
          </w:p>
        </w:tc>
        <w:tc>
          <w:tcPr>
            <w:tcW w:w="10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方正黑体_GBK" w:hAnsi="方正黑体_GBK" w:eastAsia="方正黑体_GBK" w:cs="方正黑体_GBK"/>
                <w:sz w:val="20"/>
                <w:szCs w:val="20"/>
              </w:rPr>
            </w:pPr>
            <w:r>
              <w:rPr>
                <w:rFonts w:hint="eastAsia" w:ascii="方正黑体_GBK" w:hAnsi="方正黑体_GBK" w:eastAsia="方正黑体_GBK" w:cs="方正黑体_GBK"/>
                <w:kern w:val="0"/>
                <w:sz w:val="20"/>
                <w:szCs w:val="20"/>
                <w:lang w:bidi="ar"/>
              </w:rPr>
              <w:t>市级</w:t>
            </w:r>
          </w:p>
        </w:tc>
        <w:tc>
          <w:tcPr>
            <w:tcW w:w="104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方正黑体_GBK" w:hAnsi="方正黑体_GBK" w:eastAsia="方正黑体_GBK" w:cs="方正黑体_GBK"/>
                <w:sz w:val="20"/>
                <w:szCs w:val="20"/>
              </w:rPr>
            </w:pPr>
            <w:r>
              <w:rPr>
                <w:rFonts w:hint="eastAsia" w:ascii="方正黑体_GBK" w:hAnsi="方正黑体_GBK" w:eastAsia="方正黑体_GBK" w:cs="方正黑体_GBK"/>
                <w:kern w:val="0"/>
                <w:sz w:val="20"/>
                <w:szCs w:val="20"/>
                <w:lang w:bidi="ar"/>
              </w:rPr>
              <w:t>区级</w:t>
            </w:r>
          </w:p>
        </w:tc>
        <w:tc>
          <w:tcPr>
            <w:tcW w:w="1200" w:type="dxa"/>
            <w:tcBorders>
              <w:top w:val="single" w:color="000000" w:sz="8" w:space="0"/>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方正黑体_GBK" w:hAnsi="方正黑体_GBK" w:eastAsia="方正黑体_GBK" w:cs="方正黑体_GBK"/>
                <w:sz w:val="20"/>
                <w:szCs w:val="20"/>
              </w:rPr>
            </w:pPr>
            <w:r>
              <w:rPr>
                <w:rFonts w:hint="eastAsia" w:ascii="方正黑体_GBK" w:hAnsi="方正黑体_GBK" w:eastAsia="方正黑体_GBK" w:cs="方正黑体_GBK"/>
                <w:kern w:val="0"/>
                <w:sz w:val="20"/>
                <w:szCs w:val="20"/>
                <w:lang w:bidi="ar"/>
              </w:rPr>
              <w:t>其他资金来源（企业和私人投资、贷款、债券及外资等）</w:t>
            </w:r>
          </w:p>
        </w:tc>
        <w:tc>
          <w:tcPr>
            <w:tcW w:w="960" w:type="dxa"/>
            <w:vMerge w:val="continue"/>
            <w:tcBorders>
              <w:top w:val="single" w:color="000000" w:sz="8" w:space="0"/>
              <w:left w:val="nil"/>
              <w:bottom w:val="single" w:color="000000" w:sz="8" w:space="0"/>
              <w:right w:val="single" w:color="000000" w:sz="8" w:space="0"/>
            </w:tcBorders>
            <w:noWrap w:val="0"/>
            <w:vAlign w:val="center"/>
          </w:tcPr>
          <w:p>
            <w:pPr>
              <w:widowControl/>
              <w:spacing w:line="220" w:lineRule="exact"/>
              <w:jc w:val="center"/>
              <w:rPr>
                <w:rFonts w:hint="eastAsia" w:ascii="方正黑体_GBK" w:hAnsi="方正黑体_GBK" w:eastAsia="方正黑体_GBK" w:cs="方正黑体_GBK"/>
                <w:sz w:val="20"/>
                <w:szCs w:val="20"/>
              </w:rPr>
            </w:pPr>
          </w:p>
        </w:tc>
      </w:tr>
      <w:tr>
        <w:tblPrEx>
          <w:tblCellMar>
            <w:top w:w="0" w:type="dxa"/>
            <w:left w:w="108" w:type="dxa"/>
            <w:bottom w:w="0" w:type="dxa"/>
            <w:right w:w="108" w:type="dxa"/>
          </w:tblCellMar>
        </w:tblPrEx>
        <w:trPr>
          <w:trHeight w:val="683" w:hRule="atLeast"/>
          <w:jc w:val="center"/>
        </w:trPr>
        <w:tc>
          <w:tcPr>
            <w:tcW w:w="837" w:type="dxa"/>
            <w:vMerge w:val="restart"/>
            <w:tcBorders>
              <w:top w:val="nil"/>
              <w:left w:val="single" w:color="000000" w:sz="8" w:space="0"/>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防洪保安体系建设</w:t>
            </w: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696" w:type="dxa"/>
            <w:vMerge w:val="restart"/>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重点河流综合治理</w:t>
            </w: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太极河综合治理工程</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太极乡、金溪镇、白土乡</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河道综合治理长度30公里</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2022</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15000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15000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8000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4000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rPr>
          <w:trHeight w:val="917"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袁溪河综合治理工程</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金溪镇、城南街道、冯家街道、水田乡</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新建堤防12公里</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2023</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660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740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431"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石会河综合治理工程</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陈家坝</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新建堤防8公里</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2023</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1600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1600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90"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阿蓬江濯水镇段综合治理工程</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濯水镇</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新建堤防15公里、护岸5公里</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2022</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660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740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520"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阿蓬江冯家街道段综合治理工程</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冯家街道</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新建堤防8公里、护岸5公里</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2024</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450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550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rPr>
          <w:trHeight w:val="446"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阿蓬江舟白街道段综合治理工程</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舟白街道</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新建堤防15公里、护岸10公里</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450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550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631"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黔江河综合治理工程</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城东街道、城西街道、城南街道</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综合治理河道长度10公里</w:t>
            </w:r>
          </w:p>
        </w:tc>
        <w:tc>
          <w:tcPr>
            <w:tcW w:w="105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w:t>
            </w:r>
          </w:p>
        </w:tc>
        <w:tc>
          <w:tcPr>
            <w:tcW w:w="93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350" w:type="dxa"/>
            <w:tcBorders>
              <w:top w:val="single" w:color="000000" w:sz="8" w:space="0"/>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2000</w:t>
            </w:r>
          </w:p>
        </w:tc>
        <w:tc>
          <w:tcPr>
            <w:tcW w:w="1230" w:type="dxa"/>
            <w:tcBorders>
              <w:top w:val="single" w:color="000000" w:sz="8" w:space="0"/>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single" w:color="000000" w:sz="8" w:space="0"/>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2000</w:t>
            </w:r>
          </w:p>
        </w:tc>
        <w:tc>
          <w:tcPr>
            <w:tcW w:w="108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660</w:t>
            </w:r>
          </w:p>
        </w:tc>
        <w:tc>
          <w:tcPr>
            <w:tcW w:w="10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04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740</w:t>
            </w:r>
          </w:p>
        </w:tc>
        <w:tc>
          <w:tcPr>
            <w:tcW w:w="120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991"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中井河综合治理工程</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杉岭乡、沙坝乡、黄溪镇、白石乡、黑溪镇、石会镇</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综合治理河道长度22公里</w:t>
            </w:r>
          </w:p>
        </w:tc>
        <w:tc>
          <w:tcPr>
            <w:tcW w:w="105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2023</w:t>
            </w:r>
          </w:p>
        </w:tc>
        <w:tc>
          <w:tcPr>
            <w:tcW w:w="93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35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2000</w:t>
            </w:r>
          </w:p>
        </w:tc>
        <w:tc>
          <w:tcPr>
            <w:tcW w:w="123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660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740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490"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69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山洪灾害防治</w:t>
            </w: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黔江区山洪灾害防治项目</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群测群防体系建设、山洪沟治理等</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35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2500</w:t>
            </w:r>
          </w:p>
        </w:tc>
        <w:tc>
          <w:tcPr>
            <w:tcW w:w="12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2500</w:t>
            </w:r>
          </w:p>
        </w:tc>
        <w:tc>
          <w:tcPr>
            <w:tcW w:w="108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2500</w:t>
            </w:r>
          </w:p>
        </w:tc>
        <w:tc>
          <w:tcPr>
            <w:tcW w:w="10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4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20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rPr>
          <w:trHeight w:val="509"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696"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城市防洪排涝能力提升</w:t>
            </w: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黔江区城市防洪排涝提升工程</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黔江城区防洪排涝工程</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873"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69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其他类型</w:t>
            </w:r>
          </w:p>
        </w:tc>
        <w:tc>
          <w:tcPr>
            <w:tcW w:w="1756"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应急水毁项目、水利工程维修养护、防洪工程5年提升计划</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应急水毁专项规划</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461"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10653" w:type="dxa"/>
            <w:gridSpan w:val="8"/>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b/>
                <w:bCs/>
                <w:sz w:val="20"/>
                <w:szCs w:val="20"/>
              </w:rPr>
            </w:pPr>
            <w:r>
              <w:rPr>
                <w:rFonts w:hint="eastAsia" w:ascii="宋体" w:hAnsi="宋体" w:cs="宋体"/>
                <w:b/>
                <w:bCs/>
                <w:kern w:val="0"/>
                <w:sz w:val="20"/>
                <w:szCs w:val="20"/>
                <w:lang w:bidi="ar"/>
              </w:rPr>
              <w:t>防洪保安体系建设投资合计</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38100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38100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17640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10800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8660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643" w:hRule="atLeast"/>
          <w:jc w:val="center"/>
        </w:trPr>
        <w:tc>
          <w:tcPr>
            <w:tcW w:w="837" w:type="dxa"/>
            <w:vMerge w:val="restart"/>
            <w:tcBorders>
              <w:top w:val="nil"/>
              <w:left w:val="single" w:color="000000" w:sz="8" w:space="0"/>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城乡供水保障体系建设</w:t>
            </w: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696" w:type="dxa"/>
            <w:vMerge w:val="restart"/>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水源工程</w:t>
            </w: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渔滩水库</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冯家街道</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规划</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开展渔滩水库前期工作</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2025年后</w:t>
            </w:r>
          </w:p>
        </w:tc>
        <w:tc>
          <w:tcPr>
            <w:tcW w:w="9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w:t>
            </w:r>
          </w:p>
        </w:tc>
        <w:tc>
          <w:tcPr>
            <w:tcW w:w="135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600000</w:t>
            </w:r>
          </w:p>
        </w:tc>
        <w:tc>
          <w:tcPr>
            <w:tcW w:w="12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5000</w:t>
            </w:r>
          </w:p>
        </w:tc>
        <w:tc>
          <w:tcPr>
            <w:tcW w:w="108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w:t>
            </w:r>
          </w:p>
        </w:tc>
        <w:tc>
          <w:tcPr>
            <w:tcW w:w="10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1500</w:t>
            </w:r>
          </w:p>
        </w:tc>
        <w:tc>
          <w:tcPr>
            <w:tcW w:w="104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0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市级规划关注项目</w:t>
            </w:r>
          </w:p>
        </w:tc>
      </w:tr>
      <w:tr>
        <w:trPr>
          <w:trHeight w:val="90"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嘉禾水库</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中塘乡</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规划</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开展嘉禾水库前期工作</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2030年后</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52950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市级规划关注项目</w:t>
            </w:r>
          </w:p>
        </w:tc>
      </w:tr>
      <w:tr>
        <w:tblPrEx>
          <w:tblCellMar>
            <w:top w:w="0" w:type="dxa"/>
            <w:left w:w="108" w:type="dxa"/>
            <w:bottom w:w="0" w:type="dxa"/>
            <w:right w:w="108" w:type="dxa"/>
          </w:tblCellMar>
        </w:tblPrEx>
        <w:trPr>
          <w:trHeight w:val="370"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罗家堡水库</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马喇镇</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续建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Style w:val="52"/>
                <w:rFonts w:hint="default"/>
                <w:color w:val="auto"/>
                <w:sz w:val="20"/>
                <w:szCs w:val="20"/>
                <w:lang w:bidi="ar"/>
              </w:rPr>
              <w:t>中型水库，总库容1073万m</w:t>
            </w:r>
            <w:r>
              <w:rPr>
                <w:rStyle w:val="49"/>
                <w:rFonts w:hint="default"/>
                <w:color w:val="auto"/>
                <w:sz w:val="20"/>
                <w:szCs w:val="20"/>
                <w:lang w:bidi="ar"/>
              </w:rPr>
              <w:t>3</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65504</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56899</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8605</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8504</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101</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90"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太极水库</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太极乡</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续建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Style w:val="52"/>
                <w:rFonts w:hint="default"/>
                <w:color w:val="auto"/>
                <w:sz w:val="20"/>
                <w:szCs w:val="20"/>
                <w:lang w:bidi="ar"/>
              </w:rPr>
              <w:t>中型水库，总库容3170万m</w:t>
            </w:r>
            <w:r>
              <w:rPr>
                <w:rStyle w:val="49"/>
                <w:rFonts w:hint="default"/>
                <w:color w:val="auto"/>
                <w:sz w:val="20"/>
                <w:szCs w:val="20"/>
                <w:lang w:bidi="ar"/>
              </w:rPr>
              <w:t>3</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2022年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55380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50380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4000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193"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瓦窑堡水库</w:t>
            </w:r>
          </w:p>
        </w:tc>
        <w:tc>
          <w:tcPr>
            <w:tcW w:w="1274"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城南街道</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续建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Style w:val="52"/>
                <w:rFonts w:hint="default"/>
                <w:color w:val="auto"/>
                <w:sz w:val="20"/>
                <w:szCs w:val="20"/>
                <w:lang w:bidi="ar"/>
              </w:rPr>
              <w:t>小(一）型水库，总库容631万m</w:t>
            </w:r>
            <w:r>
              <w:rPr>
                <w:rStyle w:val="49"/>
                <w:rFonts w:hint="default"/>
                <w:color w:val="auto"/>
                <w:sz w:val="20"/>
                <w:szCs w:val="20"/>
                <w:lang w:bidi="ar"/>
              </w:rPr>
              <w:t>3</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26025</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25625</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rPr>
          <w:trHeight w:val="446"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17</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茶园水库</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太极乡金团村田家屋基</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Style w:val="52"/>
                <w:rFonts w:hint="default"/>
                <w:color w:val="auto"/>
                <w:sz w:val="20"/>
                <w:szCs w:val="20"/>
                <w:lang w:bidi="ar"/>
              </w:rPr>
              <w:t>中型水库，总库容1021万m</w:t>
            </w:r>
            <w:r>
              <w:rPr>
                <w:rStyle w:val="49"/>
                <w:rFonts w:hint="default"/>
                <w:color w:val="auto"/>
                <w:sz w:val="20"/>
                <w:szCs w:val="20"/>
                <w:lang w:bidi="ar"/>
              </w:rPr>
              <w:t>3</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55244</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54994</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22500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2494</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10000</w:t>
            </w:r>
          </w:p>
        </w:tc>
        <w:tc>
          <w:tcPr>
            <w:tcW w:w="96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市级规划关注项目</w:t>
            </w:r>
          </w:p>
        </w:tc>
      </w:tr>
      <w:tr>
        <w:tblPrEx>
          <w:tblCellMar>
            <w:top w:w="0" w:type="dxa"/>
            <w:left w:w="108" w:type="dxa"/>
            <w:bottom w:w="0" w:type="dxa"/>
            <w:right w:w="108" w:type="dxa"/>
          </w:tblCellMar>
        </w:tblPrEx>
        <w:trPr>
          <w:trHeight w:val="442"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陈家寨水库</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鹅池镇鹅池社区</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Style w:val="52"/>
                <w:rFonts w:hint="default"/>
                <w:color w:val="auto"/>
                <w:sz w:val="20"/>
                <w:szCs w:val="20"/>
                <w:lang w:bidi="ar"/>
              </w:rPr>
              <w:t>小(一）型水库，总库容108.9万m</w:t>
            </w:r>
            <w:r>
              <w:rPr>
                <w:rStyle w:val="49"/>
                <w:rFonts w:hint="default"/>
                <w:color w:val="auto"/>
                <w:sz w:val="20"/>
                <w:szCs w:val="20"/>
                <w:lang w:bidi="ar"/>
              </w:rPr>
              <w:t>3</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9088</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310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8778</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3500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3678</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1600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517"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19</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黄桥水库</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黄溪镇黄桥居委</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Style w:val="52"/>
                <w:rFonts w:hint="default"/>
                <w:color w:val="auto"/>
                <w:sz w:val="20"/>
                <w:szCs w:val="20"/>
                <w:lang w:bidi="ar"/>
              </w:rPr>
              <w:t>小(一）型水库，总库容103万m</w:t>
            </w:r>
            <w:r>
              <w:rPr>
                <w:rStyle w:val="49"/>
                <w:rFonts w:hint="default"/>
                <w:color w:val="auto"/>
                <w:sz w:val="20"/>
                <w:szCs w:val="20"/>
                <w:lang w:bidi="ar"/>
              </w:rPr>
              <w:t>3</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15188</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15188</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6000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6188</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431"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高坪水库</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黑溪镇互助村</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Style w:val="52"/>
                <w:rFonts w:hint="default"/>
                <w:color w:val="auto"/>
                <w:sz w:val="20"/>
                <w:szCs w:val="20"/>
                <w:lang w:bidi="ar"/>
              </w:rPr>
              <w:t>小(一）型水库，总库容300万m</w:t>
            </w:r>
            <w:r>
              <w:rPr>
                <w:rStyle w:val="49"/>
                <w:rFonts w:hint="default"/>
                <w:color w:val="auto"/>
                <w:sz w:val="20"/>
                <w:szCs w:val="20"/>
                <w:lang w:bidi="ar"/>
              </w:rPr>
              <w:t>3</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2022年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18455</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18455</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6000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8755</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3700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rPr>
          <w:trHeight w:val="441"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21</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甘溪水库</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五里乡胡家坝村</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Style w:val="52"/>
                <w:rFonts w:hint="default"/>
                <w:color w:val="auto"/>
                <w:sz w:val="20"/>
                <w:szCs w:val="20"/>
                <w:lang w:bidi="ar"/>
              </w:rPr>
              <w:t>小(一）型水库，总库容103.2万m</w:t>
            </w:r>
            <w:r>
              <w:rPr>
                <w:rStyle w:val="49"/>
                <w:rFonts w:hint="default"/>
                <w:color w:val="auto"/>
                <w:sz w:val="20"/>
                <w:szCs w:val="20"/>
                <w:lang w:bidi="ar"/>
              </w:rPr>
              <w:t>3</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2023年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9671</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310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9361</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4640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1721</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434"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22</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早化水库</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金洞乡大垭村</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Style w:val="52"/>
                <w:rFonts w:hint="default"/>
                <w:color w:val="auto"/>
                <w:sz w:val="20"/>
                <w:szCs w:val="20"/>
                <w:lang w:bidi="ar"/>
              </w:rPr>
              <w:t>小（一）型水库，总库容101万m</w:t>
            </w:r>
            <w:r>
              <w:rPr>
                <w:rStyle w:val="49"/>
                <w:rFonts w:hint="default"/>
                <w:color w:val="auto"/>
                <w:sz w:val="20"/>
                <w:szCs w:val="20"/>
                <w:lang w:bidi="ar"/>
              </w:rPr>
              <w:t>3</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2025年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6000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6000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1800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1200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412"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23</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关里水库</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水市乡关里村</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Style w:val="52"/>
                <w:rFonts w:hint="default"/>
                <w:color w:val="auto"/>
                <w:sz w:val="20"/>
                <w:szCs w:val="20"/>
                <w:lang w:bidi="ar"/>
              </w:rPr>
              <w:t>小（一）型水库，总库容102万m</w:t>
            </w:r>
            <w:r>
              <w:rPr>
                <w:rStyle w:val="49"/>
                <w:rFonts w:hint="default"/>
                <w:color w:val="auto"/>
                <w:sz w:val="20"/>
                <w:szCs w:val="20"/>
                <w:lang w:bidi="ar"/>
              </w:rPr>
              <w:t>3</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2022年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20800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20800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8000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8700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4100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411"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24</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水市水库</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水市乡水市村</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开展水市水库前期工作</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2023年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11000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rPr>
          <w:trHeight w:val="415"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沙坝水库</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沙坝乡万庆村</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开展沙坝水库前期工作</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2024年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34000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460"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26</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新民水库</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黎水镇华阳居委</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开展新民水库前期工作</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2025年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434"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27</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白石水库</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白石乡九龙村</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开展白石水库前期工作</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2025年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445"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28</w:t>
            </w:r>
          </w:p>
        </w:tc>
        <w:tc>
          <w:tcPr>
            <w:tcW w:w="1696" w:type="dxa"/>
            <w:vMerge w:val="restart"/>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引提水工程</w:t>
            </w: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深溪河引水工程</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正阳团结村</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续建</w:t>
            </w:r>
          </w:p>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w:t>
            </w:r>
          </w:p>
        </w:tc>
        <w:tc>
          <w:tcPr>
            <w:tcW w:w="249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年引提调水量1080万m³</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2021年</w:t>
            </w:r>
          </w:p>
        </w:tc>
        <w:tc>
          <w:tcPr>
            <w:tcW w:w="9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35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6000</w:t>
            </w:r>
          </w:p>
        </w:tc>
        <w:tc>
          <w:tcPr>
            <w:tcW w:w="12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6000</w:t>
            </w:r>
          </w:p>
        </w:tc>
        <w:tc>
          <w:tcPr>
            <w:tcW w:w="108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w:t>
            </w:r>
          </w:p>
        </w:tc>
        <w:tc>
          <w:tcPr>
            <w:tcW w:w="10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2000</w:t>
            </w:r>
          </w:p>
        </w:tc>
        <w:tc>
          <w:tcPr>
            <w:tcW w:w="104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1000</w:t>
            </w:r>
          </w:p>
        </w:tc>
        <w:tc>
          <w:tcPr>
            <w:tcW w:w="120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rPr>
          <w:trHeight w:val="771"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29</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杨家坳抗旱应急引提水工程</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新华乡、太极乡、石家镇的农村和集镇</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年引提调水量57万m³</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2022年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515"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水田抗旱应急引提水工程</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水田乡的集镇和农村</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年引提调水量160万m³</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2022年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498"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31</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水市抗旱应急引提水工程</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水市乡集镇及农村</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年引提调水量4万m³</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2024年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2360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2360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1300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560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557"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32</w:t>
            </w:r>
          </w:p>
        </w:tc>
        <w:tc>
          <w:tcPr>
            <w:tcW w:w="169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城乡供水一体化工程</w:t>
            </w: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黔江区城乡供水一体化工程</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城区</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建设改造一批城乡供水一体化工程和规模化供水工程</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2021年</w:t>
            </w:r>
          </w:p>
        </w:tc>
        <w:tc>
          <w:tcPr>
            <w:tcW w:w="9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35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34072.8</w:t>
            </w:r>
          </w:p>
        </w:tc>
        <w:tc>
          <w:tcPr>
            <w:tcW w:w="12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34072.8</w:t>
            </w:r>
          </w:p>
        </w:tc>
        <w:tc>
          <w:tcPr>
            <w:tcW w:w="108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20000</w:t>
            </w:r>
          </w:p>
        </w:tc>
        <w:tc>
          <w:tcPr>
            <w:tcW w:w="10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10000</w:t>
            </w:r>
          </w:p>
        </w:tc>
        <w:tc>
          <w:tcPr>
            <w:tcW w:w="104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1072.8</w:t>
            </w:r>
          </w:p>
        </w:tc>
        <w:tc>
          <w:tcPr>
            <w:tcW w:w="120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rPr>
          <w:trHeight w:val="573"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33</w:t>
            </w:r>
          </w:p>
        </w:tc>
        <w:tc>
          <w:tcPr>
            <w:tcW w:w="169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农村供水工程</w:t>
            </w: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黔江区标准化小型集中供水工程</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全区</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改建、新建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建设改造226处标准化小型集中供水工程</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2021年</w:t>
            </w:r>
          </w:p>
        </w:tc>
        <w:tc>
          <w:tcPr>
            <w:tcW w:w="9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35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13018</w:t>
            </w:r>
          </w:p>
        </w:tc>
        <w:tc>
          <w:tcPr>
            <w:tcW w:w="12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13018</w:t>
            </w:r>
          </w:p>
        </w:tc>
        <w:tc>
          <w:tcPr>
            <w:tcW w:w="108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4920</w:t>
            </w:r>
          </w:p>
        </w:tc>
        <w:tc>
          <w:tcPr>
            <w:tcW w:w="10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4160</w:t>
            </w:r>
          </w:p>
        </w:tc>
        <w:tc>
          <w:tcPr>
            <w:tcW w:w="104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3938</w:t>
            </w:r>
          </w:p>
        </w:tc>
        <w:tc>
          <w:tcPr>
            <w:tcW w:w="120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330"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10653" w:type="dxa"/>
            <w:gridSpan w:val="8"/>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b/>
                <w:bCs/>
                <w:sz w:val="20"/>
                <w:szCs w:val="20"/>
              </w:rPr>
            </w:pPr>
            <w:r>
              <w:rPr>
                <w:rFonts w:hint="eastAsia" w:ascii="宋体" w:hAnsi="宋体" w:cs="宋体"/>
                <w:b/>
                <w:bCs/>
                <w:kern w:val="0"/>
                <w:sz w:val="20"/>
                <w:szCs w:val="20"/>
                <w:lang w:bidi="ar"/>
              </w:rPr>
              <w:t>城乡供水保障体系建设投资合计</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1080255.8</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133774</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214931.8</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85120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89125</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27686.8</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13000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534" w:hRule="atLeast"/>
          <w:jc w:val="center"/>
        </w:trPr>
        <w:tc>
          <w:tcPr>
            <w:tcW w:w="837" w:type="dxa"/>
            <w:vMerge w:val="restart"/>
            <w:tcBorders>
              <w:top w:val="nil"/>
              <w:left w:val="single" w:color="000000" w:sz="8" w:space="0"/>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水生态文明建设体系建设</w:t>
            </w: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34</w:t>
            </w:r>
          </w:p>
        </w:tc>
        <w:tc>
          <w:tcPr>
            <w:tcW w:w="1696" w:type="dxa"/>
            <w:vMerge w:val="restart"/>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水生态项目</w:t>
            </w: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黔江区新城生态水体项目</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正阳街道、舟白街道</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在正阳、舟白新城片区建设9座生态水体</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2021年</w:t>
            </w:r>
          </w:p>
        </w:tc>
        <w:tc>
          <w:tcPr>
            <w:tcW w:w="9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35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77600</w:t>
            </w:r>
          </w:p>
        </w:tc>
        <w:tc>
          <w:tcPr>
            <w:tcW w:w="12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6793</w:t>
            </w:r>
          </w:p>
        </w:tc>
        <w:tc>
          <w:tcPr>
            <w:tcW w:w="108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4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6793</w:t>
            </w:r>
          </w:p>
        </w:tc>
        <w:tc>
          <w:tcPr>
            <w:tcW w:w="120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786"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35</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重庆市黔江区阿蓬江流域水生态修复与治理项目</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阿蓬江流域</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阿蓬江流域带生态修复与治理工程和生态文化产业建设</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200000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240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27950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12000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950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10000</w:t>
            </w:r>
          </w:p>
        </w:tc>
        <w:tc>
          <w:tcPr>
            <w:tcW w:w="96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水利部财政部关注项目</w:t>
            </w:r>
          </w:p>
        </w:tc>
      </w:tr>
      <w:tr>
        <w:trPr>
          <w:trHeight w:val="1395"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36</w:t>
            </w:r>
          </w:p>
        </w:tc>
        <w:tc>
          <w:tcPr>
            <w:tcW w:w="1696" w:type="dxa"/>
            <w:vMerge w:val="continue"/>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重庆市黔江区水系连通及水美乡村建设</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城西街道、城南街道、小南海镇、中塘乡等乡镇</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涉及黔江河流域及袁溪河流域、马喇河流域。“十四五”期间实施黔江河流域及袁溪河流域项目建设，并开展马喇河流域项目前期工作。</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2021年</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20056</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20056</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12000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5056</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市级规划关注项目</w:t>
            </w:r>
          </w:p>
        </w:tc>
      </w:tr>
      <w:tr>
        <w:tblPrEx>
          <w:tblCellMar>
            <w:top w:w="0" w:type="dxa"/>
            <w:left w:w="108" w:type="dxa"/>
            <w:bottom w:w="0" w:type="dxa"/>
            <w:right w:w="108" w:type="dxa"/>
          </w:tblCellMar>
        </w:tblPrEx>
        <w:trPr>
          <w:trHeight w:val="1142"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37</w:t>
            </w:r>
          </w:p>
        </w:tc>
        <w:tc>
          <w:tcPr>
            <w:tcW w:w="169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水环境治理工程</w:t>
            </w: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重庆市黔江区城区水环境整治工程</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黔江城区</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优先建设黔江河三级、五级、六级及城北河一级共3级闸坝1级拦河堰，并分别在城北河、黔江河上游各设置3座拦砂坎。</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2022</w:t>
            </w:r>
          </w:p>
        </w:tc>
        <w:tc>
          <w:tcPr>
            <w:tcW w:w="9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35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3800</w:t>
            </w:r>
          </w:p>
        </w:tc>
        <w:tc>
          <w:tcPr>
            <w:tcW w:w="12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3800</w:t>
            </w:r>
          </w:p>
        </w:tc>
        <w:tc>
          <w:tcPr>
            <w:tcW w:w="108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4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3800</w:t>
            </w:r>
          </w:p>
        </w:tc>
        <w:tc>
          <w:tcPr>
            <w:tcW w:w="120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603"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38</w:t>
            </w:r>
          </w:p>
        </w:tc>
        <w:tc>
          <w:tcPr>
            <w:tcW w:w="169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水土保持项目</w:t>
            </w: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国家水土保持重点建设工程</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新增水土流失治理面积270平方公里</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461"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10653" w:type="dxa"/>
            <w:gridSpan w:val="8"/>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b/>
                <w:bCs/>
                <w:sz w:val="20"/>
                <w:szCs w:val="20"/>
              </w:rPr>
            </w:pPr>
            <w:r>
              <w:rPr>
                <w:rFonts w:hint="eastAsia" w:ascii="宋体" w:hAnsi="宋体" w:cs="宋体"/>
                <w:b/>
                <w:bCs/>
                <w:kern w:val="0"/>
                <w:sz w:val="20"/>
                <w:szCs w:val="20"/>
                <w:lang w:bidi="ar"/>
              </w:rPr>
              <w:t>水生态文明建设体系建设投资合计</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306456</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240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63599</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27000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9000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17599</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10000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rPr>
          <w:trHeight w:val="804" w:hRule="atLeast"/>
          <w:jc w:val="center"/>
        </w:trPr>
        <w:tc>
          <w:tcPr>
            <w:tcW w:w="837" w:type="dxa"/>
            <w:tcBorders>
              <w:top w:val="nil"/>
              <w:left w:val="single" w:color="000000" w:sz="8" w:space="0"/>
              <w:bottom w:val="single" w:color="000000" w:sz="8" w:space="0"/>
              <w:right w:val="single" w:color="000000" w:sz="8" w:space="0"/>
            </w:tcBorders>
            <w:noWrap w:val="0"/>
            <w:vAlign w:val="center"/>
          </w:tcPr>
          <w:p>
            <w:pPr>
              <w:widowControl/>
              <w:spacing w:line="220" w:lineRule="exact"/>
              <w:jc w:val="left"/>
              <w:textAlignment w:val="center"/>
              <w:rPr>
                <w:rFonts w:hint="eastAsia" w:ascii="宋体" w:hAnsi="宋体" w:cs="宋体"/>
                <w:sz w:val="20"/>
                <w:szCs w:val="20"/>
              </w:rPr>
            </w:pPr>
            <w:r>
              <w:rPr>
                <w:rFonts w:hint="eastAsia" w:ascii="宋体" w:hAnsi="宋体" w:cs="宋体"/>
                <w:kern w:val="0"/>
                <w:sz w:val="20"/>
                <w:szCs w:val="20"/>
                <w:lang w:bidi="ar"/>
              </w:rPr>
              <w:t>智慧水利体系建设</w:t>
            </w: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39</w:t>
            </w:r>
          </w:p>
        </w:tc>
        <w:tc>
          <w:tcPr>
            <w:tcW w:w="169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智慧水利</w:t>
            </w: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黔江区智慧水利项目</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涵盖水利工程实时安全监测、运行分析、日常管理等业务的示范平台建设</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w:t>
            </w:r>
          </w:p>
        </w:tc>
        <w:tc>
          <w:tcPr>
            <w:tcW w:w="9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35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c>
          <w:tcPr>
            <w:tcW w:w="138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08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3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4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00" w:type="dxa"/>
            <w:tcBorders>
              <w:top w:val="single" w:color="000000" w:sz="8" w:space="0"/>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592" w:hRule="atLeast"/>
          <w:jc w:val="center"/>
        </w:trPr>
        <w:tc>
          <w:tcPr>
            <w:tcW w:w="837" w:type="dxa"/>
            <w:vMerge w:val="restart"/>
            <w:tcBorders>
              <w:top w:val="nil"/>
              <w:left w:val="single" w:color="000000" w:sz="8" w:space="0"/>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其他工程</w:t>
            </w: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40</w:t>
            </w:r>
          </w:p>
        </w:tc>
        <w:tc>
          <w:tcPr>
            <w:tcW w:w="1696"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大中型水库移民后期扶持项目</w:t>
            </w:r>
          </w:p>
        </w:tc>
        <w:tc>
          <w:tcPr>
            <w:tcW w:w="1756"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大中型水库移民后期扶持项目</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规划</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全区大中型水库库区移民安置</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12573</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12573</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10798</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1775</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461"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41</w:t>
            </w:r>
          </w:p>
        </w:tc>
        <w:tc>
          <w:tcPr>
            <w:tcW w:w="169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防汛抗旱能力建设</w:t>
            </w: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防汛抗旱能力建设</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用于提升防汛抗旱能力</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461"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42</w:t>
            </w:r>
          </w:p>
        </w:tc>
        <w:tc>
          <w:tcPr>
            <w:tcW w:w="169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河长制建设</w:t>
            </w: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河长制建设</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河长制相关工作</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rPr>
          <w:trHeight w:val="461"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43</w:t>
            </w:r>
          </w:p>
        </w:tc>
        <w:tc>
          <w:tcPr>
            <w:tcW w:w="169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水文化项目</w:t>
            </w: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水文化项目</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规划</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水文化建设、宣传</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755"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617"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44</w:t>
            </w:r>
          </w:p>
        </w:tc>
        <w:tc>
          <w:tcPr>
            <w:tcW w:w="169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水利人才队伍建设</w:t>
            </w:r>
          </w:p>
        </w:tc>
        <w:tc>
          <w:tcPr>
            <w:tcW w:w="1756"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黔江区水利人才队伍建设</w:t>
            </w:r>
          </w:p>
        </w:tc>
        <w:tc>
          <w:tcPr>
            <w:tcW w:w="1274"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8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w:t>
            </w:r>
          </w:p>
        </w:tc>
        <w:tc>
          <w:tcPr>
            <w:tcW w:w="2490" w:type="dxa"/>
            <w:tcBorders>
              <w:top w:val="nil"/>
              <w:left w:val="nil"/>
              <w:bottom w:val="single" w:color="000000" w:sz="8" w:space="0"/>
              <w:right w:val="single" w:color="000000" w:sz="8"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加强人才队伍建设，引进水利专业人才，开展专业培训等</w:t>
            </w:r>
          </w:p>
        </w:tc>
        <w:tc>
          <w:tcPr>
            <w:tcW w:w="10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2021</w:t>
            </w:r>
          </w:p>
        </w:tc>
        <w:tc>
          <w:tcPr>
            <w:tcW w:w="9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1500</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1500</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461" w:hRule="atLeast"/>
          <w:jc w:val="center"/>
        </w:trPr>
        <w:tc>
          <w:tcPr>
            <w:tcW w:w="837" w:type="dxa"/>
            <w:vMerge w:val="continue"/>
            <w:tcBorders>
              <w:top w:val="nil"/>
              <w:left w:val="single" w:color="000000" w:sz="8" w:space="0"/>
              <w:bottom w:val="single" w:color="000000" w:sz="8" w:space="0"/>
              <w:right w:val="single" w:color="000000" w:sz="8" w:space="0"/>
            </w:tcBorders>
            <w:noWrap w:val="0"/>
            <w:vAlign w:val="center"/>
          </w:tcPr>
          <w:p>
            <w:pPr>
              <w:widowControl/>
              <w:spacing w:line="220" w:lineRule="exact"/>
              <w:jc w:val="center"/>
              <w:rPr>
                <w:rFonts w:hint="eastAsia" w:ascii="宋体" w:hAnsi="宋体" w:cs="宋体"/>
                <w:sz w:val="20"/>
                <w:szCs w:val="20"/>
              </w:rPr>
            </w:pPr>
          </w:p>
        </w:tc>
        <w:tc>
          <w:tcPr>
            <w:tcW w:w="10653" w:type="dxa"/>
            <w:gridSpan w:val="8"/>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b/>
                <w:bCs/>
                <w:sz w:val="20"/>
                <w:szCs w:val="20"/>
              </w:rPr>
            </w:pPr>
            <w:r>
              <w:rPr>
                <w:rFonts w:hint="eastAsia" w:ascii="宋体" w:hAnsi="宋体" w:cs="宋体"/>
                <w:b/>
                <w:bCs/>
                <w:kern w:val="0"/>
                <w:sz w:val="20"/>
                <w:szCs w:val="20"/>
                <w:lang w:bidi="ar"/>
              </w:rPr>
              <w:t>智慧水利建设及其他项目合计</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15623</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0</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15623</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11548</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2100</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1775</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r>
        <w:tblPrEx>
          <w:tblCellMar>
            <w:top w:w="0" w:type="dxa"/>
            <w:left w:w="108" w:type="dxa"/>
            <w:bottom w:w="0" w:type="dxa"/>
            <w:right w:w="108" w:type="dxa"/>
          </w:tblCellMar>
        </w:tblPrEx>
        <w:trPr>
          <w:trHeight w:val="513" w:hRule="atLeast"/>
          <w:jc w:val="center"/>
        </w:trPr>
        <w:tc>
          <w:tcPr>
            <w:tcW w:w="11490" w:type="dxa"/>
            <w:gridSpan w:val="9"/>
            <w:tcBorders>
              <w:top w:val="nil"/>
              <w:left w:val="single" w:color="000000" w:sz="8" w:space="0"/>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b/>
                <w:bCs/>
                <w:sz w:val="20"/>
                <w:szCs w:val="20"/>
              </w:rPr>
            </w:pPr>
            <w:r>
              <w:rPr>
                <w:rFonts w:hint="eastAsia" w:ascii="宋体" w:hAnsi="宋体" w:cs="宋体"/>
                <w:b/>
                <w:bCs/>
                <w:kern w:val="0"/>
                <w:sz w:val="20"/>
                <w:szCs w:val="20"/>
                <w:lang w:bidi="ar"/>
              </w:rPr>
              <w:t>黔江区“十四五”水安全保障规划投资合计</w:t>
            </w:r>
          </w:p>
        </w:tc>
        <w:tc>
          <w:tcPr>
            <w:tcW w:w="135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b/>
                <w:bCs/>
                <w:sz w:val="20"/>
                <w:szCs w:val="20"/>
              </w:rPr>
            </w:pPr>
            <w:r>
              <w:rPr>
                <w:rFonts w:hint="eastAsia" w:ascii="宋体" w:hAnsi="宋体" w:cs="宋体"/>
                <w:b/>
                <w:bCs/>
                <w:kern w:val="0"/>
                <w:sz w:val="20"/>
                <w:szCs w:val="20"/>
                <w:lang w:bidi="ar"/>
              </w:rPr>
              <w:t>1440434.8</w:t>
            </w:r>
          </w:p>
        </w:tc>
        <w:tc>
          <w:tcPr>
            <w:tcW w:w="12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134014</w:t>
            </w:r>
          </w:p>
        </w:tc>
        <w:tc>
          <w:tcPr>
            <w:tcW w:w="13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b/>
                <w:bCs/>
                <w:sz w:val="20"/>
                <w:szCs w:val="20"/>
              </w:rPr>
            </w:pPr>
            <w:r>
              <w:rPr>
                <w:rFonts w:hint="eastAsia" w:ascii="宋体" w:hAnsi="宋体" w:cs="宋体"/>
                <w:b/>
                <w:bCs/>
                <w:kern w:val="0"/>
                <w:sz w:val="20"/>
                <w:szCs w:val="20"/>
                <w:lang w:bidi="ar"/>
              </w:rPr>
              <w:t>332253.8</w:t>
            </w:r>
          </w:p>
        </w:tc>
        <w:tc>
          <w:tcPr>
            <w:tcW w:w="108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141308</w:t>
            </w:r>
          </w:p>
        </w:tc>
        <w:tc>
          <w:tcPr>
            <w:tcW w:w="103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109125</w:t>
            </w:r>
          </w:p>
        </w:tc>
        <w:tc>
          <w:tcPr>
            <w:tcW w:w="104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56045.8</w:t>
            </w:r>
          </w:p>
        </w:tc>
        <w:tc>
          <w:tcPr>
            <w:tcW w:w="1200" w:type="dxa"/>
            <w:tcBorders>
              <w:top w:val="nil"/>
              <w:left w:val="nil"/>
              <w:bottom w:val="single" w:color="000000" w:sz="8" w:space="0"/>
              <w:right w:val="single" w:color="000000" w:sz="8" w:space="0"/>
            </w:tcBorders>
            <w:noWrap/>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25775</w:t>
            </w:r>
          </w:p>
        </w:tc>
        <w:tc>
          <w:tcPr>
            <w:tcW w:w="960" w:type="dxa"/>
            <w:tcBorders>
              <w:top w:val="nil"/>
              <w:left w:val="nil"/>
              <w:bottom w:val="single" w:color="000000" w:sz="8" w:space="0"/>
              <w:right w:val="single" w:color="000000" w:sz="8" w:space="0"/>
            </w:tcBorders>
            <w:noWrap/>
            <w:vAlign w:val="center"/>
          </w:tcPr>
          <w:p>
            <w:pPr>
              <w:widowControl/>
              <w:spacing w:line="220" w:lineRule="exact"/>
              <w:jc w:val="center"/>
              <w:rPr>
                <w:rFonts w:hint="eastAsia" w:ascii="宋体" w:hAnsi="宋体" w:cs="宋体"/>
                <w:sz w:val="20"/>
                <w:szCs w:val="20"/>
              </w:rPr>
            </w:pPr>
          </w:p>
        </w:tc>
      </w:tr>
    </w:tbl>
    <w:p/>
    <w:p/>
    <w:p/>
    <w:p/>
    <w:p/>
    <w:p/>
    <w:p/>
    <w:p/>
    <w:p/>
    <w:p/>
    <w:p/>
    <w:p>
      <w:pPr>
        <w:pStyle w:val="10"/>
        <w:ind w:left="0"/>
        <w:jc w:val="center"/>
        <w:rPr>
          <w:rFonts w:hint="eastAsia" w:ascii="方正黑体_GBK" w:hAnsi="方正黑体_GBK" w:eastAsia="方正黑体_GBK" w:cs="方正黑体_GBK"/>
          <w:kern w:val="0"/>
          <w:sz w:val="36"/>
          <w:szCs w:val="36"/>
          <w:lang w:bidi="ar"/>
        </w:rPr>
      </w:pPr>
      <w:r>
        <w:rPr>
          <w:rFonts w:hint="eastAsia" w:ascii="方正黑体_GBK" w:hAnsi="方正黑体_GBK" w:eastAsia="方正黑体_GBK" w:cs="方正黑体_GBK"/>
          <w:kern w:val="0"/>
          <w:sz w:val="36"/>
          <w:szCs w:val="36"/>
          <w:lang w:bidi="ar"/>
        </w:rPr>
        <w:t>附表2 黔江区水安全保障“十四五”规划编制策划储备项目清单</w:t>
      </w:r>
    </w:p>
    <w:p>
      <w:pPr>
        <w:ind w:firstLine="11886" w:firstLineChars="7400"/>
        <w:rPr>
          <w:rFonts w:hint="eastAsia" w:ascii="宋体" w:hAnsi="宋体" w:cs="宋体"/>
          <w:b/>
          <w:bCs/>
          <w:kern w:val="0"/>
          <w:sz w:val="36"/>
          <w:szCs w:val="36"/>
          <w:lang w:bidi="ar"/>
        </w:rPr>
      </w:pPr>
      <w:r>
        <w:rPr>
          <w:rFonts w:hint="eastAsia" w:ascii="宋体" w:hAnsi="宋体" w:cs="宋体"/>
          <w:b/>
          <w:bCs/>
          <w:kern w:val="0"/>
          <w:sz w:val="16"/>
          <w:szCs w:val="16"/>
          <w:lang w:bidi="ar"/>
        </w:rPr>
        <w:t>注：本项目清单为黔江区水安全保障</w:t>
      </w:r>
      <w:r>
        <w:rPr>
          <w:rFonts w:hint="default" w:ascii="宋体" w:hAnsi="宋体" w:cs="宋体"/>
          <w:b/>
          <w:bCs/>
          <w:kern w:val="0"/>
          <w:sz w:val="16"/>
          <w:szCs w:val="16"/>
          <w:lang w:val="en-US" w:eastAsia="zh-CN" w:bidi="ar"/>
        </w:rPr>
        <w:t>”</w:t>
      </w:r>
      <w:r>
        <w:rPr>
          <w:rFonts w:hint="eastAsia" w:ascii="宋体" w:hAnsi="宋体" w:cs="宋体"/>
          <w:b/>
          <w:bCs/>
          <w:kern w:val="0"/>
          <w:sz w:val="16"/>
          <w:szCs w:val="16"/>
          <w:lang w:bidi="ar"/>
        </w:rPr>
        <w:t>十四五</w:t>
      </w:r>
      <w:r>
        <w:rPr>
          <w:rFonts w:hint="default" w:ascii="宋体" w:hAnsi="宋体" w:cs="宋体"/>
          <w:b/>
          <w:bCs/>
          <w:kern w:val="0"/>
          <w:sz w:val="16"/>
          <w:szCs w:val="16"/>
          <w:lang w:val="en-US" w:eastAsia="zh-CN" w:bidi="ar"/>
        </w:rPr>
        <w:t>”</w:t>
      </w:r>
      <w:r>
        <w:rPr>
          <w:rFonts w:hint="eastAsia" w:ascii="宋体" w:hAnsi="宋体" w:cs="宋体"/>
          <w:b/>
          <w:bCs/>
          <w:kern w:val="0"/>
          <w:sz w:val="16"/>
          <w:szCs w:val="16"/>
          <w:lang w:bidi="ar"/>
        </w:rPr>
        <w:t>规划储备项目，根据实际情况在需要的时候可以根据必要性和紧迫性纳入规划实施</w:t>
      </w:r>
    </w:p>
    <w:tbl>
      <w:tblPr>
        <w:tblStyle w:val="28"/>
        <w:tblW w:w="0" w:type="auto"/>
        <w:tblInd w:w="93" w:type="dxa"/>
        <w:tblLayout w:type="fixed"/>
        <w:tblCellMar>
          <w:top w:w="0" w:type="dxa"/>
          <w:left w:w="108" w:type="dxa"/>
          <w:bottom w:w="0" w:type="dxa"/>
          <w:right w:w="108" w:type="dxa"/>
        </w:tblCellMar>
      </w:tblPr>
      <w:tblGrid>
        <w:gridCol w:w="1080"/>
        <w:gridCol w:w="1080"/>
        <w:gridCol w:w="4544"/>
        <w:gridCol w:w="7128"/>
        <w:gridCol w:w="4560"/>
        <w:gridCol w:w="2448"/>
      </w:tblGrid>
      <w:tr>
        <w:tblPrEx>
          <w:tblCellMar>
            <w:top w:w="0" w:type="dxa"/>
            <w:left w:w="108" w:type="dxa"/>
            <w:bottom w:w="0" w:type="dxa"/>
            <w:right w:w="108" w:type="dxa"/>
          </w:tblCellMar>
        </w:tblPrEx>
        <w:trPr>
          <w:trHeight w:val="285" w:hRule="atLeast"/>
          <w:tblHead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b/>
                <w:bCs/>
                <w:sz w:val="20"/>
                <w:szCs w:val="20"/>
              </w:rPr>
            </w:pPr>
            <w:r>
              <w:rPr>
                <w:rFonts w:hint="eastAsia" w:ascii="宋体" w:hAnsi="宋体" w:cs="宋体"/>
                <w:b/>
                <w:bCs/>
                <w:kern w:val="0"/>
                <w:sz w:val="20"/>
                <w:szCs w:val="20"/>
                <w:lang w:bidi="ar"/>
              </w:rPr>
              <w:t>分类</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b/>
                <w:bCs/>
                <w:sz w:val="20"/>
                <w:szCs w:val="20"/>
              </w:rPr>
            </w:pPr>
            <w:r>
              <w:rPr>
                <w:rFonts w:hint="eastAsia" w:ascii="宋体" w:hAnsi="宋体" w:cs="宋体"/>
                <w:b/>
                <w:bCs/>
                <w:kern w:val="0"/>
                <w:sz w:val="20"/>
                <w:szCs w:val="20"/>
                <w:lang w:bidi="ar"/>
              </w:rPr>
              <w:t>序号</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b/>
                <w:bCs/>
                <w:sz w:val="20"/>
                <w:szCs w:val="20"/>
              </w:rPr>
            </w:pPr>
            <w:r>
              <w:rPr>
                <w:rFonts w:hint="eastAsia" w:ascii="宋体" w:hAnsi="宋体" w:cs="宋体"/>
                <w:b/>
                <w:bCs/>
                <w:kern w:val="0"/>
                <w:sz w:val="20"/>
                <w:szCs w:val="20"/>
                <w:lang w:bidi="ar"/>
              </w:rPr>
              <w:t>项目名称</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b/>
                <w:bCs/>
                <w:sz w:val="20"/>
                <w:szCs w:val="20"/>
              </w:rPr>
            </w:pPr>
            <w:r>
              <w:rPr>
                <w:rFonts w:hint="eastAsia" w:ascii="宋体" w:hAnsi="宋体" w:cs="宋体"/>
                <w:b/>
                <w:bCs/>
                <w:kern w:val="0"/>
                <w:sz w:val="20"/>
                <w:szCs w:val="20"/>
                <w:lang w:bidi="ar"/>
              </w:rPr>
              <w:t>主要建设内容</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b/>
                <w:bCs/>
                <w:sz w:val="20"/>
                <w:szCs w:val="20"/>
              </w:rPr>
            </w:pPr>
            <w:r>
              <w:rPr>
                <w:rFonts w:hint="eastAsia" w:ascii="宋体" w:hAnsi="宋体" w:cs="宋体"/>
                <w:b/>
                <w:bCs/>
                <w:kern w:val="0"/>
                <w:sz w:val="20"/>
                <w:szCs w:val="20"/>
                <w:lang w:bidi="ar"/>
              </w:rPr>
              <w:t>建设地点</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b/>
                <w:bCs/>
                <w:sz w:val="20"/>
                <w:szCs w:val="20"/>
              </w:rPr>
            </w:pPr>
            <w:r>
              <w:rPr>
                <w:rFonts w:hint="eastAsia" w:ascii="宋体" w:hAnsi="宋体" w:cs="宋体"/>
                <w:b/>
                <w:bCs/>
                <w:kern w:val="0"/>
                <w:sz w:val="20"/>
                <w:szCs w:val="20"/>
                <w:lang w:bidi="ar"/>
              </w:rPr>
              <w:t>总投资（万元）</w:t>
            </w:r>
          </w:p>
        </w:tc>
      </w:tr>
      <w:tr>
        <w:tblPrEx>
          <w:tblCellMar>
            <w:top w:w="0" w:type="dxa"/>
            <w:left w:w="108" w:type="dxa"/>
            <w:bottom w:w="0" w:type="dxa"/>
            <w:right w:w="108" w:type="dxa"/>
          </w:tblCellMar>
        </w:tblPrEx>
        <w:trPr>
          <w:trHeight w:val="300" w:hRule="atLeast"/>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水库工程</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渔滩水库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大型水库，总库容11157万m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冯家街道</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600000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嘉禾水库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中型水库，总库容1470万m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中塘乡</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52950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罗家堡水库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中型水库，总库容1073万m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马喇镇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65000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太极水库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中型水库，总库容3170万m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太极乡</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55380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瓦窑堡水库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小(一）型水库，总库容631万m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城南街道</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26025</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茶园水库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中型水库，总库容1021万m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太极镇金团村田家屋基</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55244</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陈家寨水库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小(一）型，总库容108.9万m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鹅池镇鹅池社区</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9088</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黄桥水库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小(一）型，总库容103万m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黄溪镇黄桥居委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15188</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高坪水库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小(一）型,总库容300万m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黑溪镇互助村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18455</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甘溪水库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小(一）型，总库容103.2万m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五里镇胡家坝村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9671</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水市水库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小（二）型，总库容77.6万m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水市镇水市居委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11000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沙坝水库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小（一）型，总库容166万m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沙坝镇万庆村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34000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新民水库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小(一）型，总库容149万m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黎水镇华阳居委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白石水库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小（一）型，总库容146万m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白石镇九龙村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艾坪水库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小(一）型，总库容108万m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邻鄂镇艾坪村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7821</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学堂水库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小（二）型，总库容21万m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鹅池镇社溪村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5500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17</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白土水库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小（二）型，总库容71万m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白土乡金塘村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14500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茶溪水库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小（一）型，总库容118万m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水市镇关里村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24000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19</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杉岭水库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小（一）型，总库容157万m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杉岭乡尖山子村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32000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十三寨水库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小（二）型，总库容21万m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小南海镇新建村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4300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21</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柒坨水库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小（二）型，总库容17万m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阿蓬江镇柒坨村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22</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关里水库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小（一）型，总库容102万m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水市镇关里村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20800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23</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金溪水库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小（一）型，总库容114万m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金溪镇清水村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23200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24</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桐木水库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小（一）型，总库容112万m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濯水镇桐木村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23000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白合水库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小（一）型，总库容108万m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黑溪镇白合居委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22000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26</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早化水库</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小（一）型，总库容101万m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金洞乡大垭村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6000</w:t>
            </w:r>
          </w:p>
        </w:tc>
      </w:tr>
      <w:tr>
        <w:tblPrEx>
          <w:tblCellMar>
            <w:top w:w="0" w:type="dxa"/>
            <w:left w:w="108" w:type="dxa"/>
            <w:bottom w:w="0" w:type="dxa"/>
            <w:right w:w="108" w:type="dxa"/>
          </w:tblCellMar>
        </w:tblPrEx>
        <w:trPr>
          <w:trHeight w:val="300" w:hRule="atLeast"/>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引调提水工程</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深溪河引水工程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年引提水量达1080万m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五里镇干溪村至正阳团结村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6000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杨家坳抗旱应急引提水工程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年引提水量达57万m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新华乡白丈岩至新华乡、太极镇、石家镇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水田抗旱应急引提水工程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年引提水量达160万m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太极水库渠道末尾至水田乡</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水市抗旱应急引提水工程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年引提水量达4万m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水市水厂至水市镇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2360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青杠抗旱应急引提水工程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年引提水量达35万m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细沙河电站水库至阿蓬江镇青杠村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2190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五里抗旱应急引提水工程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年引提水量达5万m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阿蓬江水系深溪河支流至五里镇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3520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丛山抗旱应急引提水工程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年引提水量达42万m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丛山小（一）型水库至舟白街道五台居委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2470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蓬东抗旱应急引提水工程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年引提水量达224万m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深溪河至蓬东乡</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箭坝抗旱应急引提水工程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年引提水量达34万m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黎水电站至舟白街道箭坝居委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2050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白土抗旱应急引提水工程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年引提水量达35万m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太极水库至白土乡的农村和集镇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2800</w:t>
            </w:r>
          </w:p>
        </w:tc>
      </w:tr>
      <w:tr>
        <w:tblPrEx>
          <w:tblCellMar>
            <w:top w:w="0" w:type="dxa"/>
            <w:left w:w="108" w:type="dxa"/>
            <w:bottom w:w="0" w:type="dxa"/>
            <w:right w:w="108" w:type="dxa"/>
          </w:tblCellMar>
        </w:tblPrEx>
        <w:trPr>
          <w:trHeight w:val="30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桐木抗旱应急引提水工程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年引提水量达3万m</w:t>
            </w:r>
            <w:r>
              <w:rPr>
                <w:rStyle w:val="53"/>
                <w:rFonts w:hint="default"/>
                <w:color w:val="auto"/>
                <w:sz w:val="20"/>
                <w:szCs w:val="20"/>
                <w:lang w:bidi="ar"/>
              </w:rPr>
              <w:t>3</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阿蓬江至濯水镇桐木居委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2850</w:t>
            </w:r>
          </w:p>
        </w:tc>
      </w:tr>
      <w:tr>
        <w:tblPrEx>
          <w:tblCellMar>
            <w:top w:w="0" w:type="dxa"/>
            <w:left w:w="108" w:type="dxa"/>
            <w:bottom w:w="0" w:type="dxa"/>
            <w:right w:w="108" w:type="dxa"/>
          </w:tblCellMar>
        </w:tblPrEx>
        <w:trPr>
          <w:trHeight w:val="561" w:hRule="atLeast"/>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城乡供水工程</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黔江区城乡供水一体化工程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新增标准化水厂5座，新建水源工程13处、巩固提升规模化及乡镇供水工程24座，实施城乡供水管网延伸工程2处，实施城乡供水一体化自动监控系统1处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33510.8</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正阳水厂管网延伸工程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新建管网80km</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正阳街道</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121</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白家湾水厂管网延伸工程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新建管网55km</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城西街道、城南街道</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126</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舟白水厂管网延伸工程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新建管网52km</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舟白街道、中塘镇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153</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三元宫水厂管网延伸工程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新建管网25Km</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城东街道</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162</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濯水水厂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濯水镇濯水居委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397</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太极水厂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金溪镇望岭村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296</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新华水厂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新华乡钟溪村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311</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黑溪水厂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黑溪镇胜地居委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1358</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鹅池水厂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鹅池镇鹅池居委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509</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金洞水厂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金洞乡杨家居委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504</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黄溪水厂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黄溪镇黄桥居委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755</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石郎水厂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水田乡石郎村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1348</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马喇集镇水厂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马喇镇莲花居委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45</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官庄水厂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马喇镇官庄村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环湖路水厂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马喇镇龙溪村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35</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17</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石会水厂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石会镇关后居委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171</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中塘水厂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中塘镇中塘居委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35</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19</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魏家坨水厂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五里镇五里村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220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三门水厂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濯水镇三门村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21</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麻田水厂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蓬东乡麻田村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35</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22</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漠河水厂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阿蓬江镇漠河村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35</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23</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沙坝水厂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沙坝镇十字村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24</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寨子水厂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冯家街道寨子居委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35</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小南海水厂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小南海镇小南海村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170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26</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邻鄂水厂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邻鄂镇沙子场居委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27</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杉岭水厂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杉岭乡林峰居委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110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28</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凤山水厂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白石镇凤山村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560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29</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尖山子水厂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邻鄂镇高坪村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320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白土水厂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白土乡白土村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1387</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31</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黎水水厂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黎水镇华阳居委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898</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32</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水田水厂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水田乡水田居委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420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33</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水市水厂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水市镇水市居委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573</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34</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团结社区集中供水工程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正阳街道团结社区</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35</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抗战岭集中供水工程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石会镇会西村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36</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青山集中供水工程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石会镇青山村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37</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高峰集中供水工程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石会镇高峰村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38</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魏家边集中供水工程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邻鄂镇艾坪村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39</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回龙湾集中供水工程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黎水镇竹园村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40</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迎宾居委集中供水工程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城西街道迎宾居委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35</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41</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塘坊居委集中供水工程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城西街道塘坊居委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42</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册山居委集中供水工程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城西街道册山居委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43</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大庄居委集中供水工程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城西街道大庄居委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44</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双石供水工程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中塘镇双石村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45</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海洋集中供水工程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五里镇海洋村</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46</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白杨供水工程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濯水镇柏杨居委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47</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中沟供水工程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濯水镇濯水居委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48</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高涧居委供水工程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城东街道高涧居委</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49</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金溪镇农村供水保障工程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改造工程共10处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金溪镇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67</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蓬东乡农村供水保障工程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改造工程共5处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蓬东乡</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51</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马喇镇农村供水保障工程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改造工程共11处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马喇镇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92</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52</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石会镇农村供水保障工程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改造工程共16处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石会镇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205</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53</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邻鄂镇农村供水保障工程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改造工程共12处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邻鄂镇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171</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54</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黄溪镇农村供水保障工程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改造工程共16处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黄溪镇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251</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55</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黎水镇农村供水保障工程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改造工程共13处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黎水镇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294</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56</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城西街道农村供水保障工程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改造工程共7处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城西街道</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16</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57</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金洞乡农村供水保障工程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改造工程共8处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金洞乡</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98</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58</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石家镇农村供水保障工程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改造工程共11处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石家镇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175</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59</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鹅池镇农村供水保障工程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改造工程共10处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鹅池镇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227</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中塘乡农村供水保障工程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改造工程共8处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中塘镇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136</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61</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舟白街道农村供水保障工程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改造工程共9处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舟白街道</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214</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62</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杉岭乡农村供水保障工程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改造工程共5处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杉岭乡</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44</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63</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小南海镇农村供水保障工程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改造工程共14处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小南海镇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215</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64</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濯水镇农村供水保障工程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改造工程共16处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濯水镇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134</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65</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太极乡农村供水保障工程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改造工程共11处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太极镇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78</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66</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阿蓬江镇农村供水保障工程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改造工程共20处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阿蓬江镇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380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67</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白土乡农村供水保障工程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改造工程共8处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白土乡</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97</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68</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沙坝乡农村供水保障工程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改造工程共13处</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沙坝镇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183</w:t>
            </w:r>
          </w:p>
        </w:tc>
      </w:tr>
      <w:tr>
        <w:tblPrEx>
          <w:tblCellMar>
            <w:top w:w="0" w:type="dxa"/>
            <w:left w:w="108" w:type="dxa"/>
            <w:bottom w:w="0" w:type="dxa"/>
            <w:right w:w="108" w:type="dxa"/>
          </w:tblCellMar>
        </w:tblPrEx>
        <w:trPr>
          <w:trHeight w:val="707" w:hRule="atLeast"/>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水生态环境治理项目</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黔江区新城生态水体项目</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在正阳、舟白新城片区建设9座生态水体，新增水域面积835亩在舟白组团建设杨家坝公园、龙洞垭和民族公园3个水体；在正阳组团内建设滨河公园、听松岭、天生湖、湿地公园、小湾、鲤鱼池公园6个水体。</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正阳街道、舟白街道</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77600</w:t>
            </w:r>
          </w:p>
        </w:tc>
      </w:tr>
      <w:tr>
        <w:tblPrEx>
          <w:tblCellMar>
            <w:top w:w="0" w:type="dxa"/>
            <w:left w:w="108" w:type="dxa"/>
            <w:bottom w:w="0" w:type="dxa"/>
            <w:right w:w="108" w:type="dxa"/>
          </w:tblCellMar>
        </w:tblPrEx>
        <w:trPr>
          <w:trHeight w:val="1149"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重庆市黔江区阿蓬江流域水生态修复与治理项目</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该项目分为生态修复与治理工程和生态文化产业两部分组成，其中生态修复与治理工程包含六个子项目，分别为：①生态岸线与湿地工程、②生态隔离带工程、③内源治理工程、④生态防护林工程、⑤智慧水务建设、⑥水质提升工程；生态文化产业包含五个子项目，分别为：①土家部落、②巴人遗城、③石城古县、④水岸苗寨、⑤水乡人家。</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阿蓬江流域</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200000</w:t>
            </w:r>
          </w:p>
        </w:tc>
      </w:tr>
      <w:tr>
        <w:tblPrEx>
          <w:tblCellMar>
            <w:top w:w="0" w:type="dxa"/>
            <w:left w:w="108" w:type="dxa"/>
            <w:bottom w:w="0" w:type="dxa"/>
            <w:right w:w="108" w:type="dxa"/>
          </w:tblCellMar>
        </w:tblPrEx>
        <w:trPr>
          <w:trHeight w:val="864"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重庆市黔江区水系连通及水美乡村建设</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河流域及袁溪河流域项目包括水系连通工程1处，引水隧洞总长度3.945km；河道清淤疏浚长度16.6km；河道岸坡整治总长16.6km；水源涵养人工湿地1处；水美乡村建设工程5处，总户数1026户、总人口3852人。规划投资1.96亿元。开展马喇河流域项目前期工作。</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城西街道、城南街道、小南海镇、中塘镇等乡镇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20056</w:t>
            </w:r>
          </w:p>
        </w:tc>
      </w:tr>
      <w:tr>
        <w:tblPrEx>
          <w:tblCellMar>
            <w:top w:w="0" w:type="dxa"/>
            <w:left w:w="108" w:type="dxa"/>
            <w:bottom w:w="0" w:type="dxa"/>
            <w:right w:w="108" w:type="dxa"/>
          </w:tblCellMar>
        </w:tblPrEx>
        <w:trPr>
          <w:trHeight w:val="519"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重庆市黔江区城区水环境整治工程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城北河上设有2级闸坝，黔江河上设有6级闸坝，并分别在城北河、黔江河上游各设置3座拦砂坎。</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黔江城区</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3800</w:t>
            </w:r>
          </w:p>
        </w:tc>
      </w:tr>
      <w:tr>
        <w:tblPrEx>
          <w:tblCellMar>
            <w:top w:w="0" w:type="dxa"/>
            <w:left w:w="108" w:type="dxa"/>
            <w:bottom w:w="0" w:type="dxa"/>
            <w:right w:w="108" w:type="dxa"/>
          </w:tblCellMar>
        </w:tblPrEx>
        <w:trPr>
          <w:trHeight w:val="399" w:hRule="atLeast"/>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水土保持及移民工程项目</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国家水土保持重点建设工程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新增水土流失治理面积270平方公里</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5000</w:t>
            </w:r>
          </w:p>
        </w:tc>
      </w:tr>
      <w:tr>
        <w:tblPrEx>
          <w:tblCellMar>
            <w:top w:w="0" w:type="dxa"/>
            <w:left w:w="108" w:type="dxa"/>
            <w:bottom w:w="0" w:type="dxa"/>
            <w:right w:w="108" w:type="dxa"/>
          </w:tblCellMar>
        </w:tblPrEx>
        <w:trPr>
          <w:trHeight w:val="789"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大中型水库移民后期扶持项目</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全区大中型水库库区和移民安置区。本次规划后扶指标7650人，其中：直补移民指标1915人，项目扶持指标5735人，主要涉及10座大中型水库的库区和安置区，分别为：小南海水库、渔滩水库、洞塘水库、舟白水库、箱子岩水库、城北水库、太极水库、长顺电站、大河口水电站、老窖溪水库。</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12573</w:t>
            </w:r>
          </w:p>
        </w:tc>
      </w:tr>
      <w:tr>
        <w:tblPrEx>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防洪工程</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黔江区阿蓬江流域阿蓬江镇段综合治理工程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阿蓬江镇，新建防洪护岸24公里</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阿蓬江镇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34000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黔江区袁溪河综合治理工程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新建堤防12公里</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望江路</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黔江区石会河综合治理工程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新建堤防8公里</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陈家坝</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1600</w:t>
            </w:r>
          </w:p>
        </w:tc>
      </w:tr>
      <w:tr>
        <w:tblPrEx>
          <w:tblCellMar>
            <w:top w:w="0" w:type="dxa"/>
            <w:left w:w="108" w:type="dxa"/>
            <w:bottom w:w="0" w:type="dxa"/>
            <w:right w:w="108" w:type="dxa"/>
          </w:tblCellMar>
        </w:tblPrEx>
        <w:trPr>
          <w:trHeight w:val="34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黔江区阿蓬江濯水镇段综合治理工程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濯水镇，新建堤防15公里、护岸5公里</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濯水镇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2000</w:t>
            </w:r>
          </w:p>
        </w:tc>
      </w:tr>
      <w:tr>
        <w:tblPrEx>
          <w:tblCellMar>
            <w:top w:w="0" w:type="dxa"/>
            <w:left w:w="108" w:type="dxa"/>
            <w:bottom w:w="0" w:type="dxa"/>
            <w:right w:w="108" w:type="dxa"/>
          </w:tblCellMar>
        </w:tblPrEx>
        <w:trPr>
          <w:trHeight w:val="399"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黔江区阿蓬江冯家街道段综合治理工程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冯家街道，新建堤防8公里、护岸5公里</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冯家街道</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1500</w:t>
            </w:r>
          </w:p>
        </w:tc>
      </w:tr>
      <w:tr>
        <w:tblPrEx>
          <w:tblCellMar>
            <w:top w:w="0" w:type="dxa"/>
            <w:left w:w="108" w:type="dxa"/>
            <w:bottom w:w="0" w:type="dxa"/>
            <w:right w:w="108" w:type="dxa"/>
          </w:tblCellMar>
        </w:tblPrEx>
        <w:trPr>
          <w:trHeight w:val="361"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黔江区阿蓬江舟白街道段综合治理工程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舟白街道，新建堤防15公里、护岸10公里</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舟白街道</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1500</w:t>
            </w:r>
          </w:p>
        </w:tc>
      </w:tr>
      <w:tr>
        <w:tblPrEx>
          <w:tblCellMar>
            <w:top w:w="0" w:type="dxa"/>
            <w:left w:w="108" w:type="dxa"/>
            <w:bottom w:w="0" w:type="dxa"/>
            <w:right w:w="108" w:type="dxa"/>
          </w:tblCellMar>
        </w:tblPrEx>
        <w:trPr>
          <w:trHeight w:val="415"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黔江区黔江河综合治理工程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城东街道、城西街道、城南街道，综合治理河道长度10公里，新建堤防7公里，加固堤防5公里</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城东街道、城西街道、城南街道</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2000</w:t>
            </w:r>
          </w:p>
        </w:tc>
      </w:tr>
      <w:tr>
        <w:tblPrEx>
          <w:tblCellMar>
            <w:top w:w="0" w:type="dxa"/>
            <w:left w:w="108" w:type="dxa"/>
            <w:bottom w:w="0" w:type="dxa"/>
            <w:right w:w="108" w:type="dxa"/>
          </w:tblCellMar>
        </w:tblPrEx>
        <w:trPr>
          <w:trHeight w:val="46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黔江区中井河综合治理工程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杉岭乡、沙坝乡、黄溪镇、白石乡、黑溪镇、石会镇，综合治理河道长度22公里，新建堤防25公里</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杉岭乡、沙坝镇、黄溪镇、白石镇、黑溪镇、石会镇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2000</w:t>
            </w:r>
          </w:p>
        </w:tc>
      </w:tr>
      <w:tr>
        <w:tblPrEx>
          <w:tblCellMar>
            <w:top w:w="0" w:type="dxa"/>
            <w:left w:w="108" w:type="dxa"/>
            <w:bottom w:w="0" w:type="dxa"/>
            <w:right w:w="108" w:type="dxa"/>
          </w:tblCellMar>
        </w:tblPrEx>
        <w:trPr>
          <w:trHeight w:val="276"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黔江区段溪河（小南海、中塘段）综合治理工程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小南海镇、中塘乡，综合治理河道长度10公里，新建堤防15公里</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小南海镇、中塘镇</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7500</w:t>
            </w:r>
          </w:p>
        </w:tc>
      </w:tr>
      <w:tr>
        <w:tblPrEx>
          <w:tblCellMar>
            <w:top w:w="0" w:type="dxa"/>
            <w:left w:w="108" w:type="dxa"/>
            <w:bottom w:w="0" w:type="dxa"/>
            <w:right w:w="108" w:type="dxa"/>
          </w:tblCellMar>
        </w:tblPrEx>
        <w:trPr>
          <w:trHeight w:val="34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黔江区太极河综合治理工程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太极乡、金溪镇、白土乡，综合治理河道长度15公里，新建堤防20公里</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太极镇、金溪镇、白土乡</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15000</w:t>
            </w:r>
          </w:p>
        </w:tc>
      </w:tr>
      <w:tr>
        <w:tblPrEx>
          <w:tblCellMar>
            <w:top w:w="0" w:type="dxa"/>
            <w:left w:w="108" w:type="dxa"/>
            <w:bottom w:w="0" w:type="dxa"/>
            <w:right w:w="108" w:type="dxa"/>
          </w:tblCellMar>
        </w:tblPrEx>
        <w:trPr>
          <w:trHeight w:val="305"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黔江区细沙河（马喇、金洞段）综合治理工程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马喇镇、金洞乡，综合治理河道长度5公里，新建堤防6公里</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马喇镇、金洞乡</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5000</w:t>
            </w:r>
          </w:p>
        </w:tc>
      </w:tr>
      <w:tr>
        <w:tblPrEx>
          <w:tblCellMar>
            <w:top w:w="0" w:type="dxa"/>
            <w:left w:w="108" w:type="dxa"/>
            <w:bottom w:w="0" w:type="dxa"/>
            <w:right w:w="108" w:type="dxa"/>
          </w:tblCellMar>
        </w:tblPrEx>
        <w:trPr>
          <w:trHeight w:val="399"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黔江区诸佛江黔江段综合治理工程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石家镇、新华乡，综合治理河道长度7公里，新建堤防6公里</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石家镇、新华乡</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黔江区南溪河综合治理工程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新建堤防8公里</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黔江区黎水河综合治理工程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新建堤防8公里</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1600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黔江区深溪河综合治理工程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新建堤防8公里</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800</w:t>
            </w:r>
          </w:p>
        </w:tc>
      </w:tr>
      <w:tr>
        <w:tblPrEx>
          <w:tblCellMar>
            <w:top w:w="0" w:type="dxa"/>
            <w:left w:w="108" w:type="dxa"/>
            <w:bottom w:w="0" w:type="dxa"/>
            <w:right w:w="108" w:type="dxa"/>
          </w:tblCellMar>
        </w:tblPrEx>
        <w:trPr>
          <w:trHeight w:val="312"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黔江区正阳街道团结河综合治理工程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综合治理河道总长10km。主要建设内容包括生态护岸及水生态修复措施</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正阳街道</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2000</w:t>
            </w:r>
          </w:p>
        </w:tc>
      </w:tr>
      <w:tr>
        <w:tblPrEx>
          <w:tblCellMar>
            <w:top w:w="0" w:type="dxa"/>
            <w:left w:w="108" w:type="dxa"/>
            <w:bottom w:w="0" w:type="dxa"/>
            <w:right w:w="108" w:type="dxa"/>
          </w:tblCellMar>
        </w:tblPrEx>
        <w:trPr>
          <w:trHeight w:val="256"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17</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黔江区城南街道南沟河综合治理工程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综合治理河道总长4km。主要建设内容包括生态护岸及水生态修复措施</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城南街道</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5500</w:t>
            </w:r>
          </w:p>
        </w:tc>
      </w:tr>
      <w:tr>
        <w:tblPrEx>
          <w:tblCellMar>
            <w:top w:w="0" w:type="dxa"/>
            <w:left w:w="108" w:type="dxa"/>
            <w:bottom w:w="0" w:type="dxa"/>
            <w:right w:w="108" w:type="dxa"/>
          </w:tblCellMar>
        </w:tblPrEx>
        <w:trPr>
          <w:trHeight w:val="267"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黔江区黔江河城南街道南沟段及城西街道洞塘册山河段综合治理工程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新建堤防，疏浚河道及修建下河梯步等设施</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城南街道</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3000</w:t>
            </w:r>
          </w:p>
        </w:tc>
      </w:tr>
      <w:tr>
        <w:tblPrEx>
          <w:tblCellMar>
            <w:top w:w="0" w:type="dxa"/>
            <w:left w:w="108" w:type="dxa"/>
            <w:bottom w:w="0" w:type="dxa"/>
            <w:right w:w="108" w:type="dxa"/>
          </w:tblCellMar>
        </w:tblPrEx>
        <w:trPr>
          <w:trHeight w:val="23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19</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黔江区城市防洪排涝提升工程</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拆除重建堤防1km、加固堤防长度4km</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4000</w:t>
            </w:r>
          </w:p>
        </w:tc>
      </w:tr>
      <w:tr>
        <w:tblPrEx>
          <w:tblCellMar>
            <w:top w:w="0" w:type="dxa"/>
            <w:left w:w="108" w:type="dxa"/>
            <w:bottom w:w="0" w:type="dxa"/>
            <w:right w:w="108" w:type="dxa"/>
          </w:tblCellMar>
        </w:tblPrEx>
        <w:trPr>
          <w:trHeight w:val="44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黔江区山洪灾害防治项目</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无线预警广播升级和群测群防体系建设扥等工程措施建设；实施山洪沟治理等工程措施。</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2500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21</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应急水毁项目储备资金</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用于应急水毁专项工程</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1000</w:t>
            </w:r>
          </w:p>
        </w:tc>
      </w:tr>
      <w:tr>
        <w:tblPrEx>
          <w:tblCellMar>
            <w:top w:w="0" w:type="dxa"/>
            <w:left w:w="108" w:type="dxa"/>
            <w:bottom w:w="0" w:type="dxa"/>
            <w:right w:w="108" w:type="dxa"/>
          </w:tblCellMar>
        </w:tblPrEx>
        <w:trPr>
          <w:trHeight w:val="331"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22</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水利工程维修养护</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用于区内中型水库、小型水库、水文设施、农村饮水安全工程及其他水利工程维修养护。</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23</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防洪工程5年提升计划</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用于防洪标准提升专项储备资金</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1000</w:t>
            </w:r>
          </w:p>
        </w:tc>
      </w:tr>
      <w:tr>
        <w:tblPrEx>
          <w:tblCellMar>
            <w:top w:w="0" w:type="dxa"/>
            <w:left w:w="108" w:type="dxa"/>
            <w:bottom w:w="0" w:type="dxa"/>
            <w:right w:w="108" w:type="dxa"/>
          </w:tblCellMar>
        </w:tblPrEx>
        <w:trPr>
          <w:trHeight w:val="1093"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智慧水利工程</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黔江区智慧水利项目</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涵盖水库、水利工程等在线安全监测、运行分析、日常操作规程、巡检养护、厂站网一体化调度、绩效考核等业务的示范平台建设。整合相关专业的BIM模型，创建数字孪生模型，完成数字化模拟。用该模型来协调工作跟踪变更等。项目建设内容涉及管网、水生态修复、河道整治、泵闸枢纽工程、海绵城市建设等几个方面，通过BIM软件工程、监测网络、GIS系统和水力学模型来搭建智慧水利。</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r>
      <w:tr>
        <w:tblPrEx>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其他类型项目</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防汛抗旱能力建设</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用于提升防汛抗旱能力</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河长制建设</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河长制相关工作</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250</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水文化项目</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水文化建设、宣传</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r>
      <w:tr>
        <w:tblPrEx>
          <w:tblCellMar>
            <w:top w:w="0" w:type="dxa"/>
            <w:left w:w="108" w:type="dxa"/>
            <w:bottom w:w="0" w:type="dxa"/>
            <w:right w:w="108" w:type="dxa"/>
          </w:tblCellMar>
        </w:tblPrEx>
        <w:trPr>
          <w:trHeight w:val="510"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45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黔江区水利人才队伍建设</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加强人才队伍建设，建立完善人才吸引、使用的激励机制。引进水利专业人才，开展专业培训等</w:t>
            </w:r>
          </w:p>
        </w:tc>
        <w:tc>
          <w:tcPr>
            <w:tcW w:w="4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黔江区</w:t>
            </w:r>
          </w:p>
        </w:tc>
        <w:tc>
          <w:tcPr>
            <w:tcW w:w="244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20" w:lineRule="exact"/>
              <w:jc w:val="center"/>
              <w:textAlignment w:val="center"/>
              <w:rPr>
                <w:rFonts w:hint="eastAsia" w:ascii="宋体" w:hAnsi="宋体" w:cs="宋体"/>
                <w:sz w:val="20"/>
                <w:szCs w:val="20"/>
              </w:rPr>
            </w:pPr>
            <w:r>
              <w:rPr>
                <w:rFonts w:hint="eastAsia" w:ascii="宋体" w:hAnsi="宋体" w:cs="宋体"/>
                <w:kern w:val="0"/>
                <w:sz w:val="20"/>
                <w:szCs w:val="20"/>
                <w:lang w:bidi="ar"/>
              </w:rPr>
              <w:t>1500</w:t>
            </w:r>
          </w:p>
        </w:tc>
      </w:tr>
    </w:tbl>
    <w:p/>
    <w:p/>
    <w:p/>
    <w:p/>
    <w:p/>
    <w:p/>
    <w:p/>
    <w:p/>
    <w:p/>
    <w:p/>
    <w:p/>
    <w:p/>
    <w:p/>
    <w:p/>
    <w:p/>
    <w:p/>
    <w:p>
      <w:pPr>
        <w:rPr>
          <w:rFonts w:hint="eastAsia"/>
        </w:rPr>
      </w:pPr>
      <w:r>
        <w:rPr>
          <w:rFonts w:hint="eastAsia"/>
        </w:rPr>
        <w:drawing>
          <wp:anchor distT="0" distB="0" distL="114300" distR="114300" simplePos="0" relativeHeight="251658240" behindDoc="0" locked="0" layoutInCell="1" allowOverlap="1">
            <wp:simplePos x="0" y="0"/>
            <wp:positionH relativeFrom="column">
              <wp:posOffset>63500</wp:posOffset>
            </wp:positionH>
            <wp:positionV relativeFrom="paragraph">
              <wp:posOffset>-539750</wp:posOffset>
            </wp:positionV>
            <wp:extent cx="13051155" cy="8851900"/>
            <wp:effectExtent l="0" t="0" r="17145" b="6350"/>
            <wp:wrapSquare wrapText="bothSides"/>
            <wp:docPr id="1" name="图片 10" descr="S21120704140_00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0" descr="S21120704140_0001"/>
                    <pic:cNvPicPr>
                      <a:picLocks noChangeAspect="true"/>
                    </pic:cNvPicPr>
                  </pic:nvPicPr>
                  <pic:blipFill>
                    <a:blip r:embed="rId27"/>
                    <a:stretch>
                      <a:fillRect/>
                    </a:stretch>
                  </pic:blipFill>
                  <pic:spPr>
                    <a:xfrm>
                      <a:off x="0" y="0"/>
                      <a:ext cx="13051155" cy="8851900"/>
                    </a:xfrm>
                    <a:prstGeom prst="rect">
                      <a:avLst/>
                    </a:prstGeom>
                    <a:noFill/>
                    <a:ln>
                      <a:noFill/>
                    </a:ln>
                  </pic:spPr>
                </pic:pic>
              </a:graphicData>
            </a:graphic>
          </wp:anchor>
        </w:drawing>
      </w:r>
    </w:p>
    <w:p>
      <w:pPr>
        <w:rPr>
          <w:rFonts w:hint="eastAsia"/>
        </w:rPr>
      </w:pPr>
      <w:r>
        <w:rPr>
          <w:rFonts w:hint="eastAsia"/>
        </w:rPr>
        <w:drawing>
          <wp:anchor distT="0" distB="0" distL="114300" distR="114300" simplePos="0" relativeHeight="251659264" behindDoc="0" locked="0" layoutInCell="1" allowOverlap="1">
            <wp:simplePos x="0" y="0"/>
            <wp:positionH relativeFrom="column">
              <wp:posOffset>95250</wp:posOffset>
            </wp:positionH>
            <wp:positionV relativeFrom="paragraph">
              <wp:posOffset>-571500</wp:posOffset>
            </wp:positionV>
            <wp:extent cx="12957175" cy="9161780"/>
            <wp:effectExtent l="0" t="0" r="15875" b="1270"/>
            <wp:wrapSquare wrapText="bothSides"/>
            <wp:docPr id="2" name="图片 11" descr="S21120704140_00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1" descr="S21120704140_0002"/>
                    <pic:cNvPicPr>
                      <a:picLocks noChangeAspect="true"/>
                    </pic:cNvPicPr>
                  </pic:nvPicPr>
                  <pic:blipFill>
                    <a:blip r:embed="rId28"/>
                    <a:stretch>
                      <a:fillRect/>
                    </a:stretch>
                  </pic:blipFill>
                  <pic:spPr>
                    <a:xfrm>
                      <a:off x="0" y="0"/>
                      <a:ext cx="12957175" cy="9161780"/>
                    </a:xfrm>
                    <a:prstGeom prst="rect">
                      <a:avLst/>
                    </a:prstGeom>
                    <a:noFill/>
                    <a:ln>
                      <a:noFill/>
                    </a:ln>
                  </pic:spPr>
                </pic:pic>
              </a:graphicData>
            </a:graphic>
          </wp:anchor>
        </w:drawing>
      </w:r>
    </w:p>
    <w:p>
      <w:pPr>
        <w:rPr>
          <w:rFonts w:hint="eastAsia"/>
        </w:rPr>
      </w:pPr>
      <w:r>
        <w:rPr>
          <w:rFonts w:hint="eastAsia"/>
        </w:rPr>
        <w:drawing>
          <wp:anchor distT="0" distB="0" distL="114300" distR="114300" simplePos="0" relativeHeight="251660288" behindDoc="0" locked="0" layoutInCell="1" allowOverlap="1">
            <wp:simplePos x="0" y="0"/>
            <wp:positionH relativeFrom="column">
              <wp:posOffset>339725</wp:posOffset>
            </wp:positionH>
            <wp:positionV relativeFrom="paragraph">
              <wp:posOffset>-596900</wp:posOffset>
            </wp:positionV>
            <wp:extent cx="12846050" cy="8898255"/>
            <wp:effectExtent l="0" t="0" r="12700" b="17145"/>
            <wp:wrapSquare wrapText="bothSides"/>
            <wp:docPr id="3" name="图片 12" descr="S21120704140_00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2" descr="S21120704140_0003"/>
                    <pic:cNvPicPr>
                      <a:picLocks noChangeAspect="true"/>
                    </pic:cNvPicPr>
                  </pic:nvPicPr>
                  <pic:blipFill>
                    <a:blip r:embed="rId29"/>
                    <a:stretch>
                      <a:fillRect/>
                    </a:stretch>
                  </pic:blipFill>
                  <pic:spPr>
                    <a:xfrm>
                      <a:off x="0" y="0"/>
                      <a:ext cx="12846050" cy="8898255"/>
                    </a:xfrm>
                    <a:prstGeom prst="rect">
                      <a:avLst/>
                    </a:prstGeom>
                    <a:noFill/>
                    <a:ln>
                      <a:noFill/>
                    </a:ln>
                  </pic:spPr>
                </pic:pic>
              </a:graphicData>
            </a:graphic>
          </wp:anchor>
        </w:drawing>
      </w:r>
    </w:p>
    <w:p>
      <w:r>
        <w:rPr>
          <w:rFonts w:hint="eastAsia"/>
        </w:rPr>
        <w:drawing>
          <wp:anchor distT="0" distB="0" distL="114300" distR="114300" simplePos="0" relativeHeight="251661312" behindDoc="0" locked="0" layoutInCell="1" allowOverlap="1">
            <wp:simplePos x="0" y="0"/>
            <wp:positionH relativeFrom="column">
              <wp:posOffset>71120</wp:posOffset>
            </wp:positionH>
            <wp:positionV relativeFrom="paragraph">
              <wp:posOffset>-702310</wp:posOffset>
            </wp:positionV>
            <wp:extent cx="12734290" cy="9004300"/>
            <wp:effectExtent l="0" t="0" r="10160" b="6350"/>
            <wp:wrapSquare wrapText="bothSides"/>
            <wp:docPr id="4" name="图片 13" descr="S21120704140_00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3" descr="S21120704140_0004"/>
                    <pic:cNvPicPr>
                      <a:picLocks noChangeAspect="true"/>
                    </pic:cNvPicPr>
                  </pic:nvPicPr>
                  <pic:blipFill>
                    <a:blip r:embed="rId30"/>
                    <a:stretch>
                      <a:fillRect/>
                    </a:stretch>
                  </pic:blipFill>
                  <pic:spPr>
                    <a:xfrm>
                      <a:off x="0" y="0"/>
                      <a:ext cx="12734290" cy="9004300"/>
                    </a:xfrm>
                    <a:prstGeom prst="rect">
                      <a:avLst/>
                    </a:prstGeom>
                    <a:noFill/>
                    <a:ln>
                      <a:noFill/>
                    </a:ln>
                  </pic:spPr>
                </pic:pic>
              </a:graphicData>
            </a:graphic>
          </wp:anchor>
        </w:drawing>
      </w:r>
    </w:p>
    <w:p/>
    <w:p/>
    <w:p/>
    <w:p/>
    <w:p>
      <w:pPr>
        <w:sectPr>
          <w:pgSz w:w="23811" w:h="16838" w:orient="landscape"/>
          <w:pgMar w:top="1984" w:right="1446" w:bottom="1644" w:left="1446" w:header="1134" w:footer="1134" w:gutter="0"/>
          <w:pgNumType w:fmt="numberInDash"/>
          <w:cols w:space="720" w:num="1"/>
          <w:docGrid w:linePitch="312" w:charSpace="0"/>
        </w:sectPr>
      </w:pPr>
    </w:p>
    <w:p/>
    <w:p/>
    <w:p/>
    <w:p/>
    <w:p/>
    <w:p/>
    <w:p/>
    <w:p/>
    <w:p/>
    <w:p/>
    <w:p/>
    <w:p/>
    <w:p/>
    <w:p/>
    <w:p/>
    <w:p/>
    <w:p/>
    <w:p/>
    <w:p/>
    <w:p/>
    <w:p/>
    <w:p/>
    <w:p>
      <w:pPr>
        <w:pStyle w:val="10"/>
      </w:pPr>
    </w:p>
    <w:p/>
    <w:p>
      <w:pPr>
        <w:pStyle w:val="9"/>
      </w:pPr>
    </w:p>
    <w:p>
      <w:pPr>
        <w:pStyle w:val="10"/>
      </w:pPr>
    </w:p>
    <w:p/>
    <w:p>
      <w:pPr>
        <w:pStyle w:val="9"/>
      </w:pPr>
    </w:p>
    <w:p>
      <w:pPr>
        <w:pStyle w:val="10"/>
      </w:pPr>
    </w:p>
    <w:p/>
    <w:p>
      <w:pPr>
        <w:pStyle w:val="9"/>
      </w:pPr>
    </w:p>
    <w:p>
      <w:pPr>
        <w:pStyle w:val="10"/>
      </w:pPr>
    </w:p>
    <w:p/>
    <w:p>
      <w:pPr>
        <w:pStyle w:val="9"/>
      </w:pPr>
    </w:p>
    <w:p>
      <w:pPr>
        <w:pStyle w:val="10"/>
      </w:pPr>
    </w:p>
    <w:p/>
    <w:p>
      <w:pPr>
        <w:pStyle w:val="9"/>
      </w:pPr>
    </w:p>
    <w:p>
      <w:pPr>
        <w:pStyle w:val="10"/>
      </w:pPr>
    </w:p>
    <w:p/>
    <w:p>
      <w:pPr>
        <w:pStyle w:val="9"/>
      </w:pPr>
    </w:p>
    <w:p>
      <w:pPr>
        <w:pStyle w:val="10"/>
      </w:pPr>
    </w:p>
    <w:p>
      <w:pPr>
        <w:spacing w:line="560" w:lineRule="exact"/>
        <w:ind w:right="105" w:rightChars="50" w:firstLine="280" w:firstLineChars="100"/>
        <w:rPr>
          <w:rFonts w:hint="eastAsia"/>
          <w:sz w:val="28"/>
          <w:szCs w:val="28"/>
        </w:rPr>
      </w:pPr>
      <w:r>
        <w:rPr>
          <w:rFonts w:hint="eastAsia" w:ascii="方正仿宋_GBK" w:hAnsi="方正仿宋_GBK" w:eastAsia="方正仿宋_GBK" w:cs="方正仿宋_GBK"/>
          <w:sz w:val="28"/>
          <w:szCs w:val="2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43180</wp:posOffset>
                </wp:positionV>
                <wp:extent cx="5615940" cy="635"/>
                <wp:effectExtent l="0" t="0" r="0" b="0"/>
                <wp:wrapNone/>
                <wp:docPr id="5" name="直接连接符 5"/>
                <wp:cNvGraphicFramePr/>
                <a:graphic xmlns:a="http://schemas.openxmlformats.org/drawingml/2006/main">
                  <a:graphicData uri="http://schemas.microsoft.com/office/word/2010/wordprocessingShape">
                    <wps:wsp>
                      <wps:cNvCnPr/>
                      <wps:spPr>
                        <a:xfrm>
                          <a:off x="0" y="0"/>
                          <a:ext cx="5615940" cy="635"/>
                        </a:xfrm>
                        <a:prstGeom prst="line">
                          <a:avLst/>
                        </a:prstGeom>
                        <a:ln w="9525" cap="flat" cmpd="sng">
                          <a:solidFill>
                            <a:srgbClr val="000000"/>
                          </a:solidFill>
                          <a:prstDash val="solid"/>
                          <a:headEnd type="none" w="med" len="med"/>
                          <a:tailEnd type="none" w="med" len="med"/>
                        </a:ln>
                        <a:effectLst/>
                      </wps:spPr>
                      <wps:bodyPr upright="true"/>
                    </wps:wsp>
                  </a:graphicData>
                </a:graphic>
              </wp:anchor>
            </w:drawing>
          </mc:Choice>
          <mc:Fallback>
            <w:pict>
              <v:line id="_x0000_s1026" o:spid="_x0000_s1026" o:spt="20" style="position:absolute;left:0pt;margin-left:0pt;margin-top:3.4pt;height:0.05pt;width:442.2pt;z-index:251662336;mso-width-relative:page;mso-height-relative:page;" filled="f" stroked="t" coordsize="21600,21600" o:gfxdata="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iUYTetMAAAAEAQAADwAAAAAAAAABACAAAAA4AAAAZHJzL2Rvd25yZXYueG1sUEsB&#10;AhQAFAAAAAgAh07iQFt5AWjkAQAAqQMAAA4AAAAAAAAAAQAgAAAAOAEAAGRycy9lMm9Eb2MueG1s&#10;UEsFBgAAAAAGAAYAWQEAAI4FAAAAAA==&#10;">
                <v:fill on="f" focussize="0,0"/>
                <v:stroke color="#000000" joinstyle="round"/>
                <v:imagedata o:title=""/>
                <o:lock v:ext="edit" aspectratio="f"/>
              </v:line>
            </w:pict>
          </mc:Fallback>
        </mc:AlternateContent>
      </w:r>
      <w:r>
        <w:rPr>
          <w:rFonts w:hint="eastAsia" w:ascii="方正仿宋_GBK" w:hAnsi="方正仿宋_GBK" w:eastAsia="方正仿宋_GBK" w:cs="方正仿宋_GBK"/>
          <w:sz w:val="28"/>
          <w:szCs w:val="28"/>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383540</wp:posOffset>
                </wp:positionV>
                <wp:extent cx="5615940" cy="635"/>
                <wp:effectExtent l="0" t="0" r="0" b="0"/>
                <wp:wrapNone/>
                <wp:docPr id="6" name="直接连接符 6"/>
                <wp:cNvGraphicFramePr/>
                <a:graphic xmlns:a="http://schemas.openxmlformats.org/drawingml/2006/main">
                  <a:graphicData uri="http://schemas.microsoft.com/office/word/2010/wordprocessingShape">
                    <wps:wsp>
                      <wps:cNvCnPr/>
                      <wps:spPr>
                        <a:xfrm>
                          <a:off x="0" y="0"/>
                          <a:ext cx="5615940" cy="635"/>
                        </a:xfrm>
                        <a:prstGeom prst="line">
                          <a:avLst/>
                        </a:prstGeom>
                        <a:ln w="9525" cap="flat" cmpd="sng">
                          <a:solidFill>
                            <a:srgbClr val="000000"/>
                          </a:solidFill>
                          <a:prstDash val="solid"/>
                          <a:headEnd type="none" w="med" len="med"/>
                          <a:tailEnd type="none" w="med" len="med"/>
                        </a:ln>
                        <a:effectLst/>
                      </wps:spPr>
                      <wps:bodyPr upright="true"/>
                    </wps:wsp>
                  </a:graphicData>
                </a:graphic>
              </wp:anchor>
            </w:drawing>
          </mc:Choice>
          <mc:Fallback>
            <w:pict>
              <v:line id="_x0000_s1026" o:spid="_x0000_s1026" o:spt="20" style="position:absolute;left:0pt;margin-left:0pt;margin-top:30.2pt;height:0.05pt;width:442.2pt;z-index:251663360;mso-width-relative:page;mso-height-relative:page;" filled="f" stroked="t" coordsize="21600,21600" o:gfxdata="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prIotNUAAAAGAQAADwAAAAAAAAABACAAAAA4AAAAZHJzL2Rvd25yZXYueG1sUEsB&#10;AhQAFAAAAAgAh07iQI++n4HiAQAAqQMAAA4AAAAAAAAAAQAgAAAAOgEAAGRycy9lMm9Eb2MueG1s&#10;UEsFBgAAAAAGAAYAWQEAAI4FAAAAAA==&#10;">
                <v:fill on="f" focussize="0,0"/>
                <v:stroke color="#000000" joinstyle="round"/>
                <v:imagedata o:title=""/>
                <o:lock v:ext="edit" aspectratio="f"/>
              </v:line>
            </w:pict>
          </mc:Fallback>
        </mc:AlternateContent>
      </w:r>
      <w:r>
        <w:rPr>
          <w:rFonts w:hint="eastAsia" w:ascii="方正仿宋_GBK" w:hAnsi="方正仿宋_GBK" w:eastAsia="方正仿宋_GBK" w:cs="方正仿宋_GBK"/>
          <w:sz w:val="28"/>
          <w:szCs w:val="28"/>
        </w:rPr>
        <w:t>重庆市黔江区人民政府办公室             2021年</w:t>
      </w:r>
      <w:r>
        <w:rPr>
          <w:rFonts w:hint="eastAsia" w:ascii="方正仿宋_GBK" w:hAnsi="方正仿宋_GBK" w:cs="方正仿宋_GBK"/>
          <w:sz w:val="28"/>
          <w:szCs w:val="28"/>
        </w:rPr>
        <w:t>12</w:t>
      </w:r>
      <w:r>
        <w:rPr>
          <w:rFonts w:hint="eastAsia" w:ascii="方正仿宋_GBK" w:hAnsi="方正仿宋_GBK" w:eastAsia="方正仿宋_GBK" w:cs="方正仿宋_GBK"/>
          <w:sz w:val="28"/>
          <w:szCs w:val="28"/>
        </w:rPr>
        <w:t>月15日印发</w:t>
      </w:r>
    </w:p>
    <w:p>
      <w:pPr>
        <w:pStyle w:val="10"/>
      </w:pPr>
    </w:p>
    <w:sectPr>
      <w:pgSz w:w="11905" w:h="16838"/>
      <w:pgMar w:top="1984" w:right="1446" w:bottom="1644" w:left="1446" w:header="1134" w:footer="1134"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Arial Black">
    <w:altName w:val="Times New Roman"/>
    <w:panose1 w:val="020B0A04020102020204"/>
    <w:charset w:val="00"/>
    <w:family w:val="swiss"/>
    <w:pitch w:val="default"/>
    <w:sig w:usb0="00000000" w:usb1="00000000" w:usb2="00000000" w:usb3="00000000" w:csb0="2000009F" w:csb1="DFD70000"/>
  </w:font>
  <w:font w:name="方正小标宋简体">
    <w:panose1 w:val="02000000000000000000"/>
    <w:charset w:val="86"/>
    <w:family w:val="script"/>
    <w:pitch w:val="default"/>
    <w:sig w:usb0="A00002BF" w:usb1="184F6CFA" w:usb2="00000012" w:usb3="00000000" w:csb0="00040001" w:csb1="00000000"/>
  </w:font>
  <w:font w:name="方正楷体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8240" behindDoc="0" locked="0" layoutInCell="1" allowOverlap="1">
              <wp:simplePos x="0" y="0"/>
              <wp:positionH relativeFrom="margin">
                <wp:posOffset>5181600</wp:posOffset>
              </wp:positionH>
              <wp:positionV relativeFrom="paragraph">
                <wp:posOffset>0</wp:posOffset>
              </wp:positionV>
              <wp:extent cx="541655" cy="337185"/>
              <wp:effectExtent l="0" t="0" r="0" b="0"/>
              <wp:wrapNone/>
              <wp:docPr id="12" name="文本框 1027"/>
              <wp:cNvGraphicFramePr/>
              <a:graphic xmlns:a="http://schemas.openxmlformats.org/drawingml/2006/main">
                <a:graphicData uri="http://schemas.microsoft.com/office/word/2010/wordprocessingShape">
                  <wps:wsp>
                    <wps:cNvSpPr txBox="true"/>
                    <wps:spPr>
                      <a:xfrm>
                        <a:off x="0" y="0"/>
                        <a:ext cx="541655" cy="337185"/>
                      </a:xfrm>
                      <a:prstGeom prst="rect">
                        <a:avLst/>
                      </a:prstGeom>
                      <a:noFill/>
                      <a:ln>
                        <a:noFill/>
                      </a:ln>
                    </wps:spPr>
                    <wps:txbx>
                      <w:txbxContent>
                        <w:p>
                          <w:pPr>
                            <w:pStyle w:val="1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square" lIns="0" tIns="0" rIns="0" bIns="0" upright="false"/>
                  </wps:wsp>
                </a:graphicData>
              </a:graphic>
            </wp:anchor>
          </w:drawing>
        </mc:Choice>
        <mc:Fallback>
          <w:pict>
            <v:shape id="文本框 1027" o:spid="_x0000_s1026" o:spt="202" type="#_x0000_t202" style="position:absolute;left:0pt;margin-left:408pt;margin-top:0pt;height:26.55pt;width:42.65pt;mso-position-horizontal-relative:margin;z-index:251658240;mso-width-relative:page;mso-height-relative:page;" filled="f" stroked="f" coordsize="21600,21600" o:gfxdata="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BYAAABk&#10;cnMvUEsBAhQAFAAAAAgAh07iQD4iPwbXAAAABwEAAA8AAAAAAAAAAQAgAAAAOAAAAGRycy9kb3du&#10;cmV2LnhtbFBLAQIUABQAAAAIAIdO4kACCH6esQEAADwDAAAOAAAAAAAAAAEAIAAAADwBAABkcnMv&#10;ZTJvRG9jLnhtbFBLBQYAAAAABgAGAFkBAABfBQAAAAA=&#10;">
              <v:fill on="f" focussize="0,0"/>
              <v:stroke on="f"/>
              <v:imagedata o:title=""/>
              <o:lock v:ext="edit" aspectratio="f"/>
              <v:textbox inset="0mm,0mm,0mm,0mm">
                <w:txbxContent>
                  <w:p>
                    <w:pPr>
                      <w:pStyle w:val="1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rPr>
        <w:rFonts w:ascii="宋体" w:hAnsi="宋体"/>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549910" cy="290830"/>
              <wp:effectExtent l="0" t="0" r="0" b="0"/>
              <wp:wrapNone/>
              <wp:docPr id="13" name="文本框 1029"/>
              <wp:cNvGraphicFramePr/>
              <a:graphic xmlns:a="http://schemas.openxmlformats.org/drawingml/2006/main">
                <a:graphicData uri="http://schemas.microsoft.com/office/word/2010/wordprocessingShape">
                  <wps:wsp>
                    <wps:cNvSpPr txBox="true"/>
                    <wps:spPr>
                      <a:xfrm>
                        <a:off x="0" y="0"/>
                        <a:ext cx="549910" cy="290830"/>
                      </a:xfrm>
                      <a:prstGeom prst="rect">
                        <a:avLst/>
                      </a:prstGeom>
                      <a:noFill/>
                      <a:ln>
                        <a:noFill/>
                      </a:ln>
                    </wps:spPr>
                    <wps:txbx>
                      <w:txbxContent>
                        <w:p>
                          <w:pPr>
                            <w:pStyle w:val="1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- 5 -</w:t>
                          </w:r>
                          <w:r>
                            <w:rPr>
                              <w:rFonts w:hint="eastAsia" w:ascii="宋体" w:hAnsi="宋体" w:cs="宋体"/>
                              <w:sz w:val="28"/>
                              <w:szCs w:val="28"/>
                            </w:rPr>
                            <w:fldChar w:fldCharType="end"/>
                          </w:r>
                        </w:p>
                      </w:txbxContent>
                    </wps:txbx>
                    <wps:bodyPr wrap="square" lIns="0" tIns="0" rIns="0" bIns="0" upright="false"/>
                  </wps:wsp>
                </a:graphicData>
              </a:graphic>
            </wp:anchor>
          </w:drawing>
        </mc:Choice>
        <mc:Fallback>
          <w:pict>
            <v:shape id="文本框 1029" o:spid="_x0000_s1026" o:spt="202" type="#_x0000_t202" style="position:absolute;left:0pt;margin-top:0pt;height:22.9pt;width:43.3pt;mso-position-horizontal:outside;mso-position-horizontal-relative:margin;z-index:251659264;mso-width-relative:page;mso-height-relative:page;" filled="f" stroked="f" coordsize="21600,21600" o:gfxdata="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WAAAAZHJzL1BL&#10;AQIUABQAAAAIAIdO4kBYcPkR1AAAAAMBAAAPAAAAAAAAAAEAIAAAADgAAABkcnMvZG93bnJldi54&#10;bWxQSwECFAAUAAAACACHTuJAKcxU4K8BAAA8AwAADgAAAAAAAAABACAAAAA5AQAAZHJzL2Uyb0Rv&#10;Yy54bWxQSwUGAAAAAAYABgBZAQAAWgUAAAAA&#10;">
              <v:fill on="f" focussize="0,0"/>
              <v:stroke on="f"/>
              <v:imagedata o:title=""/>
              <o:lock v:ext="edit" aspectratio="f"/>
              <v:textbox inset="0mm,0mm,0mm,0mm">
                <w:txbxContent>
                  <w:p>
                    <w:pPr>
                      <w:pStyle w:val="1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- 5 -</w:t>
                    </w:r>
                    <w:r>
                      <w:rPr>
                        <w:rFonts w:hint="eastAsia" w:ascii="宋体" w:hAnsi="宋体" w:cs="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994410" cy="313055"/>
              <wp:effectExtent l="0" t="0" r="0" b="0"/>
              <wp:wrapNone/>
              <wp:docPr id="14" name="文本框 1032"/>
              <wp:cNvGraphicFramePr/>
              <a:graphic xmlns:a="http://schemas.openxmlformats.org/drawingml/2006/main">
                <a:graphicData uri="http://schemas.microsoft.com/office/word/2010/wordprocessingShape">
                  <wps:wsp>
                    <wps:cNvSpPr txBox="true"/>
                    <wps:spPr>
                      <a:xfrm>
                        <a:off x="0" y="0"/>
                        <a:ext cx="994410" cy="313055"/>
                      </a:xfrm>
                      <a:prstGeom prst="rect">
                        <a:avLst/>
                      </a:prstGeom>
                      <a:noFill/>
                      <a:ln>
                        <a:noFill/>
                      </a:ln>
                    </wps:spPr>
                    <wps:txbx>
                      <w:txbxContent>
                        <w:p>
                          <w:pPr>
                            <w:pStyle w:val="17"/>
                            <w:rPr>
                              <w:rStyle w:val="32"/>
                              <w:rFonts w:hint="eastAsia" w:ascii="宋体" w:hAnsi="宋体" w:cs="宋体"/>
                              <w:sz w:val="28"/>
                              <w:szCs w:val="28"/>
                            </w:rPr>
                          </w:pPr>
                          <w:r>
                            <w:rPr>
                              <w:rStyle w:val="32"/>
                              <w:rFonts w:hint="eastAsia" w:ascii="宋体" w:hAnsi="宋体" w:cs="宋体"/>
                              <w:sz w:val="28"/>
                              <w:szCs w:val="28"/>
                            </w:rPr>
                            <w:t xml:space="preserve"> </w:t>
                          </w:r>
                          <w:r>
                            <w:rPr>
                              <w:rFonts w:hint="eastAsia" w:ascii="宋体" w:hAnsi="宋体" w:cs="宋体"/>
                              <w:sz w:val="28"/>
                              <w:szCs w:val="28"/>
                            </w:rPr>
                            <w:fldChar w:fldCharType="begin"/>
                          </w:r>
                          <w:r>
                            <w:rPr>
                              <w:rStyle w:val="32"/>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Style w:val="32"/>
                              <w:rFonts w:ascii="宋体" w:hAnsi="宋体" w:cs="宋体"/>
                              <w:sz w:val="28"/>
                              <w:szCs w:val="28"/>
                            </w:rPr>
                            <w:t>- 4 -</w:t>
                          </w:r>
                          <w:r>
                            <w:rPr>
                              <w:rFonts w:hint="eastAsia" w:ascii="宋体" w:hAnsi="宋体" w:cs="宋体"/>
                              <w:sz w:val="28"/>
                              <w:szCs w:val="28"/>
                            </w:rPr>
                            <w:fldChar w:fldCharType="end"/>
                          </w:r>
                          <w:r>
                            <w:rPr>
                              <w:rStyle w:val="32"/>
                              <w:rFonts w:hint="eastAsia" w:ascii="宋体" w:hAnsi="宋体" w:cs="宋体"/>
                              <w:sz w:val="28"/>
                              <w:szCs w:val="28"/>
                            </w:rPr>
                            <w:t xml:space="preserve"> </w:t>
                          </w:r>
                        </w:p>
                      </w:txbxContent>
                    </wps:txbx>
                    <wps:bodyPr wrap="square" lIns="0" tIns="0" rIns="0" bIns="0" upright="false"/>
                  </wps:wsp>
                </a:graphicData>
              </a:graphic>
            </wp:anchor>
          </w:drawing>
        </mc:Choice>
        <mc:Fallback>
          <w:pict>
            <v:shape id="文本框 1032" o:spid="_x0000_s1026" o:spt="202" type="#_x0000_t202" style="position:absolute;left:0pt;margin-top:0pt;height:24.65pt;width:78.3pt;mso-position-horizontal:outside;mso-position-horizontal-relative:margin;z-index:251660288;mso-width-relative:page;mso-height-relative:page;" filled="f" stroked="f" coordsize="21600,21600" o:gfxdata="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WAAAAZHJzL1BL&#10;AQIUABQAAAAIAIdO4kC/j+mS1AAAAAQBAAAPAAAAAAAAAAEAIAAAADgAAABkcnMvZG93bnJldi54&#10;bWxQSwECFAAUAAAACACHTuJAtmWe9q8BAAA8AwAADgAAAAAAAAABACAAAAA5AQAAZHJzL2Uyb0Rv&#10;Yy54bWxQSwUGAAAAAAYABgBZAQAAWgUAAAAA&#10;">
              <v:fill on="f" focussize="0,0"/>
              <v:stroke on="f"/>
              <v:imagedata o:title=""/>
              <o:lock v:ext="edit" aspectratio="f"/>
              <v:textbox inset="0mm,0mm,0mm,0mm">
                <w:txbxContent>
                  <w:p>
                    <w:pPr>
                      <w:pStyle w:val="17"/>
                      <w:rPr>
                        <w:rStyle w:val="32"/>
                        <w:rFonts w:hint="eastAsia" w:ascii="宋体" w:hAnsi="宋体" w:cs="宋体"/>
                        <w:sz w:val="28"/>
                        <w:szCs w:val="28"/>
                      </w:rPr>
                    </w:pPr>
                    <w:r>
                      <w:rPr>
                        <w:rStyle w:val="32"/>
                        <w:rFonts w:hint="eastAsia" w:ascii="宋体" w:hAnsi="宋体" w:cs="宋体"/>
                        <w:sz w:val="28"/>
                        <w:szCs w:val="28"/>
                      </w:rPr>
                      <w:t xml:space="preserve"> </w:t>
                    </w:r>
                    <w:r>
                      <w:rPr>
                        <w:rFonts w:hint="eastAsia" w:ascii="宋体" w:hAnsi="宋体" w:cs="宋体"/>
                        <w:sz w:val="28"/>
                        <w:szCs w:val="28"/>
                      </w:rPr>
                      <w:fldChar w:fldCharType="begin"/>
                    </w:r>
                    <w:r>
                      <w:rPr>
                        <w:rStyle w:val="32"/>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Style w:val="32"/>
                        <w:rFonts w:ascii="宋体" w:hAnsi="宋体" w:cs="宋体"/>
                        <w:sz w:val="28"/>
                        <w:szCs w:val="28"/>
                      </w:rPr>
                      <w:t>- 4 -</w:t>
                    </w:r>
                    <w:r>
                      <w:rPr>
                        <w:rFonts w:hint="eastAsia" w:ascii="宋体" w:hAnsi="宋体" w:cs="宋体"/>
                        <w:sz w:val="28"/>
                        <w:szCs w:val="28"/>
                      </w:rPr>
                      <w:fldChar w:fldCharType="end"/>
                    </w:r>
                    <w:r>
                      <w:rPr>
                        <w:rStyle w:val="32"/>
                        <w:rFonts w:hint="eastAsia" w:ascii="宋体" w:hAnsi="宋体" w:cs="宋体"/>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1312" behindDoc="0" locked="0" layoutInCell="1" allowOverlap="1">
              <wp:simplePos x="0" y="0"/>
              <wp:positionH relativeFrom="margin">
                <wp:posOffset>4872355</wp:posOffset>
              </wp:positionH>
              <wp:positionV relativeFrom="paragraph">
                <wp:posOffset>0</wp:posOffset>
              </wp:positionV>
              <wp:extent cx="577215" cy="314325"/>
              <wp:effectExtent l="0" t="0" r="0" b="0"/>
              <wp:wrapNone/>
              <wp:docPr id="15" name="文本框 1034"/>
              <wp:cNvGraphicFramePr/>
              <a:graphic xmlns:a="http://schemas.openxmlformats.org/drawingml/2006/main">
                <a:graphicData uri="http://schemas.microsoft.com/office/word/2010/wordprocessingShape">
                  <wps:wsp>
                    <wps:cNvSpPr txBox="true"/>
                    <wps:spPr>
                      <a:xfrm>
                        <a:off x="0" y="0"/>
                        <a:ext cx="577215" cy="314325"/>
                      </a:xfrm>
                      <a:prstGeom prst="rect">
                        <a:avLst/>
                      </a:prstGeom>
                      <a:noFill/>
                      <a:ln>
                        <a:noFill/>
                      </a:ln>
                    </wps:spPr>
                    <wps:txbx>
                      <w:txbxContent>
                        <w:p>
                          <w:pPr>
                            <w:pStyle w:val="17"/>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- 7 -</w:t>
                          </w:r>
                          <w:r>
                            <w:rPr>
                              <w:rFonts w:hint="eastAsia" w:ascii="宋体" w:hAnsi="宋体" w:cs="宋体"/>
                              <w:sz w:val="28"/>
                              <w:szCs w:val="28"/>
                            </w:rPr>
                            <w:fldChar w:fldCharType="end"/>
                          </w:r>
                        </w:p>
                      </w:txbxContent>
                    </wps:txbx>
                    <wps:bodyPr wrap="square" lIns="0" tIns="0" rIns="0" bIns="0" upright="false"/>
                  </wps:wsp>
                </a:graphicData>
              </a:graphic>
            </wp:anchor>
          </w:drawing>
        </mc:Choice>
        <mc:Fallback>
          <w:pict>
            <v:shape id="文本框 1034" o:spid="_x0000_s1026" o:spt="202" type="#_x0000_t202" style="position:absolute;left:0pt;margin-left:383.65pt;margin-top:0pt;height:24.75pt;width:45.45pt;mso-position-horizontal-relative:margin;z-index:251661312;mso-width-relative:page;mso-height-relative:page;" filled="f" stroked="f" coordsize="21600,21600" o:gfxdata="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FgAAAGRy&#10;cy9QSwECFAAUAAAACACHTuJAUgoRJNcAAAAHAQAADwAAAAAAAAABACAAAAA4AAAAZHJzL2Rvd25y&#10;ZXYueG1sUEsBAhQAFAAAAAgAh07iQMGifZ6wAQAAPAMAAA4AAAAAAAAAAQAgAAAAPAEAAGRycy9l&#10;Mm9Eb2MueG1sUEsFBgAAAAAGAAYAWQEAAF4FAAAAAA==&#10;">
              <v:fill on="f" focussize="0,0"/>
              <v:stroke on="f"/>
              <v:imagedata o:title=""/>
              <o:lock v:ext="edit" aspectratio="f"/>
              <v:textbox inset="0mm,0mm,0mm,0mm">
                <w:txbxContent>
                  <w:p>
                    <w:pPr>
                      <w:pStyle w:val="17"/>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- 7 -</w:t>
                    </w:r>
                    <w:r>
                      <w:rPr>
                        <w:rFonts w:hint="eastAsia" w:ascii="宋体" w:hAnsi="宋体" w:cs="宋体"/>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rPr>
        <w:rFonts w:ascii="宋体" w:hAnsi="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025525" cy="265430"/>
              <wp:effectExtent l="0" t="0" r="0" b="0"/>
              <wp:wrapNone/>
              <wp:docPr id="16" name="文本框 1035"/>
              <wp:cNvGraphicFramePr/>
              <a:graphic xmlns:a="http://schemas.openxmlformats.org/drawingml/2006/main">
                <a:graphicData uri="http://schemas.microsoft.com/office/word/2010/wordprocessingShape">
                  <wps:wsp>
                    <wps:cNvSpPr txBox="true"/>
                    <wps:spPr>
                      <a:xfrm>
                        <a:off x="0" y="0"/>
                        <a:ext cx="1025525" cy="265430"/>
                      </a:xfrm>
                      <a:prstGeom prst="rect">
                        <a:avLst/>
                      </a:prstGeom>
                      <a:noFill/>
                      <a:ln>
                        <a:noFill/>
                      </a:ln>
                    </wps:spPr>
                    <wps:txbx>
                      <w:txbxContent>
                        <w:p>
                          <w:pPr>
                            <w:pStyle w:val="17"/>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- 50 -</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square" lIns="0" tIns="0" rIns="0" bIns="0" upright="false"/>
                  </wps:wsp>
                </a:graphicData>
              </a:graphic>
            </wp:anchor>
          </w:drawing>
        </mc:Choice>
        <mc:Fallback>
          <w:pict>
            <v:shape id="文本框 1035" o:spid="_x0000_s1026" o:spt="202" type="#_x0000_t202" style="position:absolute;left:0pt;margin-top:0pt;height:20.9pt;width:80.75pt;mso-position-horizontal:outside;mso-position-horizontal-relative:margin;z-index:251662336;mso-width-relative:page;mso-height-relative:page;" filled="f" stroked="f" coordsize="21600,21600" o:gfxdata="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3XdQt9QAAAAEAQAADwAAAAAAAAABACAAAAA4AAAAZHJzL2Rvd25yZXYu&#10;eG1sUEsBAhQAFAAAAAgAh07iQIsddtGwAQAAPQMAAA4AAAAAAAAAAQAgAAAAOQEAAGRycy9lMm9E&#10;b2MueG1sUEsFBgAAAAAGAAYAWQEAAFsFAAAAAA==&#10;">
              <v:fill on="f" focussize="0,0"/>
              <v:stroke on="f"/>
              <v:imagedata o:title=""/>
              <o:lock v:ext="edit" aspectratio="f"/>
              <v:textbox inset="0mm,0mm,0mm,0mm">
                <w:txbxContent>
                  <w:p>
                    <w:pPr>
                      <w:pStyle w:val="17"/>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- 50 -</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0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- 49 -</w:t>
                          </w:r>
                          <w:r>
                            <w:rPr>
                              <w:rFonts w:hint="eastAsia" w:ascii="宋体" w:hAnsi="宋体" w:cs="宋体"/>
                              <w:sz w:val="28"/>
                              <w:szCs w:val="28"/>
                            </w:rPr>
                            <w:fldChar w:fldCharType="end"/>
                          </w:r>
                        </w:p>
                      </w:txbxContent>
                    </wps:txbx>
                    <wps:bodyPr wrap="none" lIns="0" tIns="0" rIns="0" bIns="0" upright="false">
                      <a:spAutoFit/>
                    </wps:bodyPr>
                  </wps:wsp>
                </a:graphicData>
              </a:graphic>
            </wp:anchor>
          </w:drawing>
        </mc:Choice>
        <mc:Fallback>
          <w:pict>
            <v:shape id="文本框 1044"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FgAAAGRy&#10;cy9QSwECFAAUAAAACACHTuJAzql5uc8AAAAFAQAADwAAAAAAAAABACAAAAA4AAAAZHJzL2Rvd25y&#10;ZXYueG1sUEsBAhQAFAAAAAgAh07iQIUmDf64AQAAVgMAAA4AAAAAAAAAAQAgAAAANAEAAGRycy9l&#10;Mm9Eb2MueG1sUEsFBgAAAAAGAAYAWQEAAF4FAAAAAA==&#10;">
              <v:fill on="f" focussize="0,0"/>
              <v:stroke on="f"/>
              <v:imagedata o:title=""/>
              <o:lock v:ext="edit" aspectratio="f"/>
              <v:textbox inset="0mm,0mm,0mm,0mm" style="mso-fit-shape-to-text:t;">
                <w:txbxContent>
                  <w:p>
                    <w:pPr>
                      <w:pStyle w:val="17"/>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- 49 -</w:t>
                    </w:r>
                    <w:r>
                      <w:rPr>
                        <w:rFonts w:hint="eastAsia" w:ascii="宋体" w:hAnsi="宋体" w:cs="宋体"/>
                        <w:sz w:val="28"/>
                        <w:szCs w:val="2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0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7"/>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- 75 -</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false">
                      <a:spAutoFit/>
                    </wps:bodyPr>
                  </wps:wsp>
                </a:graphicData>
              </a:graphic>
            </wp:anchor>
          </w:drawing>
        </mc:Choice>
        <mc:Fallback>
          <w:pict>
            <v:shape id="文本框 104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FgAAAGRy&#10;cy9QSwECFAAUAAAACACHTuJAzql5uc8AAAAFAQAADwAAAAAAAAABACAAAAA4AAAAZHJzL2Rvd25y&#10;ZXYueG1sUEsBAhQAFAAAAAgAh07iQG3AFqy4AQAAVgMAAA4AAAAAAAAAAQAgAAAANAEAAGRycy9l&#10;Mm9Eb2MueG1sUEsFBgAAAAAGAAYAWQEAAF4FAAAAAA==&#10;">
              <v:fill on="f" focussize="0,0"/>
              <v:stroke on="f"/>
              <v:imagedata o:title=""/>
              <o:lock v:ext="edit" aspectratio="f"/>
              <v:textbox inset="0mm,0mm,0mm,0mm" style="mso-fit-shape-to-text:t;">
                <w:txbxContent>
                  <w:p>
                    <w:pPr>
                      <w:pStyle w:val="17"/>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- 75 -</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rPr>
        <w:rFonts w:ascii="宋体" w:hAnsi="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025525" cy="265430"/>
              <wp:effectExtent l="0" t="0" r="0" b="0"/>
              <wp:wrapNone/>
              <wp:docPr id="18" name="文本框 1039"/>
              <wp:cNvGraphicFramePr/>
              <a:graphic xmlns:a="http://schemas.openxmlformats.org/drawingml/2006/main">
                <a:graphicData uri="http://schemas.microsoft.com/office/word/2010/wordprocessingShape">
                  <wps:wsp>
                    <wps:cNvSpPr txBox="true"/>
                    <wps:spPr>
                      <a:xfrm>
                        <a:off x="0" y="0"/>
                        <a:ext cx="1025525" cy="265430"/>
                      </a:xfrm>
                      <a:prstGeom prst="rect">
                        <a:avLst/>
                      </a:prstGeom>
                      <a:noFill/>
                      <a:ln>
                        <a:noFill/>
                      </a:ln>
                    </wps:spPr>
                    <wps:txbx>
                      <w:txbxContent>
                        <w:p>
                          <w:pPr>
                            <w:pStyle w:val="17"/>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- 74 -</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square" lIns="0" tIns="0" rIns="0" bIns="0" upright="false"/>
                  </wps:wsp>
                </a:graphicData>
              </a:graphic>
            </wp:anchor>
          </w:drawing>
        </mc:Choice>
        <mc:Fallback>
          <w:pict>
            <v:shape id="文本框 1039" o:spid="_x0000_s1026" o:spt="202" type="#_x0000_t202" style="position:absolute;left:0pt;margin-top:0pt;height:20.9pt;width:80.75pt;mso-position-horizontal:outside;mso-position-horizontal-relative:margin;z-index:251664384;mso-width-relative:page;mso-height-relative:page;" filled="f" stroked="f" coordsize="21600,21600" o:gfxdata="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BYAAABkcnMv&#10;UEsBAhQAFAAAAAgAh07iQN13ULfUAAAABAEAAA8AAAAAAAAAAQAgAAAAOAAAAGRycy9kb3ducmV2&#10;LnhtbFBLAQIUABQAAAAIAIdO4kDJgO4FsQEAAD0DAAAOAAAAAAAAAAEAIAAAADkBAABkcnMvZTJv&#10;RG9jLnhtbFBLBQYAAAAABgAGAFkBAABcBQAAAAA=&#10;">
              <v:fill on="f" focussize="0,0"/>
              <v:stroke on="f"/>
              <v:imagedata o:title=""/>
              <o:lock v:ext="edit" aspectratio="f"/>
              <v:textbox inset="0mm,0mm,0mm,0mm">
                <w:txbxContent>
                  <w:p>
                    <w:pPr>
                      <w:pStyle w:val="17"/>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- 74 -</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false"/>
  <w:bordersDoNotSurroundFooter w:val="false"/>
  <w:documentProtection w:enforcement="0"/>
  <w:defaultTabStop w:val="420"/>
  <w:hyphenationZone w:val="360"/>
  <w:evenAndOddHeaders w:val="true"/>
  <w:drawingGridHorizontalSpacing w:val="210"/>
  <w:drawingGridVerticalSpacing w:val="156"/>
  <w:displayHorizontalDrawingGridEvery w:val="1"/>
  <w:displayVerticalDrawingGridEvery w:val="1"/>
  <w:noPunctuationKerning w:val="true"/>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82E"/>
    <w:rsid w:val="00000973"/>
    <w:rsid w:val="00000D53"/>
    <w:rsid w:val="000032FC"/>
    <w:rsid w:val="00003E95"/>
    <w:rsid w:val="0000629B"/>
    <w:rsid w:val="000065EF"/>
    <w:rsid w:val="00010C4A"/>
    <w:rsid w:val="000135D2"/>
    <w:rsid w:val="00014BA6"/>
    <w:rsid w:val="000157ED"/>
    <w:rsid w:val="000158A7"/>
    <w:rsid w:val="00015DE0"/>
    <w:rsid w:val="00016600"/>
    <w:rsid w:val="00020D49"/>
    <w:rsid w:val="00022114"/>
    <w:rsid w:val="000244C2"/>
    <w:rsid w:val="00024F71"/>
    <w:rsid w:val="00031D9F"/>
    <w:rsid w:val="00032C2E"/>
    <w:rsid w:val="00035BDE"/>
    <w:rsid w:val="00035E5C"/>
    <w:rsid w:val="0003719C"/>
    <w:rsid w:val="000372F4"/>
    <w:rsid w:val="00037610"/>
    <w:rsid w:val="00037AF6"/>
    <w:rsid w:val="00037DF3"/>
    <w:rsid w:val="00041219"/>
    <w:rsid w:val="00042500"/>
    <w:rsid w:val="000432E8"/>
    <w:rsid w:val="0004343A"/>
    <w:rsid w:val="00043828"/>
    <w:rsid w:val="0004396B"/>
    <w:rsid w:val="00044A6E"/>
    <w:rsid w:val="000451F9"/>
    <w:rsid w:val="00045A43"/>
    <w:rsid w:val="00046212"/>
    <w:rsid w:val="0005097C"/>
    <w:rsid w:val="00052741"/>
    <w:rsid w:val="000549E2"/>
    <w:rsid w:val="000551CF"/>
    <w:rsid w:val="000552F5"/>
    <w:rsid w:val="00055452"/>
    <w:rsid w:val="00056E71"/>
    <w:rsid w:val="00057A57"/>
    <w:rsid w:val="00057D06"/>
    <w:rsid w:val="00061672"/>
    <w:rsid w:val="00061E7F"/>
    <w:rsid w:val="00062D10"/>
    <w:rsid w:val="00066A43"/>
    <w:rsid w:val="00070492"/>
    <w:rsid w:val="00070F74"/>
    <w:rsid w:val="000716B4"/>
    <w:rsid w:val="00073AC0"/>
    <w:rsid w:val="000743CC"/>
    <w:rsid w:val="000759DF"/>
    <w:rsid w:val="0007601B"/>
    <w:rsid w:val="000764FB"/>
    <w:rsid w:val="000774A1"/>
    <w:rsid w:val="00077C28"/>
    <w:rsid w:val="000803B3"/>
    <w:rsid w:val="00080907"/>
    <w:rsid w:val="00086FA1"/>
    <w:rsid w:val="00087261"/>
    <w:rsid w:val="0009046B"/>
    <w:rsid w:val="00090848"/>
    <w:rsid w:val="000923E9"/>
    <w:rsid w:val="00092FA5"/>
    <w:rsid w:val="00094278"/>
    <w:rsid w:val="000947B4"/>
    <w:rsid w:val="00096802"/>
    <w:rsid w:val="00097644"/>
    <w:rsid w:val="000A1B7E"/>
    <w:rsid w:val="000A1BD2"/>
    <w:rsid w:val="000A39BE"/>
    <w:rsid w:val="000A5175"/>
    <w:rsid w:val="000A5292"/>
    <w:rsid w:val="000A779B"/>
    <w:rsid w:val="000C1458"/>
    <w:rsid w:val="000C7740"/>
    <w:rsid w:val="000C78A3"/>
    <w:rsid w:val="000C7F1F"/>
    <w:rsid w:val="000C7F83"/>
    <w:rsid w:val="000D1BB9"/>
    <w:rsid w:val="000D3857"/>
    <w:rsid w:val="000E0112"/>
    <w:rsid w:val="000E0BB7"/>
    <w:rsid w:val="000E23AA"/>
    <w:rsid w:val="000E3E0E"/>
    <w:rsid w:val="000E3F78"/>
    <w:rsid w:val="000E4956"/>
    <w:rsid w:val="000E5ED4"/>
    <w:rsid w:val="000E602C"/>
    <w:rsid w:val="000E69B1"/>
    <w:rsid w:val="000F1D70"/>
    <w:rsid w:val="000F4351"/>
    <w:rsid w:val="000F4902"/>
    <w:rsid w:val="000F7136"/>
    <w:rsid w:val="000F798D"/>
    <w:rsid w:val="001002BF"/>
    <w:rsid w:val="00102D08"/>
    <w:rsid w:val="001033DB"/>
    <w:rsid w:val="00103F08"/>
    <w:rsid w:val="00104282"/>
    <w:rsid w:val="00104D55"/>
    <w:rsid w:val="0010554B"/>
    <w:rsid w:val="00105867"/>
    <w:rsid w:val="00105A39"/>
    <w:rsid w:val="00106BDE"/>
    <w:rsid w:val="0010732E"/>
    <w:rsid w:val="0010746A"/>
    <w:rsid w:val="00107F34"/>
    <w:rsid w:val="0011247C"/>
    <w:rsid w:val="001127F5"/>
    <w:rsid w:val="001149B4"/>
    <w:rsid w:val="00116468"/>
    <w:rsid w:val="001221F9"/>
    <w:rsid w:val="001277C3"/>
    <w:rsid w:val="001328FB"/>
    <w:rsid w:val="00134F5E"/>
    <w:rsid w:val="001355D5"/>
    <w:rsid w:val="00135C32"/>
    <w:rsid w:val="00140205"/>
    <w:rsid w:val="00144182"/>
    <w:rsid w:val="00145714"/>
    <w:rsid w:val="00145920"/>
    <w:rsid w:val="0014727A"/>
    <w:rsid w:val="001472E3"/>
    <w:rsid w:val="00147DE4"/>
    <w:rsid w:val="00150FDF"/>
    <w:rsid w:val="001575D2"/>
    <w:rsid w:val="00160040"/>
    <w:rsid w:val="00162F9D"/>
    <w:rsid w:val="001634EF"/>
    <w:rsid w:val="00163891"/>
    <w:rsid w:val="0016445F"/>
    <w:rsid w:val="00164AB2"/>
    <w:rsid w:val="0016580C"/>
    <w:rsid w:val="00165CA1"/>
    <w:rsid w:val="00167835"/>
    <w:rsid w:val="00171FB7"/>
    <w:rsid w:val="00172499"/>
    <w:rsid w:val="00172522"/>
    <w:rsid w:val="0017290D"/>
    <w:rsid w:val="00176A3B"/>
    <w:rsid w:val="00177494"/>
    <w:rsid w:val="00177F18"/>
    <w:rsid w:val="001802A4"/>
    <w:rsid w:val="0018089E"/>
    <w:rsid w:val="0018127E"/>
    <w:rsid w:val="00181A04"/>
    <w:rsid w:val="00182C4E"/>
    <w:rsid w:val="00190D59"/>
    <w:rsid w:val="001935F5"/>
    <w:rsid w:val="001947BB"/>
    <w:rsid w:val="001964F4"/>
    <w:rsid w:val="001967C6"/>
    <w:rsid w:val="001A20BC"/>
    <w:rsid w:val="001A405D"/>
    <w:rsid w:val="001A494F"/>
    <w:rsid w:val="001A4B40"/>
    <w:rsid w:val="001A5048"/>
    <w:rsid w:val="001A613A"/>
    <w:rsid w:val="001A6541"/>
    <w:rsid w:val="001A6E59"/>
    <w:rsid w:val="001B098F"/>
    <w:rsid w:val="001B14B6"/>
    <w:rsid w:val="001B183D"/>
    <w:rsid w:val="001B322F"/>
    <w:rsid w:val="001B361F"/>
    <w:rsid w:val="001B5B83"/>
    <w:rsid w:val="001B7396"/>
    <w:rsid w:val="001C1137"/>
    <w:rsid w:val="001C15CA"/>
    <w:rsid w:val="001C2156"/>
    <w:rsid w:val="001C25D7"/>
    <w:rsid w:val="001C48CB"/>
    <w:rsid w:val="001C5ECB"/>
    <w:rsid w:val="001D4373"/>
    <w:rsid w:val="001D45EB"/>
    <w:rsid w:val="001D79C7"/>
    <w:rsid w:val="001E041E"/>
    <w:rsid w:val="001E261C"/>
    <w:rsid w:val="001E477B"/>
    <w:rsid w:val="001E554E"/>
    <w:rsid w:val="001E6646"/>
    <w:rsid w:val="001E66F0"/>
    <w:rsid w:val="001F3452"/>
    <w:rsid w:val="001F53D5"/>
    <w:rsid w:val="001F7328"/>
    <w:rsid w:val="001F73B7"/>
    <w:rsid w:val="002009EE"/>
    <w:rsid w:val="00201313"/>
    <w:rsid w:val="00202F9A"/>
    <w:rsid w:val="00204A13"/>
    <w:rsid w:val="0020581A"/>
    <w:rsid w:val="0020618C"/>
    <w:rsid w:val="0021103F"/>
    <w:rsid w:val="00212A39"/>
    <w:rsid w:val="00213D69"/>
    <w:rsid w:val="00214675"/>
    <w:rsid w:val="00216C6C"/>
    <w:rsid w:val="002214B3"/>
    <w:rsid w:val="00221B7B"/>
    <w:rsid w:val="00224B6F"/>
    <w:rsid w:val="00225ECF"/>
    <w:rsid w:val="0022664D"/>
    <w:rsid w:val="002304F6"/>
    <w:rsid w:val="00231462"/>
    <w:rsid w:val="00233483"/>
    <w:rsid w:val="00233933"/>
    <w:rsid w:val="00233BAB"/>
    <w:rsid w:val="002361EF"/>
    <w:rsid w:val="00241514"/>
    <w:rsid w:val="00242F19"/>
    <w:rsid w:val="002447DB"/>
    <w:rsid w:val="002449FB"/>
    <w:rsid w:val="00244A7C"/>
    <w:rsid w:val="002460F3"/>
    <w:rsid w:val="00247FF0"/>
    <w:rsid w:val="00250A91"/>
    <w:rsid w:val="00251974"/>
    <w:rsid w:val="002540BB"/>
    <w:rsid w:val="00254389"/>
    <w:rsid w:val="00255EB3"/>
    <w:rsid w:val="00256B08"/>
    <w:rsid w:val="00260C0E"/>
    <w:rsid w:val="00263482"/>
    <w:rsid w:val="00266D3E"/>
    <w:rsid w:val="00271DAF"/>
    <w:rsid w:val="0027357F"/>
    <w:rsid w:val="00273F67"/>
    <w:rsid w:val="00274E62"/>
    <w:rsid w:val="002753B9"/>
    <w:rsid w:val="0027784D"/>
    <w:rsid w:val="00277C54"/>
    <w:rsid w:val="002816C1"/>
    <w:rsid w:val="0028179E"/>
    <w:rsid w:val="0028293C"/>
    <w:rsid w:val="00284A18"/>
    <w:rsid w:val="00284B7F"/>
    <w:rsid w:val="00287016"/>
    <w:rsid w:val="002931DF"/>
    <w:rsid w:val="00294B49"/>
    <w:rsid w:val="002966DB"/>
    <w:rsid w:val="0029714A"/>
    <w:rsid w:val="0029766B"/>
    <w:rsid w:val="002A0094"/>
    <w:rsid w:val="002A0DC5"/>
    <w:rsid w:val="002A2D6B"/>
    <w:rsid w:val="002B161E"/>
    <w:rsid w:val="002B1A6B"/>
    <w:rsid w:val="002B284E"/>
    <w:rsid w:val="002B3167"/>
    <w:rsid w:val="002B5A5E"/>
    <w:rsid w:val="002B648B"/>
    <w:rsid w:val="002B796D"/>
    <w:rsid w:val="002B79DF"/>
    <w:rsid w:val="002C0F16"/>
    <w:rsid w:val="002C1251"/>
    <w:rsid w:val="002C1E0B"/>
    <w:rsid w:val="002C61D5"/>
    <w:rsid w:val="002C78A2"/>
    <w:rsid w:val="002C796B"/>
    <w:rsid w:val="002D0217"/>
    <w:rsid w:val="002D18E5"/>
    <w:rsid w:val="002D2761"/>
    <w:rsid w:val="002D33C4"/>
    <w:rsid w:val="002D5ADA"/>
    <w:rsid w:val="002D6B24"/>
    <w:rsid w:val="002E047B"/>
    <w:rsid w:val="002E07B9"/>
    <w:rsid w:val="002E0A10"/>
    <w:rsid w:val="002E2411"/>
    <w:rsid w:val="002E5ECA"/>
    <w:rsid w:val="002E70DE"/>
    <w:rsid w:val="002F1464"/>
    <w:rsid w:val="002F3D17"/>
    <w:rsid w:val="002F49CF"/>
    <w:rsid w:val="002F6326"/>
    <w:rsid w:val="00300F15"/>
    <w:rsid w:val="00301241"/>
    <w:rsid w:val="00301E1E"/>
    <w:rsid w:val="00302299"/>
    <w:rsid w:val="00303D7E"/>
    <w:rsid w:val="003059C9"/>
    <w:rsid w:val="00307023"/>
    <w:rsid w:val="003072FA"/>
    <w:rsid w:val="00310022"/>
    <w:rsid w:val="00310B62"/>
    <w:rsid w:val="00311D95"/>
    <w:rsid w:val="003127B8"/>
    <w:rsid w:val="00312E6D"/>
    <w:rsid w:val="00314A4B"/>
    <w:rsid w:val="00315E62"/>
    <w:rsid w:val="00316CE7"/>
    <w:rsid w:val="003174F0"/>
    <w:rsid w:val="00321B6F"/>
    <w:rsid w:val="003229F9"/>
    <w:rsid w:val="003234AD"/>
    <w:rsid w:val="00323B1C"/>
    <w:rsid w:val="00324A49"/>
    <w:rsid w:val="00324A88"/>
    <w:rsid w:val="0032734B"/>
    <w:rsid w:val="00327719"/>
    <w:rsid w:val="003306BB"/>
    <w:rsid w:val="00330E23"/>
    <w:rsid w:val="00331741"/>
    <w:rsid w:val="00331C1F"/>
    <w:rsid w:val="00332EA9"/>
    <w:rsid w:val="0033312B"/>
    <w:rsid w:val="00334328"/>
    <w:rsid w:val="003344A4"/>
    <w:rsid w:val="003348B3"/>
    <w:rsid w:val="00334F1B"/>
    <w:rsid w:val="00336707"/>
    <w:rsid w:val="00336F85"/>
    <w:rsid w:val="0033784D"/>
    <w:rsid w:val="003416AF"/>
    <w:rsid w:val="003426EC"/>
    <w:rsid w:val="00342762"/>
    <w:rsid w:val="00342C0A"/>
    <w:rsid w:val="00342E94"/>
    <w:rsid w:val="003431CC"/>
    <w:rsid w:val="003445EE"/>
    <w:rsid w:val="00344B7D"/>
    <w:rsid w:val="003542F1"/>
    <w:rsid w:val="00356DA5"/>
    <w:rsid w:val="00357686"/>
    <w:rsid w:val="00357E48"/>
    <w:rsid w:val="00365AC6"/>
    <w:rsid w:val="003660F5"/>
    <w:rsid w:val="00366924"/>
    <w:rsid w:val="0037290A"/>
    <w:rsid w:val="00374571"/>
    <w:rsid w:val="003754F0"/>
    <w:rsid w:val="00376E32"/>
    <w:rsid w:val="0038133D"/>
    <w:rsid w:val="003829ED"/>
    <w:rsid w:val="00382E47"/>
    <w:rsid w:val="0038312F"/>
    <w:rsid w:val="003843E2"/>
    <w:rsid w:val="00385533"/>
    <w:rsid w:val="00393B14"/>
    <w:rsid w:val="003940FF"/>
    <w:rsid w:val="00397AAF"/>
    <w:rsid w:val="003A1D43"/>
    <w:rsid w:val="003A286F"/>
    <w:rsid w:val="003A5D37"/>
    <w:rsid w:val="003A7594"/>
    <w:rsid w:val="003A7EFE"/>
    <w:rsid w:val="003B062A"/>
    <w:rsid w:val="003B09C7"/>
    <w:rsid w:val="003B1234"/>
    <w:rsid w:val="003B46D8"/>
    <w:rsid w:val="003B4B79"/>
    <w:rsid w:val="003B4FE3"/>
    <w:rsid w:val="003B553B"/>
    <w:rsid w:val="003B5FE3"/>
    <w:rsid w:val="003B62C8"/>
    <w:rsid w:val="003C0CD4"/>
    <w:rsid w:val="003C108C"/>
    <w:rsid w:val="003C3744"/>
    <w:rsid w:val="003C3D24"/>
    <w:rsid w:val="003C4926"/>
    <w:rsid w:val="003C54FA"/>
    <w:rsid w:val="003D0AC6"/>
    <w:rsid w:val="003D1209"/>
    <w:rsid w:val="003D1A01"/>
    <w:rsid w:val="003D2D7E"/>
    <w:rsid w:val="003D4906"/>
    <w:rsid w:val="003D6406"/>
    <w:rsid w:val="003D6E61"/>
    <w:rsid w:val="003D7218"/>
    <w:rsid w:val="003D7740"/>
    <w:rsid w:val="003D78AA"/>
    <w:rsid w:val="003D7AEB"/>
    <w:rsid w:val="003E060D"/>
    <w:rsid w:val="003E5B43"/>
    <w:rsid w:val="003F5CA0"/>
    <w:rsid w:val="003F7CF2"/>
    <w:rsid w:val="00401806"/>
    <w:rsid w:val="00401D49"/>
    <w:rsid w:val="00405023"/>
    <w:rsid w:val="00405A15"/>
    <w:rsid w:val="00406B90"/>
    <w:rsid w:val="00412161"/>
    <w:rsid w:val="0041216F"/>
    <w:rsid w:val="0041464D"/>
    <w:rsid w:val="004160F3"/>
    <w:rsid w:val="00416D4E"/>
    <w:rsid w:val="004177F2"/>
    <w:rsid w:val="004201F9"/>
    <w:rsid w:val="00420E3D"/>
    <w:rsid w:val="00421C97"/>
    <w:rsid w:val="004232EE"/>
    <w:rsid w:val="0042673A"/>
    <w:rsid w:val="00427A22"/>
    <w:rsid w:val="00427CD9"/>
    <w:rsid w:val="00427DF2"/>
    <w:rsid w:val="00427E40"/>
    <w:rsid w:val="0043077A"/>
    <w:rsid w:val="00431232"/>
    <w:rsid w:val="00431BA3"/>
    <w:rsid w:val="004328A5"/>
    <w:rsid w:val="004354E4"/>
    <w:rsid w:val="00435CD7"/>
    <w:rsid w:val="00437B47"/>
    <w:rsid w:val="00440227"/>
    <w:rsid w:val="00441575"/>
    <w:rsid w:val="00442FC7"/>
    <w:rsid w:val="004441CF"/>
    <w:rsid w:val="00445829"/>
    <w:rsid w:val="00446B5F"/>
    <w:rsid w:val="00446F56"/>
    <w:rsid w:val="0045004E"/>
    <w:rsid w:val="004536FA"/>
    <w:rsid w:val="00453969"/>
    <w:rsid w:val="00453F43"/>
    <w:rsid w:val="00455EBD"/>
    <w:rsid w:val="00457C21"/>
    <w:rsid w:val="00457CA6"/>
    <w:rsid w:val="0046056D"/>
    <w:rsid w:val="0046145C"/>
    <w:rsid w:val="00462287"/>
    <w:rsid w:val="00463717"/>
    <w:rsid w:val="00465287"/>
    <w:rsid w:val="004678B9"/>
    <w:rsid w:val="00467E47"/>
    <w:rsid w:val="00470D5C"/>
    <w:rsid w:val="00470EEC"/>
    <w:rsid w:val="0047179E"/>
    <w:rsid w:val="00471F53"/>
    <w:rsid w:val="00474AE7"/>
    <w:rsid w:val="0047544E"/>
    <w:rsid w:val="00477BFB"/>
    <w:rsid w:val="00477CF9"/>
    <w:rsid w:val="00480BB2"/>
    <w:rsid w:val="00481852"/>
    <w:rsid w:val="004844E5"/>
    <w:rsid w:val="0048541C"/>
    <w:rsid w:val="004868FF"/>
    <w:rsid w:val="0049142A"/>
    <w:rsid w:val="00492D23"/>
    <w:rsid w:val="00493F7E"/>
    <w:rsid w:val="00494761"/>
    <w:rsid w:val="004A30E2"/>
    <w:rsid w:val="004A3E51"/>
    <w:rsid w:val="004A5B5E"/>
    <w:rsid w:val="004B16C4"/>
    <w:rsid w:val="004B1A10"/>
    <w:rsid w:val="004B22CD"/>
    <w:rsid w:val="004B25F5"/>
    <w:rsid w:val="004B338E"/>
    <w:rsid w:val="004B3CA3"/>
    <w:rsid w:val="004B7ECF"/>
    <w:rsid w:val="004C0532"/>
    <w:rsid w:val="004C0E88"/>
    <w:rsid w:val="004C0F7F"/>
    <w:rsid w:val="004C390E"/>
    <w:rsid w:val="004C3CD2"/>
    <w:rsid w:val="004C56A1"/>
    <w:rsid w:val="004C6ABD"/>
    <w:rsid w:val="004C71B6"/>
    <w:rsid w:val="004C7255"/>
    <w:rsid w:val="004D007C"/>
    <w:rsid w:val="004D1EDD"/>
    <w:rsid w:val="004D2DAA"/>
    <w:rsid w:val="004D426A"/>
    <w:rsid w:val="004D5BD8"/>
    <w:rsid w:val="004D68F0"/>
    <w:rsid w:val="004E1C93"/>
    <w:rsid w:val="004E1CA5"/>
    <w:rsid w:val="004E3792"/>
    <w:rsid w:val="004E5604"/>
    <w:rsid w:val="004E5DC9"/>
    <w:rsid w:val="004E6BC7"/>
    <w:rsid w:val="004E6DAE"/>
    <w:rsid w:val="004E7861"/>
    <w:rsid w:val="004F0022"/>
    <w:rsid w:val="004F219B"/>
    <w:rsid w:val="004F4167"/>
    <w:rsid w:val="004F4228"/>
    <w:rsid w:val="004F4FB8"/>
    <w:rsid w:val="004F567C"/>
    <w:rsid w:val="004F6314"/>
    <w:rsid w:val="004F63BF"/>
    <w:rsid w:val="005015EC"/>
    <w:rsid w:val="00501D9D"/>
    <w:rsid w:val="00501DBF"/>
    <w:rsid w:val="00502D83"/>
    <w:rsid w:val="0050369B"/>
    <w:rsid w:val="0050420A"/>
    <w:rsid w:val="00506493"/>
    <w:rsid w:val="005066D2"/>
    <w:rsid w:val="00507EBD"/>
    <w:rsid w:val="005101F4"/>
    <w:rsid w:val="005102B5"/>
    <w:rsid w:val="0051031C"/>
    <w:rsid w:val="005114B9"/>
    <w:rsid w:val="00512251"/>
    <w:rsid w:val="0051322D"/>
    <w:rsid w:val="00515D93"/>
    <w:rsid w:val="005163D3"/>
    <w:rsid w:val="00517490"/>
    <w:rsid w:val="00517C50"/>
    <w:rsid w:val="00517F4F"/>
    <w:rsid w:val="0052173E"/>
    <w:rsid w:val="005218EC"/>
    <w:rsid w:val="00521C03"/>
    <w:rsid w:val="0052696E"/>
    <w:rsid w:val="00526D5A"/>
    <w:rsid w:val="00527799"/>
    <w:rsid w:val="005312CF"/>
    <w:rsid w:val="00534676"/>
    <w:rsid w:val="00534BC9"/>
    <w:rsid w:val="00534D16"/>
    <w:rsid w:val="00535CA2"/>
    <w:rsid w:val="0054088D"/>
    <w:rsid w:val="005411EF"/>
    <w:rsid w:val="005423CA"/>
    <w:rsid w:val="00546902"/>
    <w:rsid w:val="00546B7A"/>
    <w:rsid w:val="0054730E"/>
    <w:rsid w:val="00547343"/>
    <w:rsid w:val="00547D63"/>
    <w:rsid w:val="00547DED"/>
    <w:rsid w:val="00550D50"/>
    <w:rsid w:val="00550EC9"/>
    <w:rsid w:val="005519B7"/>
    <w:rsid w:val="0055416B"/>
    <w:rsid w:val="00554BBC"/>
    <w:rsid w:val="00554E79"/>
    <w:rsid w:val="00555BB4"/>
    <w:rsid w:val="0055689D"/>
    <w:rsid w:val="00561DA2"/>
    <w:rsid w:val="00566F41"/>
    <w:rsid w:val="00570019"/>
    <w:rsid w:val="00571C0C"/>
    <w:rsid w:val="005726C2"/>
    <w:rsid w:val="00576C81"/>
    <w:rsid w:val="00577354"/>
    <w:rsid w:val="00583419"/>
    <w:rsid w:val="00584351"/>
    <w:rsid w:val="005844CB"/>
    <w:rsid w:val="0058478A"/>
    <w:rsid w:val="00585C07"/>
    <w:rsid w:val="00585DB3"/>
    <w:rsid w:val="005872E5"/>
    <w:rsid w:val="005873F6"/>
    <w:rsid w:val="00593392"/>
    <w:rsid w:val="005938A2"/>
    <w:rsid w:val="005977E2"/>
    <w:rsid w:val="005A3702"/>
    <w:rsid w:val="005A40A0"/>
    <w:rsid w:val="005A48C1"/>
    <w:rsid w:val="005A5D6E"/>
    <w:rsid w:val="005A62C1"/>
    <w:rsid w:val="005A66C4"/>
    <w:rsid w:val="005A6C27"/>
    <w:rsid w:val="005A7351"/>
    <w:rsid w:val="005A7BCA"/>
    <w:rsid w:val="005B2332"/>
    <w:rsid w:val="005B5B26"/>
    <w:rsid w:val="005B658F"/>
    <w:rsid w:val="005B6F32"/>
    <w:rsid w:val="005C13F5"/>
    <w:rsid w:val="005C1514"/>
    <w:rsid w:val="005C22D9"/>
    <w:rsid w:val="005C3561"/>
    <w:rsid w:val="005C3FE0"/>
    <w:rsid w:val="005C48E2"/>
    <w:rsid w:val="005C5D61"/>
    <w:rsid w:val="005C61BC"/>
    <w:rsid w:val="005C7E8C"/>
    <w:rsid w:val="005D200C"/>
    <w:rsid w:val="005D47FD"/>
    <w:rsid w:val="005D6232"/>
    <w:rsid w:val="005D7378"/>
    <w:rsid w:val="005D7996"/>
    <w:rsid w:val="005E3294"/>
    <w:rsid w:val="005E5317"/>
    <w:rsid w:val="005E7A76"/>
    <w:rsid w:val="005F0EA2"/>
    <w:rsid w:val="005F212E"/>
    <w:rsid w:val="005F2662"/>
    <w:rsid w:val="005F4546"/>
    <w:rsid w:val="005F4BB3"/>
    <w:rsid w:val="005F6A86"/>
    <w:rsid w:val="005F71EE"/>
    <w:rsid w:val="00600E4A"/>
    <w:rsid w:val="00601598"/>
    <w:rsid w:val="00601B91"/>
    <w:rsid w:val="0060232C"/>
    <w:rsid w:val="0060397C"/>
    <w:rsid w:val="00605722"/>
    <w:rsid w:val="006058FF"/>
    <w:rsid w:val="00605AAD"/>
    <w:rsid w:val="00605E8F"/>
    <w:rsid w:val="00611907"/>
    <w:rsid w:val="006143C9"/>
    <w:rsid w:val="00617529"/>
    <w:rsid w:val="00622F47"/>
    <w:rsid w:val="006270D4"/>
    <w:rsid w:val="00627461"/>
    <w:rsid w:val="006313A3"/>
    <w:rsid w:val="00631410"/>
    <w:rsid w:val="00631DC6"/>
    <w:rsid w:val="00632CD0"/>
    <w:rsid w:val="006343CB"/>
    <w:rsid w:val="00634F1A"/>
    <w:rsid w:val="00636273"/>
    <w:rsid w:val="00636901"/>
    <w:rsid w:val="00640491"/>
    <w:rsid w:val="00640555"/>
    <w:rsid w:val="0064181B"/>
    <w:rsid w:val="00645767"/>
    <w:rsid w:val="00645A15"/>
    <w:rsid w:val="00646021"/>
    <w:rsid w:val="00646708"/>
    <w:rsid w:val="006473B1"/>
    <w:rsid w:val="006479C5"/>
    <w:rsid w:val="006509C1"/>
    <w:rsid w:val="00651398"/>
    <w:rsid w:val="00652BDF"/>
    <w:rsid w:val="006545DA"/>
    <w:rsid w:val="006608D4"/>
    <w:rsid w:val="00661D64"/>
    <w:rsid w:val="00664038"/>
    <w:rsid w:val="00667495"/>
    <w:rsid w:val="00667E8D"/>
    <w:rsid w:val="0067099C"/>
    <w:rsid w:val="006816B4"/>
    <w:rsid w:val="00682EF5"/>
    <w:rsid w:val="006871DA"/>
    <w:rsid w:val="00687FE8"/>
    <w:rsid w:val="00690B54"/>
    <w:rsid w:val="00690BB3"/>
    <w:rsid w:val="00691546"/>
    <w:rsid w:val="00692188"/>
    <w:rsid w:val="00695D58"/>
    <w:rsid w:val="00697CC1"/>
    <w:rsid w:val="006A4A8A"/>
    <w:rsid w:val="006B1569"/>
    <w:rsid w:val="006B1A23"/>
    <w:rsid w:val="006B35DF"/>
    <w:rsid w:val="006B52F8"/>
    <w:rsid w:val="006C1E32"/>
    <w:rsid w:val="006C3FB8"/>
    <w:rsid w:val="006C6961"/>
    <w:rsid w:val="006C69DB"/>
    <w:rsid w:val="006C6B60"/>
    <w:rsid w:val="006D2BB0"/>
    <w:rsid w:val="006D3385"/>
    <w:rsid w:val="006D4486"/>
    <w:rsid w:val="006D4DDB"/>
    <w:rsid w:val="006D5FE6"/>
    <w:rsid w:val="006D67E0"/>
    <w:rsid w:val="006E092D"/>
    <w:rsid w:val="006E1654"/>
    <w:rsid w:val="006E1BCF"/>
    <w:rsid w:val="006E41A6"/>
    <w:rsid w:val="006E5672"/>
    <w:rsid w:val="006E71C2"/>
    <w:rsid w:val="006F06C5"/>
    <w:rsid w:val="006F06FC"/>
    <w:rsid w:val="006F28DF"/>
    <w:rsid w:val="006F3F55"/>
    <w:rsid w:val="006F777E"/>
    <w:rsid w:val="00703226"/>
    <w:rsid w:val="00703383"/>
    <w:rsid w:val="00704920"/>
    <w:rsid w:val="007051DD"/>
    <w:rsid w:val="00705BBF"/>
    <w:rsid w:val="00706A3E"/>
    <w:rsid w:val="00707255"/>
    <w:rsid w:val="0070775E"/>
    <w:rsid w:val="0071356E"/>
    <w:rsid w:val="0071421C"/>
    <w:rsid w:val="00717852"/>
    <w:rsid w:val="007203CA"/>
    <w:rsid w:val="007204B6"/>
    <w:rsid w:val="00721BF8"/>
    <w:rsid w:val="00721CD0"/>
    <w:rsid w:val="00723847"/>
    <w:rsid w:val="0072399E"/>
    <w:rsid w:val="007242CE"/>
    <w:rsid w:val="00724EE4"/>
    <w:rsid w:val="007342D2"/>
    <w:rsid w:val="007344F6"/>
    <w:rsid w:val="00736BC3"/>
    <w:rsid w:val="0074094C"/>
    <w:rsid w:val="007419F6"/>
    <w:rsid w:val="0074211F"/>
    <w:rsid w:val="0074291B"/>
    <w:rsid w:val="0074308E"/>
    <w:rsid w:val="0074308F"/>
    <w:rsid w:val="0074660F"/>
    <w:rsid w:val="007509B4"/>
    <w:rsid w:val="00750B60"/>
    <w:rsid w:val="00750B93"/>
    <w:rsid w:val="00751088"/>
    <w:rsid w:val="00751CFA"/>
    <w:rsid w:val="00752113"/>
    <w:rsid w:val="007528B3"/>
    <w:rsid w:val="00755275"/>
    <w:rsid w:val="007573B4"/>
    <w:rsid w:val="00760B59"/>
    <w:rsid w:val="007619C8"/>
    <w:rsid w:val="00761FBF"/>
    <w:rsid w:val="00762213"/>
    <w:rsid w:val="00764637"/>
    <w:rsid w:val="0076474A"/>
    <w:rsid w:val="007663B9"/>
    <w:rsid w:val="00766AF0"/>
    <w:rsid w:val="00771A0B"/>
    <w:rsid w:val="00772E39"/>
    <w:rsid w:val="00775515"/>
    <w:rsid w:val="00777329"/>
    <w:rsid w:val="007804CB"/>
    <w:rsid w:val="007811A5"/>
    <w:rsid w:val="007819F6"/>
    <w:rsid w:val="00782977"/>
    <w:rsid w:val="00783134"/>
    <w:rsid w:val="00784997"/>
    <w:rsid w:val="00786808"/>
    <w:rsid w:val="007900E3"/>
    <w:rsid w:val="00796338"/>
    <w:rsid w:val="007A0BE4"/>
    <w:rsid w:val="007A2FC0"/>
    <w:rsid w:val="007A38CB"/>
    <w:rsid w:val="007A5084"/>
    <w:rsid w:val="007A50E8"/>
    <w:rsid w:val="007A5858"/>
    <w:rsid w:val="007A7236"/>
    <w:rsid w:val="007B2B71"/>
    <w:rsid w:val="007B5282"/>
    <w:rsid w:val="007B5325"/>
    <w:rsid w:val="007B5CA9"/>
    <w:rsid w:val="007B5EB5"/>
    <w:rsid w:val="007C00BE"/>
    <w:rsid w:val="007C2C31"/>
    <w:rsid w:val="007C615F"/>
    <w:rsid w:val="007D0246"/>
    <w:rsid w:val="007D1596"/>
    <w:rsid w:val="007D19D5"/>
    <w:rsid w:val="007D3B1C"/>
    <w:rsid w:val="007D47EA"/>
    <w:rsid w:val="007D533E"/>
    <w:rsid w:val="007D650C"/>
    <w:rsid w:val="007D6EDF"/>
    <w:rsid w:val="007E3A51"/>
    <w:rsid w:val="007E4BEF"/>
    <w:rsid w:val="007E532B"/>
    <w:rsid w:val="007E55E2"/>
    <w:rsid w:val="007E6FD0"/>
    <w:rsid w:val="007F42F3"/>
    <w:rsid w:val="007F5C3C"/>
    <w:rsid w:val="007F60C3"/>
    <w:rsid w:val="008014BF"/>
    <w:rsid w:val="00802194"/>
    <w:rsid w:val="00805D31"/>
    <w:rsid w:val="00806961"/>
    <w:rsid w:val="008114C1"/>
    <w:rsid w:val="00811674"/>
    <w:rsid w:val="008126FB"/>
    <w:rsid w:val="00812EDD"/>
    <w:rsid w:val="00813F47"/>
    <w:rsid w:val="00814410"/>
    <w:rsid w:val="00815C17"/>
    <w:rsid w:val="00816457"/>
    <w:rsid w:val="00817DF9"/>
    <w:rsid w:val="008209AE"/>
    <w:rsid w:val="00820AC0"/>
    <w:rsid w:val="00820BCA"/>
    <w:rsid w:val="00820E34"/>
    <w:rsid w:val="008216EF"/>
    <w:rsid w:val="00823F20"/>
    <w:rsid w:val="00823F2F"/>
    <w:rsid w:val="00831C5B"/>
    <w:rsid w:val="00832AE1"/>
    <w:rsid w:val="00833887"/>
    <w:rsid w:val="00836F12"/>
    <w:rsid w:val="0084263B"/>
    <w:rsid w:val="00843DFB"/>
    <w:rsid w:val="00845415"/>
    <w:rsid w:val="00846C23"/>
    <w:rsid w:val="00850CF9"/>
    <w:rsid w:val="00852884"/>
    <w:rsid w:val="00853BDC"/>
    <w:rsid w:val="00853E5E"/>
    <w:rsid w:val="00854260"/>
    <w:rsid w:val="0085474B"/>
    <w:rsid w:val="00861C0D"/>
    <w:rsid w:val="00861CA2"/>
    <w:rsid w:val="00861CBF"/>
    <w:rsid w:val="008631A3"/>
    <w:rsid w:val="00865613"/>
    <w:rsid w:val="00865F36"/>
    <w:rsid w:val="00865FEB"/>
    <w:rsid w:val="00866572"/>
    <w:rsid w:val="00866991"/>
    <w:rsid w:val="00867228"/>
    <w:rsid w:val="008706C8"/>
    <w:rsid w:val="0087464B"/>
    <w:rsid w:val="008756ED"/>
    <w:rsid w:val="00876ECE"/>
    <w:rsid w:val="00877988"/>
    <w:rsid w:val="00881644"/>
    <w:rsid w:val="0088170C"/>
    <w:rsid w:val="008819CB"/>
    <w:rsid w:val="00881DF7"/>
    <w:rsid w:val="00882357"/>
    <w:rsid w:val="00883807"/>
    <w:rsid w:val="00885EC5"/>
    <w:rsid w:val="00886D2B"/>
    <w:rsid w:val="00886F2E"/>
    <w:rsid w:val="0089174E"/>
    <w:rsid w:val="0089286F"/>
    <w:rsid w:val="00893582"/>
    <w:rsid w:val="00893DC2"/>
    <w:rsid w:val="00895645"/>
    <w:rsid w:val="00896F9A"/>
    <w:rsid w:val="008A15A3"/>
    <w:rsid w:val="008A19EE"/>
    <w:rsid w:val="008A2F41"/>
    <w:rsid w:val="008A3375"/>
    <w:rsid w:val="008A4357"/>
    <w:rsid w:val="008B1838"/>
    <w:rsid w:val="008B19E8"/>
    <w:rsid w:val="008B310B"/>
    <w:rsid w:val="008B50FD"/>
    <w:rsid w:val="008B5791"/>
    <w:rsid w:val="008C1807"/>
    <w:rsid w:val="008C3A95"/>
    <w:rsid w:val="008C4253"/>
    <w:rsid w:val="008C5491"/>
    <w:rsid w:val="008C6344"/>
    <w:rsid w:val="008C63FF"/>
    <w:rsid w:val="008C6816"/>
    <w:rsid w:val="008C7296"/>
    <w:rsid w:val="008C7435"/>
    <w:rsid w:val="008C75ED"/>
    <w:rsid w:val="008C7F91"/>
    <w:rsid w:val="008D2438"/>
    <w:rsid w:val="008D2470"/>
    <w:rsid w:val="008D5ADF"/>
    <w:rsid w:val="008D652E"/>
    <w:rsid w:val="008D6551"/>
    <w:rsid w:val="008D7B06"/>
    <w:rsid w:val="008E3CA9"/>
    <w:rsid w:val="008E42C8"/>
    <w:rsid w:val="008E63D4"/>
    <w:rsid w:val="008E6423"/>
    <w:rsid w:val="008F0B11"/>
    <w:rsid w:val="008F25D3"/>
    <w:rsid w:val="008F4F43"/>
    <w:rsid w:val="008F5940"/>
    <w:rsid w:val="008F5CE6"/>
    <w:rsid w:val="008F5FCF"/>
    <w:rsid w:val="008F6142"/>
    <w:rsid w:val="008F61A8"/>
    <w:rsid w:val="009002C6"/>
    <w:rsid w:val="0090153F"/>
    <w:rsid w:val="00903954"/>
    <w:rsid w:val="00906EA1"/>
    <w:rsid w:val="00907698"/>
    <w:rsid w:val="00907B08"/>
    <w:rsid w:val="00907C63"/>
    <w:rsid w:val="00910A10"/>
    <w:rsid w:val="00916916"/>
    <w:rsid w:val="009219AE"/>
    <w:rsid w:val="009239FA"/>
    <w:rsid w:val="00926F76"/>
    <w:rsid w:val="00930F84"/>
    <w:rsid w:val="00932242"/>
    <w:rsid w:val="009344E4"/>
    <w:rsid w:val="009378FB"/>
    <w:rsid w:val="00937A82"/>
    <w:rsid w:val="00943FA9"/>
    <w:rsid w:val="00944288"/>
    <w:rsid w:val="0094516E"/>
    <w:rsid w:val="00945FBD"/>
    <w:rsid w:val="00951612"/>
    <w:rsid w:val="00953DA5"/>
    <w:rsid w:val="00953F87"/>
    <w:rsid w:val="00954FCD"/>
    <w:rsid w:val="0095545E"/>
    <w:rsid w:val="00957182"/>
    <w:rsid w:val="009579E0"/>
    <w:rsid w:val="00957F70"/>
    <w:rsid w:val="00961921"/>
    <w:rsid w:val="00963236"/>
    <w:rsid w:val="00965A1D"/>
    <w:rsid w:val="009710CF"/>
    <w:rsid w:val="00971216"/>
    <w:rsid w:val="00971D2C"/>
    <w:rsid w:val="0097334B"/>
    <w:rsid w:val="009741D4"/>
    <w:rsid w:val="00975D15"/>
    <w:rsid w:val="00976A7F"/>
    <w:rsid w:val="00976AA1"/>
    <w:rsid w:val="00976C0E"/>
    <w:rsid w:val="0098058F"/>
    <w:rsid w:val="009815AD"/>
    <w:rsid w:val="00981B1B"/>
    <w:rsid w:val="00982566"/>
    <w:rsid w:val="00982877"/>
    <w:rsid w:val="00983A86"/>
    <w:rsid w:val="00983AE1"/>
    <w:rsid w:val="00984370"/>
    <w:rsid w:val="00987BB5"/>
    <w:rsid w:val="009910A1"/>
    <w:rsid w:val="00994671"/>
    <w:rsid w:val="009952A6"/>
    <w:rsid w:val="009971F9"/>
    <w:rsid w:val="009A0C6A"/>
    <w:rsid w:val="009A0DEF"/>
    <w:rsid w:val="009A1BED"/>
    <w:rsid w:val="009A27E9"/>
    <w:rsid w:val="009A399A"/>
    <w:rsid w:val="009A3A3E"/>
    <w:rsid w:val="009B298E"/>
    <w:rsid w:val="009B2BD7"/>
    <w:rsid w:val="009B4032"/>
    <w:rsid w:val="009B5DC3"/>
    <w:rsid w:val="009B6265"/>
    <w:rsid w:val="009B7B4D"/>
    <w:rsid w:val="009C0682"/>
    <w:rsid w:val="009C1C09"/>
    <w:rsid w:val="009C1C17"/>
    <w:rsid w:val="009C1D3B"/>
    <w:rsid w:val="009C3B58"/>
    <w:rsid w:val="009C74D2"/>
    <w:rsid w:val="009D08C2"/>
    <w:rsid w:val="009D0D2D"/>
    <w:rsid w:val="009D186E"/>
    <w:rsid w:val="009D19F1"/>
    <w:rsid w:val="009D27A3"/>
    <w:rsid w:val="009D3CE5"/>
    <w:rsid w:val="009D5FBC"/>
    <w:rsid w:val="009D6E72"/>
    <w:rsid w:val="009D7560"/>
    <w:rsid w:val="009D7CAD"/>
    <w:rsid w:val="009E06FD"/>
    <w:rsid w:val="009E0A1F"/>
    <w:rsid w:val="009E35C3"/>
    <w:rsid w:val="009E3D5E"/>
    <w:rsid w:val="009E3EED"/>
    <w:rsid w:val="009E626B"/>
    <w:rsid w:val="009E68C7"/>
    <w:rsid w:val="009E6E17"/>
    <w:rsid w:val="009E771B"/>
    <w:rsid w:val="009F124C"/>
    <w:rsid w:val="009F24CA"/>
    <w:rsid w:val="009F5D20"/>
    <w:rsid w:val="00A008C0"/>
    <w:rsid w:val="00A0304F"/>
    <w:rsid w:val="00A03682"/>
    <w:rsid w:val="00A04BF8"/>
    <w:rsid w:val="00A14CB5"/>
    <w:rsid w:val="00A15A09"/>
    <w:rsid w:val="00A15C65"/>
    <w:rsid w:val="00A23A70"/>
    <w:rsid w:val="00A24047"/>
    <w:rsid w:val="00A243CF"/>
    <w:rsid w:val="00A24CB1"/>
    <w:rsid w:val="00A25845"/>
    <w:rsid w:val="00A261DD"/>
    <w:rsid w:val="00A34FD9"/>
    <w:rsid w:val="00A3519C"/>
    <w:rsid w:val="00A35CAC"/>
    <w:rsid w:val="00A369D1"/>
    <w:rsid w:val="00A406F6"/>
    <w:rsid w:val="00A44A1F"/>
    <w:rsid w:val="00A44AC7"/>
    <w:rsid w:val="00A45F4D"/>
    <w:rsid w:val="00A46A69"/>
    <w:rsid w:val="00A4725F"/>
    <w:rsid w:val="00A51B11"/>
    <w:rsid w:val="00A52561"/>
    <w:rsid w:val="00A52B29"/>
    <w:rsid w:val="00A540E7"/>
    <w:rsid w:val="00A549F0"/>
    <w:rsid w:val="00A56920"/>
    <w:rsid w:val="00A57DA5"/>
    <w:rsid w:val="00A609BE"/>
    <w:rsid w:val="00A635AE"/>
    <w:rsid w:val="00A6421D"/>
    <w:rsid w:val="00A65E03"/>
    <w:rsid w:val="00A66A4C"/>
    <w:rsid w:val="00A66BC4"/>
    <w:rsid w:val="00A66E9A"/>
    <w:rsid w:val="00A67E59"/>
    <w:rsid w:val="00A70E8B"/>
    <w:rsid w:val="00A71058"/>
    <w:rsid w:val="00A7359C"/>
    <w:rsid w:val="00A73FF1"/>
    <w:rsid w:val="00A742F6"/>
    <w:rsid w:val="00A81EEB"/>
    <w:rsid w:val="00A8266E"/>
    <w:rsid w:val="00A83F53"/>
    <w:rsid w:val="00A863F2"/>
    <w:rsid w:val="00A925DC"/>
    <w:rsid w:val="00A9273A"/>
    <w:rsid w:val="00A931A4"/>
    <w:rsid w:val="00A93405"/>
    <w:rsid w:val="00A94984"/>
    <w:rsid w:val="00A94EDE"/>
    <w:rsid w:val="00A96798"/>
    <w:rsid w:val="00AA0016"/>
    <w:rsid w:val="00AA3979"/>
    <w:rsid w:val="00AA480E"/>
    <w:rsid w:val="00AA54EF"/>
    <w:rsid w:val="00AA56C3"/>
    <w:rsid w:val="00AA705B"/>
    <w:rsid w:val="00AA76DE"/>
    <w:rsid w:val="00AA7FFB"/>
    <w:rsid w:val="00AB1A43"/>
    <w:rsid w:val="00AB7837"/>
    <w:rsid w:val="00AC18A2"/>
    <w:rsid w:val="00AC33E3"/>
    <w:rsid w:val="00AC4A1F"/>
    <w:rsid w:val="00AC4C68"/>
    <w:rsid w:val="00AC6E68"/>
    <w:rsid w:val="00AC743B"/>
    <w:rsid w:val="00AC76A1"/>
    <w:rsid w:val="00AD1E46"/>
    <w:rsid w:val="00AD7370"/>
    <w:rsid w:val="00AE08F4"/>
    <w:rsid w:val="00AE0F0C"/>
    <w:rsid w:val="00AF0AFC"/>
    <w:rsid w:val="00AF0C8B"/>
    <w:rsid w:val="00AF1C2A"/>
    <w:rsid w:val="00AF2DDE"/>
    <w:rsid w:val="00AF328E"/>
    <w:rsid w:val="00AF3829"/>
    <w:rsid w:val="00AF4708"/>
    <w:rsid w:val="00AF604C"/>
    <w:rsid w:val="00AF6168"/>
    <w:rsid w:val="00AF7CAB"/>
    <w:rsid w:val="00B00EB9"/>
    <w:rsid w:val="00B023CB"/>
    <w:rsid w:val="00B03E37"/>
    <w:rsid w:val="00B049FB"/>
    <w:rsid w:val="00B06454"/>
    <w:rsid w:val="00B10B9E"/>
    <w:rsid w:val="00B13C79"/>
    <w:rsid w:val="00B15E64"/>
    <w:rsid w:val="00B16A73"/>
    <w:rsid w:val="00B17F68"/>
    <w:rsid w:val="00B20A57"/>
    <w:rsid w:val="00B21569"/>
    <w:rsid w:val="00B229C1"/>
    <w:rsid w:val="00B27F07"/>
    <w:rsid w:val="00B30742"/>
    <w:rsid w:val="00B312F1"/>
    <w:rsid w:val="00B32246"/>
    <w:rsid w:val="00B32A0E"/>
    <w:rsid w:val="00B336E2"/>
    <w:rsid w:val="00B339DF"/>
    <w:rsid w:val="00B34E4D"/>
    <w:rsid w:val="00B36A7A"/>
    <w:rsid w:val="00B41599"/>
    <w:rsid w:val="00B416B6"/>
    <w:rsid w:val="00B4265E"/>
    <w:rsid w:val="00B50152"/>
    <w:rsid w:val="00B504B2"/>
    <w:rsid w:val="00B51254"/>
    <w:rsid w:val="00B53168"/>
    <w:rsid w:val="00B55045"/>
    <w:rsid w:val="00B55177"/>
    <w:rsid w:val="00B56F1C"/>
    <w:rsid w:val="00B57C03"/>
    <w:rsid w:val="00B61607"/>
    <w:rsid w:val="00B625B7"/>
    <w:rsid w:val="00B626EC"/>
    <w:rsid w:val="00B62E48"/>
    <w:rsid w:val="00B64CA0"/>
    <w:rsid w:val="00B67006"/>
    <w:rsid w:val="00B6770B"/>
    <w:rsid w:val="00B738EB"/>
    <w:rsid w:val="00B747F3"/>
    <w:rsid w:val="00B757C0"/>
    <w:rsid w:val="00B759C4"/>
    <w:rsid w:val="00B768B5"/>
    <w:rsid w:val="00B772E6"/>
    <w:rsid w:val="00B817E0"/>
    <w:rsid w:val="00B832CD"/>
    <w:rsid w:val="00B83872"/>
    <w:rsid w:val="00B8443A"/>
    <w:rsid w:val="00B8489B"/>
    <w:rsid w:val="00B85FD5"/>
    <w:rsid w:val="00B87953"/>
    <w:rsid w:val="00B90BA8"/>
    <w:rsid w:val="00B92DC5"/>
    <w:rsid w:val="00B93379"/>
    <w:rsid w:val="00B94565"/>
    <w:rsid w:val="00B949D8"/>
    <w:rsid w:val="00B9515D"/>
    <w:rsid w:val="00B95D6C"/>
    <w:rsid w:val="00B96429"/>
    <w:rsid w:val="00B96B10"/>
    <w:rsid w:val="00B97BCA"/>
    <w:rsid w:val="00BA1739"/>
    <w:rsid w:val="00BA2B6D"/>
    <w:rsid w:val="00BA2CDB"/>
    <w:rsid w:val="00BA7F76"/>
    <w:rsid w:val="00BB012B"/>
    <w:rsid w:val="00BB0AC9"/>
    <w:rsid w:val="00BB0D39"/>
    <w:rsid w:val="00BB2333"/>
    <w:rsid w:val="00BB234B"/>
    <w:rsid w:val="00BB4854"/>
    <w:rsid w:val="00BB4F8A"/>
    <w:rsid w:val="00BB583D"/>
    <w:rsid w:val="00BB65B1"/>
    <w:rsid w:val="00BB72EC"/>
    <w:rsid w:val="00BB7398"/>
    <w:rsid w:val="00BB73F7"/>
    <w:rsid w:val="00BC1FB0"/>
    <w:rsid w:val="00BC2A34"/>
    <w:rsid w:val="00BC3899"/>
    <w:rsid w:val="00BD2EDA"/>
    <w:rsid w:val="00BD6F89"/>
    <w:rsid w:val="00BD74F1"/>
    <w:rsid w:val="00BE115F"/>
    <w:rsid w:val="00BE162A"/>
    <w:rsid w:val="00BE5062"/>
    <w:rsid w:val="00BE5274"/>
    <w:rsid w:val="00BE7673"/>
    <w:rsid w:val="00BF1212"/>
    <w:rsid w:val="00BF253E"/>
    <w:rsid w:val="00BF3AD6"/>
    <w:rsid w:val="00BF6363"/>
    <w:rsid w:val="00BF76B2"/>
    <w:rsid w:val="00C05104"/>
    <w:rsid w:val="00C056BB"/>
    <w:rsid w:val="00C05AC1"/>
    <w:rsid w:val="00C0639D"/>
    <w:rsid w:val="00C10942"/>
    <w:rsid w:val="00C14D64"/>
    <w:rsid w:val="00C15DB2"/>
    <w:rsid w:val="00C17775"/>
    <w:rsid w:val="00C17838"/>
    <w:rsid w:val="00C20E85"/>
    <w:rsid w:val="00C2193A"/>
    <w:rsid w:val="00C22530"/>
    <w:rsid w:val="00C24544"/>
    <w:rsid w:val="00C24A60"/>
    <w:rsid w:val="00C25304"/>
    <w:rsid w:val="00C2575C"/>
    <w:rsid w:val="00C260FF"/>
    <w:rsid w:val="00C26777"/>
    <w:rsid w:val="00C2742E"/>
    <w:rsid w:val="00C31DDC"/>
    <w:rsid w:val="00C327E5"/>
    <w:rsid w:val="00C33660"/>
    <w:rsid w:val="00C35DCB"/>
    <w:rsid w:val="00C35E44"/>
    <w:rsid w:val="00C36ACE"/>
    <w:rsid w:val="00C41224"/>
    <w:rsid w:val="00C43830"/>
    <w:rsid w:val="00C44869"/>
    <w:rsid w:val="00C45F57"/>
    <w:rsid w:val="00C4642B"/>
    <w:rsid w:val="00C46EF9"/>
    <w:rsid w:val="00C5020E"/>
    <w:rsid w:val="00C55D72"/>
    <w:rsid w:val="00C56962"/>
    <w:rsid w:val="00C56FE9"/>
    <w:rsid w:val="00C64616"/>
    <w:rsid w:val="00C64A98"/>
    <w:rsid w:val="00C65847"/>
    <w:rsid w:val="00C660EB"/>
    <w:rsid w:val="00C66A21"/>
    <w:rsid w:val="00C6702F"/>
    <w:rsid w:val="00C7082D"/>
    <w:rsid w:val="00C71802"/>
    <w:rsid w:val="00C73DC5"/>
    <w:rsid w:val="00C75FFF"/>
    <w:rsid w:val="00C77F09"/>
    <w:rsid w:val="00C80734"/>
    <w:rsid w:val="00C82BC3"/>
    <w:rsid w:val="00C84496"/>
    <w:rsid w:val="00C848C4"/>
    <w:rsid w:val="00C84C97"/>
    <w:rsid w:val="00C84F23"/>
    <w:rsid w:val="00C85068"/>
    <w:rsid w:val="00C85192"/>
    <w:rsid w:val="00C86AC9"/>
    <w:rsid w:val="00C873C7"/>
    <w:rsid w:val="00C94BCF"/>
    <w:rsid w:val="00C95E81"/>
    <w:rsid w:val="00C9618B"/>
    <w:rsid w:val="00C96624"/>
    <w:rsid w:val="00C97C73"/>
    <w:rsid w:val="00CA1206"/>
    <w:rsid w:val="00CA1E74"/>
    <w:rsid w:val="00CA29C6"/>
    <w:rsid w:val="00CA4881"/>
    <w:rsid w:val="00CA52A7"/>
    <w:rsid w:val="00CB0768"/>
    <w:rsid w:val="00CB175B"/>
    <w:rsid w:val="00CB2C72"/>
    <w:rsid w:val="00CB2D43"/>
    <w:rsid w:val="00CB5353"/>
    <w:rsid w:val="00CB58DE"/>
    <w:rsid w:val="00CB7EE2"/>
    <w:rsid w:val="00CC12BC"/>
    <w:rsid w:val="00CC312F"/>
    <w:rsid w:val="00CC340A"/>
    <w:rsid w:val="00CC757A"/>
    <w:rsid w:val="00CD0E4E"/>
    <w:rsid w:val="00CD1F16"/>
    <w:rsid w:val="00CD2888"/>
    <w:rsid w:val="00CD2FBC"/>
    <w:rsid w:val="00CD5F27"/>
    <w:rsid w:val="00CD729F"/>
    <w:rsid w:val="00CE08EF"/>
    <w:rsid w:val="00CE237C"/>
    <w:rsid w:val="00CE2CF0"/>
    <w:rsid w:val="00CE3487"/>
    <w:rsid w:val="00CE375C"/>
    <w:rsid w:val="00CE5369"/>
    <w:rsid w:val="00CE5DE5"/>
    <w:rsid w:val="00CE5F90"/>
    <w:rsid w:val="00CE618D"/>
    <w:rsid w:val="00CF4433"/>
    <w:rsid w:val="00CF4649"/>
    <w:rsid w:val="00CF577D"/>
    <w:rsid w:val="00CF5EB6"/>
    <w:rsid w:val="00CF5F77"/>
    <w:rsid w:val="00D02206"/>
    <w:rsid w:val="00D03BEC"/>
    <w:rsid w:val="00D042DF"/>
    <w:rsid w:val="00D0596C"/>
    <w:rsid w:val="00D05A4E"/>
    <w:rsid w:val="00D06B5B"/>
    <w:rsid w:val="00D06B71"/>
    <w:rsid w:val="00D0786C"/>
    <w:rsid w:val="00D11630"/>
    <w:rsid w:val="00D12456"/>
    <w:rsid w:val="00D1431B"/>
    <w:rsid w:val="00D14C89"/>
    <w:rsid w:val="00D163E7"/>
    <w:rsid w:val="00D16FC3"/>
    <w:rsid w:val="00D17065"/>
    <w:rsid w:val="00D1769B"/>
    <w:rsid w:val="00D22233"/>
    <w:rsid w:val="00D2463E"/>
    <w:rsid w:val="00D255F1"/>
    <w:rsid w:val="00D264EF"/>
    <w:rsid w:val="00D273A4"/>
    <w:rsid w:val="00D30B90"/>
    <w:rsid w:val="00D311FD"/>
    <w:rsid w:val="00D3172B"/>
    <w:rsid w:val="00D326BF"/>
    <w:rsid w:val="00D339A0"/>
    <w:rsid w:val="00D3438F"/>
    <w:rsid w:val="00D351DD"/>
    <w:rsid w:val="00D367A4"/>
    <w:rsid w:val="00D4039F"/>
    <w:rsid w:val="00D40838"/>
    <w:rsid w:val="00D44207"/>
    <w:rsid w:val="00D45896"/>
    <w:rsid w:val="00D47084"/>
    <w:rsid w:val="00D47531"/>
    <w:rsid w:val="00D53BCA"/>
    <w:rsid w:val="00D56541"/>
    <w:rsid w:val="00D56621"/>
    <w:rsid w:val="00D61456"/>
    <w:rsid w:val="00D6194D"/>
    <w:rsid w:val="00D6372C"/>
    <w:rsid w:val="00D64196"/>
    <w:rsid w:val="00D642AA"/>
    <w:rsid w:val="00D668C5"/>
    <w:rsid w:val="00D701CA"/>
    <w:rsid w:val="00D7063F"/>
    <w:rsid w:val="00D75126"/>
    <w:rsid w:val="00D7650E"/>
    <w:rsid w:val="00D767D3"/>
    <w:rsid w:val="00D844C8"/>
    <w:rsid w:val="00D86897"/>
    <w:rsid w:val="00D8745F"/>
    <w:rsid w:val="00D90EFB"/>
    <w:rsid w:val="00D91B8A"/>
    <w:rsid w:val="00D92947"/>
    <w:rsid w:val="00D956B9"/>
    <w:rsid w:val="00D958D7"/>
    <w:rsid w:val="00D97ACF"/>
    <w:rsid w:val="00DA0940"/>
    <w:rsid w:val="00DA2374"/>
    <w:rsid w:val="00DA2558"/>
    <w:rsid w:val="00DA5632"/>
    <w:rsid w:val="00DA58C1"/>
    <w:rsid w:val="00DA5F89"/>
    <w:rsid w:val="00DA61CC"/>
    <w:rsid w:val="00DA6DEF"/>
    <w:rsid w:val="00DB2215"/>
    <w:rsid w:val="00DB305C"/>
    <w:rsid w:val="00DB3B62"/>
    <w:rsid w:val="00DB443B"/>
    <w:rsid w:val="00DB45D8"/>
    <w:rsid w:val="00DB4D12"/>
    <w:rsid w:val="00DB4DB4"/>
    <w:rsid w:val="00DB7445"/>
    <w:rsid w:val="00DB7FE3"/>
    <w:rsid w:val="00DC0594"/>
    <w:rsid w:val="00DC06B2"/>
    <w:rsid w:val="00DC589A"/>
    <w:rsid w:val="00DC63CE"/>
    <w:rsid w:val="00DC6A9E"/>
    <w:rsid w:val="00DC7AE0"/>
    <w:rsid w:val="00DD0EE8"/>
    <w:rsid w:val="00DD213A"/>
    <w:rsid w:val="00DD351D"/>
    <w:rsid w:val="00DD3EE1"/>
    <w:rsid w:val="00DD5558"/>
    <w:rsid w:val="00DD6598"/>
    <w:rsid w:val="00DE0E38"/>
    <w:rsid w:val="00DE11D3"/>
    <w:rsid w:val="00DE16F1"/>
    <w:rsid w:val="00DE347F"/>
    <w:rsid w:val="00DE3860"/>
    <w:rsid w:val="00DE44BE"/>
    <w:rsid w:val="00DE4A46"/>
    <w:rsid w:val="00DE5066"/>
    <w:rsid w:val="00DE5896"/>
    <w:rsid w:val="00DE7052"/>
    <w:rsid w:val="00DF29AB"/>
    <w:rsid w:val="00DF5B7E"/>
    <w:rsid w:val="00DF5DD8"/>
    <w:rsid w:val="00E00A6D"/>
    <w:rsid w:val="00E01D11"/>
    <w:rsid w:val="00E03E87"/>
    <w:rsid w:val="00E04515"/>
    <w:rsid w:val="00E1253F"/>
    <w:rsid w:val="00E12800"/>
    <w:rsid w:val="00E2017E"/>
    <w:rsid w:val="00E21CE0"/>
    <w:rsid w:val="00E21E72"/>
    <w:rsid w:val="00E238E7"/>
    <w:rsid w:val="00E2475C"/>
    <w:rsid w:val="00E24DA7"/>
    <w:rsid w:val="00E2516D"/>
    <w:rsid w:val="00E26676"/>
    <w:rsid w:val="00E2743A"/>
    <w:rsid w:val="00E30A9E"/>
    <w:rsid w:val="00E30DFB"/>
    <w:rsid w:val="00E328DB"/>
    <w:rsid w:val="00E33BA6"/>
    <w:rsid w:val="00E35720"/>
    <w:rsid w:val="00E35CFE"/>
    <w:rsid w:val="00E36843"/>
    <w:rsid w:val="00E374F9"/>
    <w:rsid w:val="00E375A8"/>
    <w:rsid w:val="00E4003B"/>
    <w:rsid w:val="00E40B9C"/>
    <w:rsid w:val="00E40D4B"/>
    <w:rsid w:val="00E421DE"/>
    <w:rsid w:val="00E42711"/>
    <w:rsid w:val="00E43459"/>
    <w:rsid w:val="00E470D4"/>
    <w:rsid w:val="00E47C28"/>
    <w:rsid w:val="00E51727"/>
    <w:rsid w:val="00E5261B"/>
    <w:rsid w:val="00E53A39"/>
    <w:rsid w:val="00E53EE3"/>
    <w:rsid w:val="00E54B0F"/>
    <w:rsid w:val="00E57988"/>
    <w:rsid w:val="00E60F0C"/>
    <w:rsid w:val="00E6121D"/>
    <w:rsid w:val="00E63332"/>
    <w:rsid w:val="00E66D91"/>
    <w:rsid w:val="00E6721C"/>
    <w:rsid w:val="00E6757B"/>
    <w:rsid w:val="00E6771D"/>
    <w:rsid w:val="00E72DFA"/>
    <w:rsid w:val="00E73257"/>
    <w:rsid w:val="00E735F7"/>
    <w:rsid w:val="00E73766"/>
    <w:rsid w:val="00E84685"/>
    <w:rsid w:val="00E84DBD"/>
    <w:rsid w:val="00E85D8C"/>
    <w:rsid w:val="00E87E01"/>
    <w:rsid w:val="00E90275"/>
    <w:rsid w:val="00E903FE"/>
    <w:rsid w:val="00E905C0"/>
    <w:rsid w:val="00E93CC7"/>
    <w:rsid w:val="00E94622"/>
    <w:rsid w:val="00E95208"/>
    <w:rsid w:val="00E97949"/>
    <w:rsid w:val="00EA18CA"/>
    <w:rsid w:val="00EA24A0"/>
    <w:rsid w:val="00EA272D"/>
    <w:rsid w:val="00EA5F25"/>
    <w:rsid w:val="00EB0D6E"/>
    <w:rsid w:val="00EB794C"/>
    <w:rsid w:val="00EC1746"/>
    <w:rsid w:val="00EC2FF9"/>
    <w:rsid w:val="00EC3DC4"/>
    <w:rsid w:val="00EC42AA"/>
    <w:rsid w:val="00EC7016"/>
    <w:rsid w:val="00ED2AF2"/>
    <w:rsid w:val="00ED38B3"/>
    <w:rsid w:val="00ED4BE2"/>
    <w:rsid w:val="00ED6298"/>
    <w:rsid w:val="00ED6DA0"/>
    <w:rsid w:val="00ED737A"/>
    <w:rsid w:val="00ED74CB"/>
    <w:rsid w:val="00ED785A"/>
    <w:rsid w:val="00EE0E51"/>
    <w:rsid w:val="00EE23AF"/>
    <w:rsid w:val="00EE2B89"/>
    <w:rsid w:val="00EE3559"/>
    <w:rsid w:val="00EE54C1"/>
    <w:rsid w:val="00EE5508"/>
    <w:rsid w:val="00EE621D"/>
    <w:rsid w:val="00EE62BB"/>
    <w:rsid w:val="00EF2531"/>
    <w:rsid w:val="00EF416A"/>
    <w:rsid w:val="00EF4D07"/>
    <w:rsid w:val="00EF5329"/>
    <w:rsid w:val="00EF6FF7"/>
    <w:rsid w:val="00F05ACE"/>
    <w:rsid w:val="00F1061C"/>
    <w:rsid w:val="00F106E3"/>
    <w:rsid w:val="00F131EB"/>
    <w:rsid w:val="00F1392D"/>
    <w:rsid w:val="00F14F66"/>
    <w:rsid w:val="00F15150"/>
    <w:rsid w:val="00F1515E"/>
    <w:rsid w:val="00F17F6F"/>
    <w:rsid w:val="00F20025"/>
    <w:rsid w:val="00F20A23"/>
    <w:rsid w:val="00F263A1"/>
    <w:rsid w:val="00F435A9"/>
    <w:rsid w:val="00F53171"/>
    <w:rsid w:val="00F5374D"/>
    <w:rsid w:val="00F54DA5"/>
    <w:rsid w:val="00F630EA"/>
    <w:rsid w:val="00F6318E"/>
    <w:rsid w:val="00F63788"/>
    <w:rsid w:val="00F63807"/>
    <w:rsid w:val="00F64C9F"/>
    <w:rsid w:val="00F6543F"/>
    <w:rsid w:val="00F65EE9"/>
    <w:rsid w:val="00F66E53"/>
    <w:rsid w:val="00F67329"/>
    <w:rsid w:val="00F72825"/>
    <w:rsid w:val="00F735CF"/>
    <w:rsid w:val="00F739F3"/>
    <w:rsid w:val="00F73B09"/>
    <w:rsid w:val="00F74DAA"/>
    <w:rsid w:val="00F764F7"/>
    <w:rsid w:val="00F76800"/>
    <w:rsid w:val="00F76ADF"/>
    <w:rsid w:val="00F804BD"/>
    <w:rsid w:val="00F80662"/>
    <w:rsid w:val="00F83C45"/>
    <w:rsid w:val="00F84BFC"/>
    <w:rsid w:val="00F8500E"/>
    <w:rsid w:val="00F857C0"/>
    <w:rsid w:val="00F85D64"/>
    <w:rsid w:val="00F85ECC"/>
    <w:rsid w:val="00F877BB"/>
    <w:rsid w:val="00F90557"/>
    <w:rsid w:val="00F92644"/>
    <w:rsid w:val="00F93660"/>
    <w:rsid w:val="00F94C74"/>
    <w:rsid w:val="00F954D5"/>
    <w:rsid w:val="00F95647"/>
    <w:rsid w:val="00F958E4"/>
    <w:rsid w:val="00F9673F"/>
    <w:rsid w:val="00FA07A1"/>
    <w:rsid w:val="00FA10B1"/>
    <w:rsid w:val="00FA230E"/>
    <w:rsid w:val="00FA34FC"/>
    <w:rsid w:val="00FA3745"/>
    <w:rsid w:val="00FA402F"/>
    <w:rsid w:val="00FA4D9E"/>
    <w:rsid w:val="00FA79DE"/>
    <w:rsid w:val="00FB2788"/>
    <w:rsid w:val="00FB6D50"/>
    <w:rsid w:val="00FB6F84"/>
    <w:rsid w:val="00FC083C"/>
    <w:rsid w:val="00FC1F11"/>
    <w:rsid w:val="00FC20AA"/>
    <w:rsid w:val="00FC3DAB"/>
    <w:rsid w:val="00FC52D5"/>
    <w:rsid w:val="00FC7CB4"/>
    <w:rsid w:val="00FD27BF"/>
    <w:rsid w:val="00FD27F0"/>
    <w:rsid w:val="00FD3B26"/>
    <w:rsid w:val="00FD40BC"/>
    <w:rsid w:val="00FD710D"/>
    <w:rsid w:val="00FD7734"/>
    <w:rsid w:val="00FD7D5B"/>
    <w:rsid w:val="00FE0803"/>
    <w:rsid w:val="00FE1BA6"/>
    <w:rsid w:val="00FE2B31"/>
    <w:rsid w:val="00FE2B32"/>
    <w:rsid w:val="00FE377C"/>
    <w:rsid w:val="00FE3E98"/>
    <w:rsid w:val="00FE4421"/>
    <w:rsid w:val="00FE678A"/>
    <w:rsid w:val="00FF1CFB"/>
    <w:rsid w:val="00FF5C95"/>
    <w:rsid w:val="01987045"/>
    <w:rsid w:val="01F82F78"/>
    <w:rsid w:val="03750E19"/>
    <w:rsid w:val="060C4E95"/>
    <w:rsid w:val="07B26B5D"/>
    <w:rsid w:val="08D56A3C"/>
    <w:rsid w:val="0D5D0D88"/>
    <w:rsid w:val="0E5B734D"/>
    <w:rsid w:val="0FCD162E"/>
    <w:rsid w:val="10AC7BE7"/>
    <w:rsid w:val="11044FFA"/>
    <w:rsid w:val="12877CC9"/>
    <w:rsid w:val="12A317AA"/>
    <w:rsid w:val="135F299D"/>
    <w:rsid w:val="14160EF6"/>
    <w:rsid w:val="14AE694D"/>
    <w:rsid w:val="18336E70"/>
    <w:rsid w:val="18590B7E"/>
    <w:rsid w:val="19894026"/>
    <w:rsid w:val="19F3151D"/>
    <w:rsid w:val="1BEF4BF9"/>
    <w:rsid w:val="1D212657"/>
    <w:rsid w:val="1DF5C8F3"/>
    <w:rsid w:val="216243AE"/>
    <w:rsid w:val="21873FDD"/>
    <w:rsid w:val="219B02D3"/>
    <w:rsid w:val="21B61A25"/>
    <w:rsid w:val="24BC7AAE"/>
    <w:rsid w:val="292214AB"/>
    <w:rsid w:val="29602E99"/>
    <w:rsid w:val="297C5C45"/>
    <w:rsid w:val="2AD46CA5"/>
    <w:rsid w:val="2B46797C"/>
    <w:rsid w:val="2E6464F1"/>
    <w:rsid w:val="2EFC1BBE"/>
    <w:rsid w:val="2F1D3728"/>
    <w:rsid w:val="30402E87"/>
    <w:rsid w:val="30B00D45"/>
    <w:rsid w:val="33295693"/>
    <w:rsid w:val="33DC40EA"/>
    <w:rsid w:val="359D4CE9"/>
    <w:rsid w:val="366B122E"/>
    <w:rsid w:val="37000326"/>
    <w:rsid w:val="37861EAA"/>
    <w:rsid w:val="3892000C"/>
    <w:rsid w:val="38CF2721"/>
    <w:rsid w:val="3937510E"/>
    <w:rsid w:val="3A852341"/>
    <w:rsid w:val="3ABB27C1"/>
    <w:rsid w:val="3ACE6361"/>
    <w:rsid w:val="3B641447"/>
    <w:rsid w:val="3BE623CD"/>
    <w:rsid w:val="3C3258A2"/>
    <w:rsid w:val="3CC15BA8"/>
    <w:rsid w:val="416E0FDB"/>
    <w:rsid w:val="441A0D28"/>
    <w:rsid w:val="4610375F"/>
    <w:rsid w:val="461923FD"/>
    <w:rsid w:val="46D76A7A"/>
    <w:rsid w:val="47745A86"/>
    <w:rsid w:val="48515BCA"/>
    <w:rsid w:val="488E5B41"/>
    <w:rsid w:val="4A5015C3"/>
    <w:rsid w:val="4B0C7C1E"/>
    <w:rsid w:val="4C7F154C"/>
    <w:rsid w:val="4E127996"/>
    <w:rsid w:val="52BB6C5F"/>
    <w:rsid w:val="545848A9"/>
    <w:rsid w:val="550C198E"/>
    <w:rsid w:val="55B62EC8"/>
    <w:rsid w:val="567250FE"/>
    <w:rsid w:val="5912657A"/>
    <w:rsid w:val="5A9E2B87"/>
    <w:rsid w:val="5B9C2EA6"/>
    <w:rsid w:val="5C884BA1"/>
    <w:rsid w:val="5D135FB7"/>
    <w:rsid w:val="6033317B"/>
    <w:rsid w:val="61F37399"/>
    <w:rsid w:val="61FE30E5"/>
    <w:rsid w:val="624F3F6F"/>
    <w:rsid w:val="629B7B05"/>
    <w:rsid w:val="638E56FA"/>
    <w:rsid w:val="659A6201"/>
    <w:rsid w:val="660D121A"/>
    <w:rsid w:val="67883798"/>
    <w:rsid w:val="68D13573"/>
    <w:rsid w:val="6FFC3F44"/>
    <w:rsid w:val="722D7C68"/>
    <w:rsid w:val="72626CB6"/>
    <w:rsid w:val="72D246BB"/>
    <w:rsid w:val="732110CB"/>
    <w:rsid w:val="73674F65"/>
    <w:rsid w:val="73E22A5B"/>
    <w:rsid w:val="7467545A"/>
    <w:rsid w:val="765B3AC8"/>
    <w:rsid w:val="76627DA9"/>
    <w:rsid w:val="76670432"/>
    <w:rsid w:val="7CFFB7F3"/>
    <w:rsid w:val="7EC50121"/>
    <w:rsid w:val="7F9529AC"/>
    <w:rsid w:val="D7B791C3"/>
    <w:rsid w:val="ED5339B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qFormat="1" w:unhideWhenUsed="0" w:uiPriority="0" w:semiHidden="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99"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spacing w:before="104" w:after="104" w:line="0" w:lineRule="atLeast"/>
      <w:ind w:left="432" w:hanging="432"/>
      <w:jc w:val="center"/>
      <w:textAlignment w:val="bottom"/>
      <w:outlineLvl w:val="0"/>
    </w:pPr>
    <w:rPr>
      <w:rFonts w:ascii="Arial Black" w:hAnsi="Arial Black" w:eastAsia="方正小标宋简体"/>
      <w:kern w:val="0"/>
      <w:sz w:val="36"/>
      <w:szCs w:val="20"/>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38"/>
    <w:qFormat/>
    <w:uiPriority w:val="0"/>
    <w:pPr>
      <w:keepNext/>
      <w:keepLines/>
      <w:spacing w:before="260" w:after="260" w:line="416" w:lineRule="auto"/>
      <w:outlineLvl w:val="2"/>
    </w:pPr>
    <w:rPr>
      <w:b/>
      <w:bCs/>
      <w:sz w:val="32"/>
      <w:szCs w:val="32"/>
    </w:rPr>
  </w:style>
  <w:style w:type="paragraph" w:styleId="5">
    <w:name w:val="heading 4"/>
    <w:basedOn w:val="3"/>
    <w:next w:val="1"/>
    <w:qFormat/>
    <w:uiPriority w:val="9"/>
    <w:pPr>
      <w:ind w:firstLine="640" w:firstLineChars="200"/>
      <w:outlineLvl w:val="3"/>
    </w:pPr>
    <w:rPr>
      <w:rFonts w:ascii="方正楷体_GBK" w:eastAsia="方正楷体_GBK"/>
      <w:sz w:val="32"/>
      <w:szCs w:val="32"/>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260"/>
      <w:jc w:val="left"/>
    </w:pPr>
    <w:rPr>
      <w:sz w:val="18"/>
      <w:szCs w:val="18"/>
    </w:rPr>
  </w:style>
  <w:style w:type="paragraph" w:styleId="7">
    <w:name w:val="Normal Indent"/>
    <w:basedOn w:val="1"/>
    <w:next w:val="1"/>
    <w:qFormat/>
    <w:uiPriority w:val="99"/>
    <w:pPr>
      <w:ind w:firstLine="420" w:firstLineChars="200"/>
    </w:pPr>
  </w:style>
  <w:style w:type="paragraph" w:styleId="8">
    <w:name w:val="annotation text"/>
    <w:basedOn w:val="1"/>
    <w:link w:val="39"/>
    <w:qFormat/>
    <w:uiPriority w:val="0"/>
    <w:pPr>
      <w:jc w:val="left"/>
    </w:pPr>
  </w:style>
  <w:style w:type="paragraph" w:styleId="9">
    <w:name w:val="Body Text"/>
    <w:basedOn w:val="1"/>
    <w:next w:val="10"/>
    <w:link w:val="40"/>
    <w:qFormat/>
    <w:uiPriority w:val="99"/>
    <w:pPr>
      <w:spacing w:line="560" w:lineRule="exact"/>
    </w:pPr>
    <w:rPr>
      <w:rFonts w:ascii="仿宋_GB2312" w:hAnsi="Times New Roman" w:eastAsia="仿宋_GB2312"/>
      <w:sz w:val="32"/>
      <w:szCs w:val="20"/>
    </w:rPr>
  </w:style>
  <w:style w:type="paragraph" w:customStyle="1" w:styleId="10">
    <w:name w:val="索引 51"/>
    <w:basedOn w:val="1"/>
    <w:next w:val="1"/>
    <w:qFormat/>
    <w:uiPriority w:val="0"/>
    <w:pPr>
      <w:ind w:left="1680"/>
    </w:pPr>
  </w:style>
  <w:style w:type="paragraph" w:styleId="11">
    <w:name w:val="Body Text Indent"/>
    <w:basedOn w:val="1"/>
    <w:link w:val="41"/>
    <w:unhideWhenUsed/>
    <w:qFormat/>
    <w:uiPriority w:val="0"/>
    <w:pPr>
      <w:spacing w:after="120"/>
      <w:ind w:left="420" w:leftChars="200"/>
    </w:pPr>
  </w:style>
  <w:style w:type="paragraph" w:styleId="12">
    <w:name w:val="toc 5"/>
    <w:basedOn w:val="1"/>
    <w:next w:val="1"/>
    <w:qFormat/>
    <w:uiPriority w:val="0"/>
    <w:pPr>
      <w:ind w:left="840"/>
      <w:jc w:val="left"/>
    </w:pPr>
    <w:rPr>
      <w:sz w:val="18"/>
      <w:szCs w:val="18"/>
    </w:rPr>
  </w:style>
  <w:style w:type="paragraph" w:styleId="13">
    <w:name w:val="toc 3"/>
    <w:basedOn w:val="1"/>
    <w:next w:val="1"/>
    <w:qFormat/>
    <w:uiPriority w:val="0"/>
    <w:pPr>
      <w:ind w:left="420"/>
      <w:jc w:val="left"/>
    </w:pPr>
    <w:rPr>
      <w:i/>
      <w:iCs/>
      <w:sz w:val="20"/>
      <w:szCs w:val="20"/>
    </w:rPr>
  </w:style>
  <w:style w:type="paragraph" w:styleId="14">
    <w:name w:val="toc 8"/>
    <w:basedOn w:val="1"/>
    <w:next w:val="1"/>
    <w:qFormat/>
    <w:uiPriority w:val="0"/>
    <w:pPr>
      <w:ind w:left="1470"/>
      <w:jc w:val="left"/>
    </w:pPr>
    <w:rPr>
      <w:sz w:val="18"/>
      <w:szCs w:val="18"/>
    </w:rPr>
  </w:style>
  <w:style w:type="paragraph" w:styleId="15">
    <w:name w:val="Date"/>
    <w:basedOn w:val="1"/>
    <w:next w:val="1"/>
    <w:link w:val="42"/>
    <w:qFormat/>
    <w:uiPriority w:val="0"/>
    <w:pPr>
      <w:ind w:left="100" w:leftChars="2500"/>
    </w:pPr>
  </w:style>
  <w:style w:type="paragraph" w:styleId="16">
    <w:name w:val="Balloon Text"/>
    <w:basedOn w:val="1"/>
    <w:link w:val="43"/>
    <w:qFormat/>
    <w:uiPriority w:val="0"/>
    <w:rPr>
      <w:sz w:val="18"/>
      <w:szCs w:val="18"/>
    </w:rPr>
  </w:style>
  <w:style w:type="paragraph" w:styleId="17">
    <w:name w:val="footer"/>
    <w:basedOn w:val="1"/>
    <w:link w:val="44"/>
    <w:qFormat/>
    <w:uiPriority w:val="99"/>
    <w:pPr>
      <w:tabs>
        <w:tab w:val="center" w:pos="4153"/>
        <w:tab w:val="right" w:pos="8306"/>
      </w:tabs>
      <w:snapToGrid w:val="0"/>
      <w:jc w:val="left"/>
    </w:pPr>
    <w:rPr>
      <w:sz w:val="18"/>
      <w:szCs w:val="18"/>
    </w:rPr>
  </w:style>
  <w:style w:type="paragraph" w:styleId="18">
    <w:name w:val="header"/>
    <w:basedOn w:val="1"/>
    <w:next w:val="1"/>
    <w:link w:val="45"/>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tabs>
        <w:tab w:val="right" w:leader="dot" w:pos="8890"/>
      </w:tabs>
      <w:spacing w:before="120" w:after="120"/>
      <w:jc w:val="center"/>
    </w:pPr>
    <w:rPr>
      <w:rFonts w:ascii="方正黑体_GBK" w:hAnsi="方正黑体_GBK" w:eastAsia="方正黑体_GBK" w:cs="方正黑体_GBK"/>
      <w:b/>
      <w:bCs/>
      <w:caps/>
      <w:spacing w:val="-9"/>
      <w:sz w:val="28"/>
      <w:szCs w:val="28"/>
    </w:rPr>
  </w:style>
  <w:style w:type="paragraph" w:styleId="20">
    <w:name w:val="toc 4"/>
    <w:basedOn w:val="1"/>
    <w:next w:val="1"/>
    <w:qFormat/>
    <w:uiPriority w:val="0"/>
    <w:pPr>
      <w:ind w:left="630"/>
      <w:jc w:val="left"/>
    </w:pPr>
    <w:rPr>
      <w:sz w:val="18"/>
      <w:szCs w:val="18"/>
    </w:rPr>
  </w:style>
  <w:style w:type="paragraph" w:styleId="21">
    <w:name w:val="footnote text"/>
    <w:basedOn w:val="1"/>
    <w:link w:val="46"/>
    <w:qFormat/>
    <w:uiPriority w:val="0"/>
    <w:pPr>
      <w:snapToGrid w:val="0"/>
      <w:jc w:val="left"/>
    </w:pPr>
    <w:rPr>
      <w:rFonts w:eastAsia="方正仿宋_GBK"/>
      <w:sz w:val="18"/>
      <w:szCs w:val="18"/>
    </w:rPr>
  </w:style>
  <w:style w:type="paragraph" w:styleId="22">
    <w:name w:val="toc 6"/>
    <w:basedOn w:val="1"/>
    <w:next w:val="1"/>
    <w:qFormat/>
    <w:uiPriority w:val="0"/>
    <w:pPr>
      <w:ind w:left="1050"/>
      <w:jc w:val="left"/>
    </w:pPr>
    <w:rPr>
      <w:sz w:val="18"/>
      <w:szCs w:val="18"/>
    </w:rPr>
  </w:style>
  <w:style w:type="paragraph" w:styleId="23">
    <w:name w:val="table of figures"/>
    <w:basedOn w:val="1"/>
    <w:next w:val="1"/>
    <w:qFormat/>
    <w:uiPriority w:val="0"/>
    <w:pPr>
      <w:ind w:left="200" w:leftChars="200" w:hanging="200" w:hangingChars="200"/>
    </w:pPr>
  </w:style>
  <w:style w:type="paragraph" w:styleId="24">
    <w:name w:val="toc 2"/>
    <w:basedOn w:val="1"/>
    <w:next w:val="1"/>
    <w:qFormat/>
    <w:uiPriority w:val="39"/>
    <w:pPr>
      <w:tabs>
        <w:tab w:val="right" w:leader="dot" w:pos="8890"/>
      </w:tabs>
      <w:ind w:left="210"/>
      <w:jc w:val="left"/>
    </w:pPr>
    <w:rPr>
      <w:rFonts w:ascii="方正黑体_GBK" w:hAnsi="方正黑体_GBK" w:eastAsia="方正黑体_GBK" w:cs="方正黑体_GBK"/>
      <w:smallCaps/>
      <w:spacing w:val="-9"/>
      <w:sz w:val="28"/>
      <w:szCs w:val="28"/>
    </w:rPr>
  </w:style>
  <w:style w:type="paragraph" w:styleId="25">
    <w:name w:val="toc 9"/>
    <w:basedOn w:val="1"/>
    <w:next w:val="1"/>
    <w:qFormat/>
    <w:uiPriority w:val="0"/>
    <w:pPr>
      <w:ind w:left="1680"/>
      <w:jc w:val="left"/>
    </w:pPr>
    <w:rPr>
      <w:sz w:val="18"/>
      <w:szCs w:val="18"/>
    </w:rPr>
  </w:style>
  <w:style w:type="paragraph" w:styleId="26">
    <w:name w:val="Normal (Web)"/>
    <w:basedOn w:val="1"/>
    <w:qFormat/>
    <w:uiPriority w:val="99"/>
    <w:pPr>
      <w:spacing w:beforeAutospacing="1" w:after="100" w:afterAutospacing="1"/>
    </w:pPr>
    <w:rPr>
      <w:rFonts w:ascii="Calibri" w:hAnsi="Calibri" w:eastAsia="宋体" w:cs="Times New Roman"/>
      <w:sz w:val="24"/>
      <w:szCs w:val="24"/>
    </w:rPr>
  </w:style>
  <w:style w:type="paragraph" w:styleId="27">
    <w:name w:val="Body Text First Indent 2"/>
    <w:basedOn w:val="11"/>
    <w:link w:val="47"/>
    <w:unhideWhenUsed/>
    <w:qFormat/>
    <w:uiPriority w:val="0"/>
    <w:pPr>
      <w:ind w:firstLine="420" w:firstLineChars="200"/>
    </w:p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22"/>
    <w:rPr>
      <w:b/>
      <w:bCs/>
    </w:rPr>
  </w:style>
  <w:style w:type="character" w:styleId="32">
    <w:name w:val="page number"/>
    <w:basedOn w:val="30"/>
    <w:qFormat/>
    <w:uiPriority w:val="0"/>
  </w:style>
  <w:style w:type="character" w:styleId="33">
    <w:name w:val="FollowedHyperlink"/>
    <w:unhideWhenUsed/>
    <w:qFormat/>
    <w:uiPriority w:val="99"/>
    <w:rPr>
      <w:color w:val="954F72"/>
      <w:u w:val="single"/>
    </w:rPr>
  </w:style>
  <w:style w:type="character" w:styleId="34">
    <w:name w:val="Emphasis"/>
    <w:qFormat/>
    <w:uiPriority w:val="20"/>
    <w:rPr>
      <w:i/>
    </w:rPr>
  </w:style>
  <w:style w:type="character" w:styleId="35">
    <w:name w:val="Hyperlink"/>
    <w:unhideWhenUsed/>
    <w:qFormat/>
    <w:uiPriority w:val="99"/>
    <w:rPr>
      <w:color w:val="0563C1"/>
      <w:u w:val="single"/>
    </w:rPr>
  </w:style>
  <w:style w:type="character" w:styleId="36">
    <w:name w:val="annotation reference"/>
    <w:qFormat/>
    <w:uiPriority w:val="0"/>
    <w:rPr>
      <w:sz w:val="21"/>
      <w:szCs w:val="21"/>
    </w:rPr>
  </w:style>
  <w:style w:type="character" w:styleId="37">
    <w:name w:val="footnote reference"/>
    <w:qFormat/>
    <w:uiPriority w:val="0"/>
    <w:rPr>
      <w:vertAlign w:val="superscript"/>
    </w:rPr>
  </w:style>
  <w:style w:type="character" w:customStyle="1" w:styleId="38">
    <w:name w:val="标题 3 Char"/>
    <w:link w:val="4"/>
    <w:semiHidden/>
    <w:qFormat/>
    <w:uiPriority w:val="0"/>
    <w:rPr>
      <w:rFonts w:ascii="Calibri" w:hAnsi="Calibri" w:eastAsia="宋体" w:cs="Times New Roman"/>
      <w:b/>
      <w:bCs/>
      <w:kern w:val="2"/>
      <w:sz w:val="32"/>
      <w:szCs w:val="32"/>
    </w:rPr>
  </w:style>
  <w:style w:type="character" w:customStyle="1" w:styleId="39">
    <w:name w:val="批注文字 Char"/>
    <w:link w:val="8"/>
    <w:qFormat/>
    <w:uiPriority w:val="0"/>
    <w:rPr>
      <w:rFonts w:ascii="Calibri" w:hAnsi="Calibri" w:eastAsia="宋体" w:cs="Times New Roman"/>
      <w:kern w:val="2"/>
      <w:sz w:val="21"/>
      <w:szCs w:val="22"/>
    </w:rPr>
  </w:style>
  <w:style w:type="character" w:customStyle="1" w:styleId="40">
    <w:name w:val="正文文本 Char1"/>
    <w:link w:val="9"/>
    <w:qFormat/>
    <w:uiPriority w:val="99"/>
    <w:rPr>
      <w:rFonts w:ascii="仿宋_GB2312" w:eastAsia="仿宋_GB2312"/>
      <w:kern w:val="2"/>
      <w:sz w:val="32"/>
    </w:rPr>
  </w:style>
  <w:style w:type="character" w:customStyle="1" w:styleId="41">
    <w:name w:val="正文文本缩进 Char"/>
    <w:link w:val="11"/>
    <w:semiHidden/>
    <w:qFormat/>
    <w:uiPriority w:val="0"/>
    <w:rPr>
      <w:rFonts w:ascii="Calibri" w:hAnsi="Calibri"/>
      <w:kern w:val="2"/>
      <w:sz w:val="21"/>
      <w:szCs w:val="22"/>
    </w:rPr>
  </w:style>
  <w:style w:type="character" w:customStyle="1" w:styleId="42">
    <w:name w:val="日期 Char"/>
    <w:link w:val="15"/>
    <w:qFormat/>
    <w:uiPriority w:val="0"/>
    <w:rPr>
      <w:rFonts w:ascii="Calibri" w:hAnsi="Calibri"/>
      <w:kern w:val="2"/>
      <w:sz w:val="21"/>
      <w:szCs w:val="22"/>
    </w:rPr>
  </w:style>
  <w:style w:type="character" w:customStyle="1" w:styleId="43">
    <w:name w:val="批注框文本 Char"/>
    <w:link w:val="16"/>
    <w:qFormat/>
    <w:uiPriority w:val="0"/>
    <w:rPr>
      <w:rFonts w:ascii="Calibri" w:hAnsi="Calibri" w:eastAsia="宋体" w:cs="Times New Roman"/>
      <w:kern w:val="2"/>
      <w:sz w:val="18"/>
      <w:szCs w:val="18"/>
    </w:rPr>
  </w:style>
  <w:style w:type="character" w:customStyle="1" w:styleId="44">
    <w:name w:val="页脚 Char"/>
    <w:link w:val="17"/>
    <w:qFormat/>
    <w:uiPriority w:val="99"/>
    <w:rPr>
      <w:rFonts w:ascii="Calibri" w:hAnsi="Calibri" w:eastAsia="宋体" w:cs="Times New Roman"/>
      <w:kern w:val="2"/>
      <w:sz w:val="18"/>
      <w:szCs w:val="18"/>
    </w:rPr>
  </w:style>
  <w:style w:type="character" w:customStyle="1" w:styleId="45">
    <w:name w:val="页眉 Char"/>
    <w:link w:val="18"/>
    <w:qFormat/>
    <w:uiPriority w:val="0"/>
    <w:rPr>
      <w:rFonts w:ascii="Calibri" w:hAnsi="Calibri" w:eastAsia="宋体" w:cs="Times New Roman"/>
      <w:kern w:val="2"/>
      <w:sz w:val="18"/>
      <w:szCs w:val="18"/>
    </w:rPr>
  </w:style>
  <w:style w:type="character" w:customStyle="1" w:styleId="46">
    <w:name w:val="脚注文本 Char1"/>
    <w:link w:val="21"/>
    <w:qFormat/>
    <w:uiPriority w:val="0"/>
    <w:rPr>
      <w:rFonts w:ascii="Calibri" w:hAnsi="Calibri" w:eastAsia="方正仿宋_GBK" w:cs="Calibri"/>
      <w:kern w:val="2"/>
      <w:sz w:val="18"/>
      <w:szCs w:val="18"/>
    </w:rPr>
  </w:style>
  <w:style w:type="character" w:customStyle="1" w:styleId="47">
    <w:name w:val="正文首行缩进 2 Char"/>
    <w:basedOn w:val="41"/>
    <w:link w:val="27"/>
    <w:semiHidden/>
    <w:qFormat/>
    <w:uiPriority w:val="0"/>
  </w:style>
  <w:style w:type="character" w:customStyle="1" w:styleId="48">
    <w:name w:val="脚注文本 Char"/>
    <w:qFormat/>
    <w:uiPriority w:val="0"/>
    <w:rPr>
      <w:rFonts w:ascii="Calibri" w:hAnsi="Calibri" w:eastAsia="方正仿宋_GBK" w:cs="Calibri"/>
      <w:kern w:val="2"/>
      <w:sz w:val="18"/>
      <w:szCs w:val="18"/>
    </w:rPr>
  </w:style>
  <w:style w:type="character" w:customStyle="1" w:styleId="49">
    <w:name w:val="font51"/>
    <w:basedOn w:val="30"/>
    <w:qFormat/>
    <w:uiPriority w:val="0"/>
    <w:rPr>
      <w:rFonts w:hint="eastAsia" w:ascii="宋体" w:hAnsi="宋体" w:eastAsia="宋体" w:cs="宋体"/>
      <w:color w:val="000000"/>
      <w:sz w:val="22"/>
      <w:szCs w:val="22"/>
      <w:u w:val="none"/>
      <w:vertAlign w:val="superscript"/>
    </w:rPr>
  </w:style>
  <w:style w:type="character" w:customStyle="1" w:styleId="50">
    <w:name w:val="正文文本 Char"/>
    <w:semiHidden/>
    <w:qFormat/>
    <w:uiPriority w:val="99"/>
    <w:rPr>
      <w:rFonts w:ascii="Calibri" w:hAnsi="Calibri"/>
      <w:kern w:val="2"/>
      <w:sz w:val="21"/>
      <w:szCs w:val="22"/>
    </w:rPr>
  </w:style>
  <w:style w:type="character" w:customStyle="1" w:styleId="51">
    <w:name w:val="NormalCharacter"/>
    <w:qFormat/>
    <w:uiPriority w:val="0"/>
  </w:style>
  <w:style w:type="character" w:customStyle="1" w:styleId="52">
    <w:name w:val="font21"/>
    <w:basedOn w:val="30"/>
    <w:qFormat/>
    <w:uiPriority w:val="0"/>
    <w:rPr>
      <w:rFonts w:hint="eastAsia" w:ascii="宋体" w:hAnsi="宋体" w:eastAsia="宋体" w:cs="宋体"/>
      <w:color w:val="000000"/>
      <w:sz w:val="22"/>
      <w:szCs w:val="22"/>
      <w:u w:val="none"/>
    </w:rPr>
  </w:style>
  <w:style w:type="character" w:customStyle="1" w:styleId="53">
    <w:name w:val="font31"/>
    <w:basedOn w:val="30"/>
    <w:qFormat/>
    <w:uiPriority w:val="0"/>
    <w:rPr>
      <w:rFonts w:hint="eastAsia" w:ascii="宋体" w:hAnsi="宋体" w:eastAsia="宋体" w:cs="宋体"/>
      <w:color w:val="000000"/>
      <w:sz w:val="22"/>
      <w:szCs w:val="22"/>
      <w:u w:val="none"/>
      <w:vertAlign w:val="superscript"/>
    </w:rPr>
  </w:style>
  <w:style w:type="paragraph" w:customStyle="1" w:styleId="54">
    <w:name w:val="样式 标题 1标题 1hy + 段前: 0.5 行 段后: 0.5 行"/>
    <w:basedOn w:val="2"/>
    <w:qFormat/>
    <w:uiPriority w:val="0"/>
    <w:pPr>
      <w:spacing w:before="240" w:after="240"/>
      <w:jc w:val="left"/>
    </w:pPr>
    <w:rPr>
      <w:rFonts w:ascii="Arial" w:hAnsi="Arial" w:cs="宋体"/>
    </w:rPr>
  </w:style>
  <w:style w:type="paragraph" w:customStyle="1" w:styleId="55">
    <w:name w:val="font12"/>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57">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58">
    <w:name w:val="font17"/>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59">
    <w:name w:val="font13"/>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60">
    <w:name w:val="font10"/>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61">
    <w:name w:val="xl9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62">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63">
    <w:name w:val="xl105"/>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6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eastAsia="宋体" w:cs="宋体"/>
      <w:kern w:val="0"/>
      <w:sz w:val="20"/>
      <w:szCs w:val="20"/>
    </w:rPr>
  </w:style>
  <w:style w:type="paragraph" w:customStyle="1" w:styleId="65">
    <w:name w:val="font16"/>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66">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67">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eastAsia="宋体" w:cs="宋体"/>
      <w:color w:val="000000"/>
      <w:kern w:val="0"/>
      <w:sz w:val="20"/>
      <w:szCs w:val="20"/>
    </w:rPr>
  </w:style>
  <w:style w:type="paragraph" w:customStyle="1" w:styleId="68">
    <w:name w:val="xl103"/>
    <w:basedOn w:val="1"/>
    <w:qFormat/>
    <w:uiPriority w:val="0"/>
    <w:pPr>
      <w:widowControl/>
      <w:pBdr>
        <w:bottom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69">
    <w:name w:val="xl68"/>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70">
    <w:name w:val="font9"/>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71">
    <w:name w:val="xl71"/>
    <w:basedOn w:val="1"/>
    <w:qFormat/>
    <w:uiPriority w:val="0"/>
    <w:pPr>
      <w:widowControl/>
      <w:spacing w:before="100" w:beforeAutospacing="1" w:after="100" w:afterAutospacing="1"/>
      <w:jc w:val="center"/>
    </w:pPr>
    <w:rPr>
      <w:rFonts w:ascii="宋体" w:hAnsi="宋体" w:eastAsia="宋体" w:cs="宋体"/>
      <w:kern w:val="0"/>
      <w:sz w:val="20"/>
      <w:szCs w:val="20"/>
    </w:rPr>
  </w:style>
  <w:style w:type="paragraph" w:customStyle="1" w:styleId="72">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b/>
      <w:bCs/>
      <w:kern w:val="0"/>
      <w:sz w:val="20"/>
      <w:szCs w:val="20"/>
    </w:rPr>
  </w:style>
  <w:style w:type="paragraph" w:customStyle="1" w:styleId="73">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74">
    <w:name w:val="xl69"/>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75">
    <w:name w:val="xl67"/>
    <w:basedOn w:val="1"/>
    <w:qFormat/>
    <w:uiPriority w:val="0"/>
    <w:pPr>
      <w:widowControl/>
      <w:spacing w:before="100" w:beforeAutospacing="1" w:after="100" w:afterAutospacing="1"/>
      <w:jc w:val="left"/>
    </w:pPr>
    <w:rPr>
      <w:rFonts w:ascii="宋体" w:hAnsi="宋体" w:eastAsia="宋体" w:cs="宋体"/>
      <w:b/>
      <w:bCs/>
      <w:kern w:val="0"/>
      <w:sz w:val="20"/>
      <w:szCs w:val="20"/>
    </w:rPr>
  </w:style>
  <w:style w:type="paragraph" w:customStyle="1" w:styleId="76">
    <w:name w:val="font6"/>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77">
    <w:name w:val="xl98"/>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78">
    <w:name w:val="xl104"/>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79">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80">
    <w:name w:val="_Style 79"/>
    <w:semiHidden/>
    <w:qFormat/>
    <w:uiPriority w:val="99"/>
    <w:rPr>
      <w:rFonts w:ascii="Calibri" w:hAnsi="Calibri" w:eastAsia="宋体" w:cs="Times New Roman"/>
      <w:kern w:val="2"/>
      <w:sz w:val="21"/>
      <w:szCs w:val="22"/>
      <w:lang w:val="en-US" w:eastAsia="zh-CN" w:bidi="ar-SA"/>
    </w:rPr>
  </w:style>
  <w:style w:type="paragraph" w:customStyle="1" w:styleId="81">
    <w:name w:val="Default"/>
    <w:qFormat/>
    <w:uiPriority w:val="0"/>
    <w:pPr>
      <w:widowControl w:val="0"/>
      <w:autoSpaceDE w:val="0"/>
      <w:autoSpaceDN w:val="0"/>
      <w:adjustRightInd w:val="0"/>
    </w:pPr>
    <w:rPr>
      <w:rFonts w:ascii="方正楷体_GBK" w:hAnsi="Calibri" w:eastAsia="方正楷体_GBK" w:cs="方正楷体_GBK"/>
      <w:color w:val="000000"/>
      <w:sz w:val="24"/>
      <w:szCs w:val="24"/>
      <w:lang w:val="en-US" w:eastAsia="zh-CN" w:bidi="ar-SA"/>
    </w:rPr>
  </w:style>
  <w:style w:type="paragraph" w:customStyle="1" w:styleId="8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83">
    <w:name w:val="xl9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8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sz w:val="20"/>
      <w:szCs w:val="20"/>
    </w:rPr>
  </w:style>
  <w:style w:type="paragraph" w:customStyle="1" w:styleId="85">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86">
    <w:name w:val="font11"/>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87">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eastAsia="宋体" w:cs="宋体"/>
      <w:color w:val="000000"/>
      <w:kern w:val="0"/>
      <w:sz w:val="20"/>
      <w:szCs w:val="20"/>
    </w:rPr>
  </w:style>
  <w:style w:type="paragraph" w:customStyle="1" w:styleId="88">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8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90">
    <w:name w:val="xl9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91">
    <w:name w:val="xl10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92">
    <w:name w:val="xl9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93">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95">
    <w:name w:val="xl9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96">
    <w:name w:val="xl96"/>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9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eastAsia="宋体" w:cs="宋体"/>
      <w:kern w:val="0"/>
      <w:sz w:val="20"/>
      <w:szCs w:val="20"/>
    </w:rPr>
  </w:style>
  <w:style w:type="paragraph" w:customStyle="1" w:styleId="98">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9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00">
    <w:name w:val="font18"/>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01">
    <w:name w:val="font8"/>
    <w:basedOn w:val="1"/>
    <w:qFormat/>
    <w:uiPriority w:val="0"/>
    <w:pPr>
      <w:widowControl/>
      <w:spacing w:before="100" w:beforeAutospacing="1" w:after="100" w:afterAutospacing="1"/>
      <w:jc w:val="left"/>
    </w:pPr>
    <w:rPr>
      <w:rFonts w:ascii="宋体" w:hAnsi="宋体" w:eastAsia="宋体" w:cs="宋体"/>
      <w:b/>
      <w:bCs/>
      <w:kern w:val="0"/>
      <w:sz w:val="18"/>
      <w:szCs w:val="18"/>
    </w:rPr>
  </w:style>
  <w:style w:type="paragraph" w:customStyle="1" w:styleId="102">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03">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104">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eastAsia="宋体" w:cs="宋体"/>
      <w:b/>
      <w:bCs/>
      <w:color w:val="000000"/>
      <w:kern w:val="0"/>
      <w:sz w:val="20"/>
      <w:szCs w:val="20"/>
    </w:rPr>
  </w:style>
  <w:style w:type="paragraph" w:customStyle="1" w:styleId="105">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06">
    <w:name w:val="Char"/>
    <w:basedOn w:val="1"/>
    <w:qFormat/>
    <w:uiPriority w:val="0"/>
    <w:rPr>
      <w:rFonts w:ascii="Times New Roman" w:hAnsi="Times New Roman" w:eastAsia="宋体" w:cs="Times New Roman"/>
      <w:szCs w:val="20"/>
    </w:rPr>
  </w:style>
  <w:style w:type="paragraph" w:customStyle="1" w:styleId="107">
    <w:name w:val="font5"/>
    <w:basedOn w:val="1"/>
    <w:qFormat/>
    <w:uiPriority w:val="0"/>
    <w:pPr>
      <w:widowControl/>
      <w:spacing w:before="100" w:beforeAutospacing="1" w:after="100" w:afterAutospacing="1"/>
      <w:jc w:val="left"/>
    </w:pPr>
    <w:rPr>
      <w:rFonts w:ascii="宋体" w:hAnsi="宋体" w:eastAsia="宋体" w:cs="宋体"/>
      <w:color w:val="FF0000"/>
      <w:kern w:val="0"/>
      <w:sz w:val="20"/>
      <w:szCs w:val="20"/>
    </w:rPr>
  </w:style>
  <w:style w:type="paragraph" w:customStyle="1" w:styleId="108">
    <w:name w:val="xl91"/>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109">
    <w:name w:val="font14"/>
    <w:basedOn w:val="1"/>
    <w:qFormat/>
    <w:uiPriority w:val="0"/>
    <w:pPr>
      <w:widowControl/>
      <w:spacing w:before="100" w:beforeAutospacing="1" w:after="100" w:afterAutospacing="1"/>
      <w:jc w:val="left"/>
    </w:pPr>
    <w:rPr>
      <w:rFonts w:ascii="宋体" w:hAnsi="宋体" w:eastAsia="宋体" w:cs="宋体"/>
      <w:b/>
      <w:bCs/>
      <w:color w:val="000000"/>
      <w:kern w:val="0"/>
      <w:sz w:val="18"/>
      <w:szCs w:val="18"/>
    </w:rPr>
  </w:style>
  <w:style w:type="paragraph" w:customStyle="1" w:styleId="110">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11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12">
    <w:name w:val="font7"/>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113">
    <w:name w:val="font15"/>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114">
    <w:name w:val="xl70"/>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15">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16">
    <w:name w:val="p0"/>
    <w:basedOn w:val="1"/>
    <w:qFormat/>
    <w:uiPriority w:val="0"/>
    <w:pPr>
      <w:widowControl/>
    </w:pPr>
    <w:rPr>
      <w:rFonts w:eastAsia="宋体"/>
      <w:kern w:val="0"/>
      <w:szCs w:val="21"/>
    </w:rPr>
  </w:style>
  <w:style w:type="paragraph" w:styleId="117">
    <w:name w:val="List Paragraph"/>
    <w:basedOn w:val="1"/>
    <w:qFormat/>
    <w:uiPriority w:val="99"/>
    <w:pPr>
      <w:ind w:firstLine="420" w:firstLineChars="200"/>
    </w:pPr>
  </w:style>
  <w:style w:type="paragraph" w:customStyle="1" w:styleId="118">
    <w:name w:val="列表段落1"/>
    <w:basedOn w:val="1"/>
    <w:qFormat/>
    <w:uiPriority w:val="99"/>
    <w:pPr>
      <w:ind w:firstLine="420"/>
    </w:pPr>
  </w:style>
  <w:style w:type="paragraph" w:customStyle="1" w:styleId="119">
    <w:name w:val="列表段落2"/>
    <w:basedOn w:val="1"/>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6.jpeg"/><Relationship Id="rId3" Type="http://schemas.openxmlformats.org/officeDocument/2006/relationships/header" Target="header1.xml"/><Relationship Id="rId29" Type="http://schemas.openxmlformats.org/officeDocument/2006/relationships/image" Target="media/image5.jpe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chart" Target="charts/chart3.xml"/><Relationship Id="rId25" Type="http://schemas.openxmlformats.org/officeDocument/2006/relationships/chart" Target="charts/chart2.xml"/><Relationship Id="rId24" Type="http://schemas.openxmlformats.org/officeDocument/2006/relationships/chart" Target="charts/chart1.xml"/><Relationship Id="rId23" Type="http://schemas.openxmlformats.org/officeDocument/2006/relationships/image" Target="media/image2.pn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600" b="1" i="0" u="none" strike="noStrike" kern="1200" spc="0" baseline="0">
                <a:solidFill>
                  <a:sysClr val="windowText" lastClr="000000"/>
                </a:solidFill>
                <a:latin typeface="+mn-lt"/>
                <a:ea typeface="+mn-ea"/>
                <a:cs typeface="+mn-cs"/>
              </a:defRPr>
            </a:pPr>
            <a:r>
              <a:rPr lang="zh-CN" altLang="en-US" sz="1600" b="1">
                <a:solidFill>
                  <a:sysClr val="windowText" lastClr="000000"/>
                </a:solidFill>
              </a:rPr>
              <a:t>黔江区“十四五”期间各类型项目投资占比</a:t>
            </a:r>
            <a:endParaRPr lang="zh-CN" altLang="en-US" sz="1600" b="1">
              <a:solidFill>
                <a:sysClr val="windowText" lastClr="000000"/>
              </a:solidFill>
            </a:endParaRPr>
          </a:p>
        </c:rich>
      </c:tx>
      <c:layout/>
      <c:overlay val="false"/>
      <c:spPr>
        <a:noFill/>
        <a:ln>
          <a:noFill/>
        </a:ln>
        <a:effectLst/>
      </c:spPr>
    </c:title>
    <c:autoTitleDeleted val="false"/>
    <c:plotArea>
      <c:layout/>
      <c:barChart>
        <c:barDir val="col"/>
        <c:grouping val="clustered"/>
        <c:varyColors val="false"/>
        <c:ser>
          <c:idx val="0"/>
          <c:order val="0"/>
          <c:spPr>
            <a:solidFill>
              <a:srgbClr val="4F81BD"/>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ysClr val="windowText" lastClr="000000"/>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rgbClr val="A6A6A6">
                          <a:lumMod val="35000"/>
                          <a:lumOff val="65000"/>
                        </a:srgbClr>
                      </a:solidFill>
                      <a:round/>
                    </a:ln>
                    <a:effectLst/>
                  </c:spPr>
                </c15:leaderLines>
              </c:ext>
            </c:extLst>
          </c:dLbls>
          <c:cat>
            <c:strRef>
              <c:f>[工作簿1]Sheet3!$C$1:$C$17</c:f>
              <c:strCache>
                <c:ptCount val="17"/>
                <c:pt idx="0">
                  <c:v>重点河流综合治理</c:v>
                </c:pt>
                <c:pt idx="1">
                  <c:v>山洪灾害防治</c:v>
                </c:pt>
                <c:pt idx="2">
                  <c:v>城市防洪排涝</c:v>
                </c:pt>
                <c:pt idx="3">
                  <c:v>防洪能力提升</c:v>
                </c:pt>
                <c:pt idx="4">
                  <c:v>水源工程</c:v>
                </c:pt>
                <c:pt idx="5">
                  <c:v>引提水工程</c:v>
                </c:pt>
                <c:pt idx="6">
                  <c:v>城乡供水一体化工程</c:v>
                </c:pt>
                <c:pt idx="7">
                  <c:v>农村供水工程</c:v>
                </c:pt>
                <c:pt idx="8">
                  <c:v>水生态项目</c:v>
                </c:pt>
                <c:pt idx="9">
                  <c:v>水环境治理工程</c:v>
                </c:pt>
                <c:pt idx="10">
                  <c:v>水土保持项目</c:v>
                </c:pt>
                <c:pt idx="11">
                  <c:v>智慧水利项目</c:v>
                </c:pt>
                <c:pt idx="12">
                  <c:v>移民后期扶持项目</c:v>
                </c:pt>
                <c:pt idx="13">
                  <c:v>防汛抗旱能力建设</c:v>
                </c:pt>
                <c:pt idx="14">
                  <c:v>河长制建设</c:v>
                </c:pt>
                <c:pt idx="15">
                  <c:v>水文化项目</c:v>
                </c:pt>
                <c:pt idx="16">
                  <c:v>水利人才队伍建设</c:v>
                </c:pt>
              </c:strCache>
            </c:strRef>
          </c:cat>
          <c:val>
            <c:numRef>
              <c:f>[工作簿1]Sheet3!$D$1:$D$17</c:f>
              <c:numCache>
                <c:formatCode>0.00%</c:formatCode>
                <c:ptCount val="17"/>
                <c:pt idx="0">
                  <c:v>0.0830574781823653</c:v>
                </c:pt>
                <c:pt idx="1">
                  <c:v>0.0075233222991273</c:v>
                </c:pt>
                <c:pt idx="2">
                  <c:v>0.0150466445982546</c:v>
                </c:pt>
                <c:pt idx="3">
                  <c:v>0.00902798675895275</c:v>
                </c:pt>
                <c:pt idx="4">
                  <c:v>0.463436653626241</c:v>
                </c:pt>
                <c:pt idx="5">
                  <c:v>0.0418296719831478</c:v>
                </c:pt>
                <c:pt idx="6">
                  <c:v>0.102618116160096</c:v>
                </c:pt>
                <c:pt idx="7">
                  <c:v>0.0391212759554619</c:v>
                </c:pt>
                <c:pt idx="8">
                  <c:v>0.16491122479687</c:v>
                </c:pt>
                <c:pt idx="9">
                  <c:v>0.0114354498946735</c:v>
                </c:pt>
                <c:pt idx="10">
                  <c:v>0.0150466445982546</c:v>
                </c:pt>
                <c:pt idx="11">
                  <c:v>0.00150466445982546</c:v>
                </c:pt>
                <c:pt idx="12">
                  <c:v>0.0379175443876016</c:v>
                </c:pt>
                <c:pt idx="13">
                  <c:v>0.00150466445982546</c:v>
                </c:pt>
                <c:pt idx="14">
                  <c:v>0.00075233222991273</c:v>
                </c:pt>
                <c:pt idx="15">
                  <c:v>0.000902798675895275</c:v>
                </c:pt>
                <c:pt idx="16">
                  <c:v>0.00451399337947638</c:v>
                </c:pt>
              </c:numCache>
            </c:numRef>
          </c:val>
        </c:ser>
        <c:dLbls>
          <c:showLegendKey val="false"/>
          <c:showVal val="true"/>
          <c:showCatName val="false"/>
          <c:showSerName val="false"/>
          <c:showPercent val="false"/>
          <c:showBubbleSize val="false"/>
        </c:dLbls>
        <c:gapWidth val="219"/>
        <c:overlap val="-27"/>
        <c:axId val="999600130"/>
        <c:axId val="606123673"/>
      </c:barChart>
      <c:catAx>
        <c:axId val="999600130"/>
        <c:scaling>
          <c:orientation val="minMax"/>
        </c:scaling>
        <c:delete val="false"/>
        <c:axPos val="b"/>
        <c:numFmt formatCode="General" sourceLinked="false"/>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true"/>
          <a:lstStyle/>
          <a:p>
            <a:pPr>
              <a:defRPr lang="zh-CN" sz="900" b="0" i="0" u="none" strike="noStrike" kern="1200" baseline="0">
                <a:solidFill>
                  <a:sysClr val="windowText" lastClr="000000"/>
                </a:solidFill>
                <a:latin typeface="+mn-lt"/>
                <a:ea typeface="+mn-ea"/>
                <a:cs typeface="+mn-cs"/>
              </a:defRPr>
            </a:pPr>
          </a:p>
        </c:txPr>
        <c:crossAx val="606123673"/>
        <c:crosses val="autoZero"/>
        <c:auto val="true"/>
        <c:lblAlgn val="ctr"/>
        <c:lblOffset val="100"/>
        <c:noMultiLvlLbl val="false"/>
      </c:catAx>
      <c:valAx>
        <c:axId val="606123673"/>
        <c:scaling>
          <c:orientation val="minMax"/>
          <c:max val="0.5"/>
        </c:scaling>
        <c:delete val="false"/>
        <c:axPos val="l"/>
        <c:majorGridlines>
          <c:spPr>
            <a:ln w="9525" cap="flat" cmpd="sng" algn="ctr">
              <a:solidFill>
                <a:srgbClr val="D9D9D9">
                  <a:lumMod val="15000"/>
                  <a:lumOff val="85000"/>
                </a:srgbClr>
              </a:solidFill>
              <a:round/>
            </a:ln>
            <a:effectLst/>
          </c:spPr>
        </c:majorGridlines>
        <c:numFmt formatCode="0.00%"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ysClr val="windowText" lastClr="000000"/>
                </a:solidFill>
                <a:latin typeface="+mn-lt"/>
                <a:ea typeface="+mn-ea"/>
                <a:cs typeface="+mn-cs"/>
              </a:defRPr>
            </a:pPr>
          </a:p>
        </c:txPr>
        <c:crossAx val="999600130"/>
        <c:crosses val="autoZero"/>
        <c:crossBetween val="between"/>
        <c:majorUnit val="0.1"/>
      </c:valAx>
      <c:spPr>
        <a:noFill/>
        <a:ln>
          <a:noFill/>
        </a:ln>
        <a:effectLst/>
      </c:spPr>
    </c:plotArea>
    <c:plotVisOnly val="true"/>
    <c:dispBlanksAs val="gap"/>
    <c:showDLblsOverMax val="false"/>
  </c:chart>
  <c:spPr>
    <a:solidFill>
      <a:srgbClr val="FFFFFF"/>
    </a:solidFill>
    <a:ln w="9525" cap="flat" cmpd="sng" algn="ctr">
      <a:noFill/>
      <a:round/>
    </a:ln>
    <a:effectLst/>
  </c:spPr>
  <c:txPr>
    <a:bodyPr/>
    <a:lstStyle/>
    <a:p>
      <a:pPr>
        <a:defRPr lang="zh-CN">
          <a:solidFill>
            <a:sysClr val="windowText" lastClr="000000"/>
          </a:solidFill>
        </a:defRPr>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400" b="0" i="0" u="none" strike="noStrike" kern="1200" spc="0" baseline="0">
                <a:solidFill>
                  <a:srgbClr val="595959">
                    <a:lumMod val="65000"/>
                    <a:lumOff val="35000"/>
                  </a:srgbClr>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zh-CN" altLang="en-US" sz="1800">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“十四五”期间水利投资资金组成</a:t>
            </a:r>
            <a:endParaRPr lang="zh-CN" altLang="en-US" sz="1800">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endParaRPr>
          </a:p>
        </c:rich>
      </c:tx>
      <c:layout/>
      <c:overlay val="false"/>
      <c:spPr>
        <a:noFill/>
        <a:ln>
          <a:noFill/>
        </a:ln>
        <a:effectLst/>
      </c:spPr>
    </c:title>
    <c:autoTitleDeleted val="false"/>
    <c:plotArea>
      <c:layout/>
      <c:pieChart>
        <c:varyColors val="true"/>
        <c:ser>
          <c:idx val="0"/>
          <c:order val="0"/>
          <c:explosion val="0"/>
          <c:dPt>
            <c:idx val="0"/>
            <c:bubble3D val="false"/>
            <c:spPr>
              <a:solidFill>
                <a:srgbClr val="4F81BD"/>
              </a:solidFill>
              <a:ln w="19050">
                <a:solidFill>
                  <a:srgbClr val="FFFFFF"/>
                </a:solidFill>
              </a:ln>
              <a:effectLst/>
            </c:spPr>
          </c:dPt>
          <c:dPt>
            <c:idx val="1"/>
            <c:bubble3D val="false"/>
            <c:spPr>
              <a:solidFill>
                <a:srgbClr val="C0504D"/>
              </a:solidFill>
              <a:ln w="19050">
                <a:solidFill>
                  <a:srgbClr val="FFFFFF"/>
                </a:solidFill>
              </a:ln>
              <a:effectLst/>
            </c:spPr>
          </c:dPt>
          <c:dPt>
            <c:idx val="2"/>
            <c:bubble3D val="false"/>
            <c:spPr>
              <a:solidFill>
                <a:srgbClr val="9BBB59"/>
              </a:solidFill>
              <a:ln w="19050">
                <a:solidFill>
                  <a:srgbClr val="FFFFFF"/>
                </a:solidFill>
              </a:ln>
              <a:effectLst/>
            </c:spPr>
          </c:dPt>
          <c:dPt>
            <c:idx val="3"/>
            <c:bubble3D val="false"/>
            <c:spPr>
              <a:solidFill>
                <a:srgbClr val="8064A2"/>
              </a:solidFill>
              <a:ln w="19050">
                <a:solidFill>
                  <a:srgbClr val="FFFFFF"/>
                </a:solidFill>
              </a:ln>
              <a:effectLst/>
            </c:spPr>
          </c:dPt>
          <c:dLbls>
            <c:dLbl>
              <c:idx val="0"/>
              <c:layout>
                <c:manualLayout>
                  <c:x val="-0.196848488195143"/>
                  <c:y val="0.0516753680176267"/>
                </c:manualLayout>
              </c:layout>
              <c:tx>
                <c:rich>
                  <a:bodyPr rot="0" spcFirstLastPara="0" vertOverflow="ellipsis" vert="horz" wrap="square" lIns="38100" tIns="19050" rIns="38100" bIns="19050" anchor="ctr" anchorCtr="true"/>
                  <a:lstStyle/>
                  <a:p>
                    <a:pPr>
                      <a:defRPr lang="zh-CN" sz="900" b="0" i="0" u="none" strike="noStrike" kern="1200" baseline="0">
                        <a:solidFill>
                          <a:srgbClr val="404040">
                            <a:lumMod val="75000"/>
                            <a:lumOff val="25000"/>
                          </a:srgbClr>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en-US" altLang="zh-CN"/>
                      <a:t>42.53%</a:t>
                    </a:r>
                    <a:endParaRPr lang="en-US" altLang="zh-CN"/>
                  </a:p>
                </c:rich>
              </c:tx>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107034472291115"/>
                  <c:y val="-0.178771536785721"/>
                </c:manualLayout>
              </c:layout>
              <c:tx>
                <c:rich>
                  <a:bodyPr rot="0" spcFirstLastPara="0" vertOverflow="ellipsis" vert="horz" wrap="square" lIns="38100" tIns="19050" rIns="38100" bIns="19050" anchor="ctr" anchorCtr="true"/>
                  <a:lstStyle/>
                  <a:p>
                    <a:pPr>
                      <a:defRPr lang="zh-CN" sz="900" b="0" i="0" u="none" strike="noStrike" kern="1200" baseline="0">
                        <a:solidFill>
                          <a:srgbClr val="404040">
                            <a:lumMod val="75000"/>
                            <a:lumOff val="25000"/>
                          </a:srgbClr>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en-US" altLang="zh-CN"/>
                      <a:t>32.84%</a:t>
                    </a:r>
                    <a:endParaRPr lang="en-US" altLang="zh-CN"/>
                  </a:p>
                </c:rich>
              </c:tx>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true"/>
                  <a:lstStyle/>
                  <a:p>
                    <a:pPr>
                      <a:defRPr lang="zh-CN" sz="900" b="0" i="0" u="none" strike="noStrike" kern="1200" baseline="0">
                        <a:solidFill>
                          <a:srgbClr val="404040">
                            <a:lumMod val="75000"/>
                            <a:lumOff val="25000"/>
                          </a:srgbClr>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en-US" altLang="zh-CN"/>
                      <a:t>16.87%</a:t>
                    </a:r>
                    <a:endParaRPr lang="en-US" altLang="zh-CN"/>
                  </a:p>
                </c:rich>
              </c:tx>
              <c:dLblPos val="ctr"/>
              <c:showLegendKey val="false"/>
              <c:showVal val="true"/>
              <c:showCatName val="false"/>
              <c:showSerName val="false"/>
              <c:showPercent val="false"/>
              <c:showBubbleSize val="false"/>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true"/>
                  <a:lstStyle/>
                  <a:p>
                    <a:pPr>
                      <a:defRPr lang="zh-CN" sz="900" b="0" i="0" u="none" strike="noStrike" kern="1200" baseline="0">
                        <a:solidFill>
                          <a:srgbClr val="404040">
                            <a:lumMod val="75000"/>
                            <a:lumOff val="25000"/>
                          </a:srgbClr>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en-US" altLang="zh-CN"/>
                      <a:t>8.06%</a:t>
                    </a:r>
                    <a:endParaRPr lang="en-US" altLang="zh-CN"/>
                  </a:p>
                </c:rich>
              </c:tx>
              <c:dLblPos val="ctr"/>
              <c:showLegendKey val="false"/>
              <c:showVal val="true"/>
              <c:showCatName val="false"/>
              <c:showSerName val="false"/>
              <c:showPercent val="false"/>
              <c:showBubbleSize val="false"/>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rgbClr val="404040">
                        <a:lumMod val="75000"/>
                        <a:lumOff val="25000"/>
                      </a:srgbClr>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p>
            </c:txPr>
            <c:dLblPos val="ctr"/>
            <c:showLegendKey val="false"/>
            <c:showVal val="true"/>
            <c:showCatName val="false"/>
            <c:showSerName val="false"/>
            <c:showPercent val="false"/>
            <c:showBubbleSize val="false"/>
            <c:showLeaderLines val="true"/>
            <c:extLst>
              <c:ext xmlns:c15="http://schemas.microsoft.com/office/drawing/2012/chart" uri="{CE6537A1-D6FC-4f65-9D91-7224C49458BB}">
                <c15:layout/>
                <c15:showLeaderLines val="true"/>
                <c15:leaderLines>
                  <c:spPr>
                    <a:ln w="9525" cap="flat" cmpd="sng" algn="ctr">
                      <a:solidFill>
                        <a:srgbClr val="A6A6A6">
                          <a:lumMod val="35000"/>
                          <a:lumOff val="65000"/>
                        </a:srgbClr>
                      </a:solidFill>
                      <a:prstDash val="solid"/>
                      <a:round/>
                    </a:ln>
                    <a:effectLst/>
                  </c:spPr>
                </c15:leaderLines>
              </c:ext>
            </c:extLst>
          </c:dLbls>
          <c:cat>
            <c:strRef>
              <c:f>[工作簿1]Sheet2!$F$139:$I$139</c:f>
              <c:strCache>
                <c:ptCount val="4"/>
                <c:pt idx="0">
                  <c:v>中央投资</c:v>
                </c:pt>
                <c:pt idx="1">
                  <c:v>市级政府投资（含水投集团融资）</c:v>
                </c:pt>
                <c:pt idx="2">
                  <c:v>区政府投资</c:v>
                </c:pt>
                <c:pt idx="3">
                  <c:v>其他资金来源（企业和私人投资、贷款、债券及外资等）</c:v>
                </c:pt>
              </c:strCache>
            </c:strRef>
          </c:cat>
          <c:val>
            <c:numRef>
              <c:f>[工作簿1]Sheet2!$F$140:$I$140</c:f>
              <c:numCache>
                <c:formatCode>0.00%</c:formatCode>
                <c:ptCount val="4"/>
                <c:pt idx="0">
                  <c:v>0.420322331205137</c:v>
                </c:pt>
                <c:pt idx="1">
                  <c:v>0.331710397010205</c:v>
                </c:pt>
                <c:pt idx="2">
                  <c:v>0.167098645793285</c:v>
                </c:pt>
                <c:pt idx="3">
                  <c:v>0.0808686259913742</c:v>
                </c:pt>
              </c:numCache>
            </c:numRef>
          </c:val>
        </c:ser>
        <c:dLbls>
          <c:showLegendKey val="false"/>
          <c:showVal val="true"/>
          <c:showCatName val="false"/>
          <c:showSerName val="false"/>
          <c:showPercent val="false"/>
          <c:showBubbleSize val="false"/>
          <c:showLeaderLines val="true"/>
        </c:dLbls>
        <c:firstSliceAng val="0"/>
      </c:pieChart>
      <c:spPr>
        <a:noFill/>
        <a:ln>
          <a:noFill/>
        </a:ln>
        <a:effectLst/>
      </c:spPr>
    </c:plotArea>
    <c:legend>
      <c:legendPos val="b"/>
      <c:legendEntry>
        <c:idx val="0"/>
        <c:txPr>
          <a:bodyPr rot="0" spcFirstLastPara="0" vertOverflow="ellipsis" vert="horz" wrap="square" anchor="ctr" anchorCtr="true"/>
          <a:lstStyle/>
          <a:p>
            <a:pPr>
              <a:defRPr lang="zh-CN" sz="900" b="0" i="0" u="none" strike="noStrike" kern="1200" baseline="0">
                <a:solidFill>
                  <a:srgbClr val="595959">
                    <a:lumMod val="65000"/>
                    <a:lumOff val="35000"/>
                  </a:srgbClr>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p>
        </c:txPr>
      </c:legendEntry>
      <c:legendEntry>
        <c:idx val="1"/>
        <c:txPr>
          <a:bodyPr rot="0" spcFirstLastPara="0" vertOverflow="ellipsis" vert="horz" wrap="square" anchor="ctr" anchorCtr="true"/>
          <a:lstStyle/>
          <a:p>
            <a:pPr>
              <a:defRPr lang="zh-CN" sz="900" b="0" i="0" u="none" strike="noStrike" kern="1200" baseline="0">
                <a:solidFill>
                  <a:srgbClr val="595959">
                    <a:lumMod val="65000"/>
                    <a:lumOff val="35000"/>
                  </a:srgbClr>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p>
        </c:txPr>
      </c:legendEntry>
      <c:legendEntry>
        <c:idx val="2"/>
        <c:txPr>
          <a:bodyPr rot="0" spcFirstLastPara="0" vertOverflow="ellipsis" vert="horz" wrap="square" anchor="ctr" anchorCtr="true"/>
          <a:lstStyle/>
          <a:p>
            <a:pPr>
              <a:defRPr lang="zh-CN" sz="900" b="0" i="0" u="none" strike="noStrike" kern="1200" baseline="0">
                <a:solidFill>
                  <a:srgbClr val="595959">
                    <a:lumMod val="65000"/>
                    <a:lumOff val="35000"/>
                  </a:srgbClr>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p>
        </c:txPr>
      </c:legendEntry>
      <c:legendEntry>
        <c:idx val="3"/>
        <c:txPr>
          <a:bodyPr rot="0" spcFirstLastPara="0" vertOverflow="ellipsis" vert="horz" wrap="square" anchor="ctr" anchorCtr="true"/>
          <a:lstStyle/>
          <a:p>
            <a:pPr>
              <a:defRPr lang="zh-CN" sz="900" b="0" i="0" u="none" strike="noStrike" kern="1200" baseline="0">
                <a:solidFill>
                  <a:srgbClr val="595959">
                    <a:lumMod val="65000"/>
                    <a:lumOff val="35000"/>
                  </a:srgbClr>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p>
        </c:txPr>
      </c:legendEntry>
      <c:layout>
        <c:manualLayout>
          <c:xMode val="edge"/>
          <c:yMode val="edge"/>
          <c:x val="0.205672888015717"/>
          <c:y val="0.834548944337812"/>
        </c:manualLayout>
      </c:layout>
      <c:overlay val="false"/>
      <c:spPr>
        <a:noFill/>
        <a:ln>
          <a:noFill/>
        </a:ln>
        <a:effectLst/>
      </c:spPr>
      <c:txPr>
        <a:bodyPr rot="0" spcFirstLastPara="0" vertOverflow="ellipsis" vert="horz" wrap="square" anchor="ctr" anchorCtr="true"/>
        <a:lstStyle/>
        <a:p>
          <a:pPr>
            <a:defRPr lang="zh-CN" sz="900" b="0" i="0" u="none" strike="noStrike" kern="1200" baseline="0">
              <a:solidFill>
                <a:srgbClr val="595959">
                  <a:lumMod val="65000"/>
                  <a:lumOff val="35000"/>
                </a:srgbClr>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p>
      </c:txPr>
    </c:legend>
    <c:plotVisOnly val="true"/>
    <c:dispBlanksAs val="zero"/>
    <c:showDLblsOverMax val="false"/>
  </c:chart>
  <c:spPr>
    <a:solidFill>
      <a:srgbClr val="FFFFFF"/>
    </a:solidFill>
    <a:ln w="9525" cap="flat" cmpd="sng" algn="ctr">
      <a:noFill/>
      <a:prstDash val="solid"/>
      <a:round/>
    </a:ln>
    <a:effectLst/>
  </c:spPr>
  <c:txPr>
    <a:bodyPr/>
    <a:lstStyle/>
    <a:p>
      <a:pPr>
        <a:defRPr lang="zh-CN">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800" b="1" i="0" u="none" strike="noStrike" kern="1200" baseline="0">
                <a:solidFill>
                  <a:srgbClr val="595959">
                    <a:lumMod val="65000"/>
                    <a:lumOff val="35000"/>
                  </a:srgbClr>
                </a:solidFill>
                <a:latin typeface="+mn-lt"/>
                <a:ea typeface="+mn-ea"/>
                <a:cs typeface="+mn-cs"/>
              </a:defRPr>
            </a:pPr>
            <a:r>
              <a:rPr lang="zh-CN" altLang="en-US"/>
              <a:t>黔江区水安全保障</a:t>
            </a:r>
            <a:r>
              <a:rPr lang="zh-CN" altLang="zh-CN" sz="1800" b="1" i="0" u="none" strike="noStrike" baseline="0">
                <a:effectLst/>
              </a:rPr>
              <a:t>“十四五”</a:t>
            </a:r>
            <a:r>
              <a:rPr lang="zh-CN" altLang="en-US"/>
              <a:t>年度投资计划</a:t>
            </a:r>
            <a:endParaRPr lang="zh-CN" altLang="en-US"/>
          </a:p>
        </c:rich>
      </c:tx>
      <c:layout/>
      <c:overlay val="false"/>
      <c:spPr>
        <a:noFill/>
        <a:ln>
          <a:noFill/>
        </a:ln>
        <a:effectLst/>
      </c:spPr>
    </c:title>
    <c:autoTitleDeleted val="false"/>
    <c:plotArea>
      <c:layout/>
      <c:pieChart>
        <c:varyColors val="true"/>
        <c:ser>
          <c:idx val="1"/>
          <c:order val="0"/>
          <c:tx>
            <c:strRef>
              <c:f>"比例"</c:f>
              <c:strCache>
                <c:ptCount val="1"/>
                <c:pt idx="0">
                  <c:v>比例</c:v>
                </c:pt>
              </c:strCache>
            </c:strRef>
          </c:tx>
          <c:explosion val="0"/>
          <c:dPt>
            <c:idx val="0"/>
            <c:bubble3D val="false"/>
            <c:spPr>
              <a:solidFill>
                <a:srgbClr val="4F81BD"/>
              </a:solidFill>
              <a:ln>
                <a:noFill/>
              </a:ln>
              <a:effectLst>
                <a:outerShdw blurRad="317500" algn="ctr" rotWithShape="0">
                  <a:prstClr val="black">
                    <a:alpha val="25000"/>
                  </a:prstClr>
                </a:outerShdw>
              </a:effectLst>
            </c:spPr>
          </c:dPt>
          <c:dPt>
            <c:idx val="1"/>
            <c:bubble3D val="false"/>
            <c:spPr>
              <a:solidFill>
                <a:srgbClr val="C0504D"/>
              </a:solidFill>
              <a:ln>
                <a:noFill/>
              </a:ln>
              <a:effectLst>
                <a:outerShdw blurRad="317500" algn="ctr" rotWithShape="0">
                  <a:prstClr val="black">
                    <a:alpha val="25000"/>
                  </a:prstClr>
                </a:outerShdw>
              </a:effectLst>
            </c:spPr>
          </c:dPt>
          <c:dPt>
            <c:idx val="2"/>
            <c:bubble3D val="false"/>
            <c:spPr>
              <a:solidFill>
                <a:srgbClr val="9BBB59"/>
              </a:solidFill>
              <a:ln>
                <a:noFill/>
              </a:ln>
              <a:effectLst>
                <a:outerShdw blurRad="317500" algn="ctr" rotWithShape="0">
                  <a:prstClr val="black">
                    <a:alpha val="25000"/>
                  </a:prstClr>
                </a:outerShdw>
              </a:effectLst>
            </c:spPr>
          </c:dPt>
          <c:dPt>
            <c:idx val="3"/>
            <c:bubble3D val="false"/>
            <c:spPr>
              <a:solidFill>
                <a:srgbClr val="8064A2"/>
              </a:solidFill>
              <a:ln>
                <a:noFill/>
              </a:ln>
              <a:effectLst>
                <a:outerShdw blurRad="317500" algn="ctr" rotWithShape="0">
                  <a:prstClr val="black">
                    <a:alpha val="25000"/>
                  </a:prstClr>
                </a:outerShdw>
              </a:effectLst>
            </c:spPr>
          </c:dPt>
          <c:dPt>
            <c:idx val="4"/>
            <c:bubble3D val="false"/>
            <c:spPr>
              <a:solidFill>
                <a:srgbClr val="4BACC6"/>
              </a:solidFill>
              <a:ln>
                <a:noFill/>
              </a:ln>
              <a:effectLst>
                <a:outerShdw blurRad="317500" algn="ctr" rotWithShape="0">
                  <a:prstClr val="black">
                    <a:alpha val="25000"/>
                  </a:prstClr>
                </a:outerShdw>
              </a:effectLst>
            </c:spPr>
          </c:dPt>
          <c:dLbls>
            <c:dLbl>
              <c:idx val="0"/>
              <c:layout>
                <c:manualLayout>
                  <c:x val="-0.075190024741919"/>
                  <c:y val="0.148693043379173"/>
                </c:manualLayout>
              </c:layout>
              <c:tx>
                <c:rich>
                  <a:bodyPr rot="0" spcFirstLastPara="0" vertOverflow="ellipsis" vert="horz" wrap="square" lIns="38100" tIns="19050" rIns="38100" bIns="19050" anchor="ctr" anchorCtr="true"/>
                  <a:lstStyle/>
                  <a:p>
                    <a:pPr>
                      <a:defRPr lang="zh-CN" sz="900" b="1" i="0" u="none" strike="noStrike" kern="1200" baseline="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6.12</a:t>
                    </a:r>
                    <a:r>
                      <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亿元</a:t>
                    </a:r>
                    <a:endPar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endParaRPr>
                  </a:p>
                  <a:p>
                    <a:pPr>
                      <a:defRPr lang="zh-CN" sz="900" b="1" i="0" u="none" strike="noStrike" kern="1200" baseline="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18.41%</a:t>
                    </a:r>
                    <a:endPar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endParaRPr>
                  </a:p>
                  <a:p>
                    <a:pPr>
                      <a:defRPr lang="zh-CN" sz="900" b="1" i="0" u="none" strike="noStrike" kern="1200" baseline="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2021</a:t>
                    </a:r>
                    <a:r>
                      <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年</a:t>
                    </a:r>
                    <a:endPar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endParaRPr>
                  </a:p>
                </c:rich>
              </c:tx>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142524972655053"/>
                  <c:y val="-0.0462261287537131"/>
                </c:manualLayout>
              </c:layout>
              <c:tx>
                <c:rich>
                  <a:bodyPr rot="0" spcFirstLastPara="0" vertOverflow="ellipsis" vert="horz" wrap="square" lIns="38100" tIns="19050" rIns="38100" bIns="19050" anchor="ctr" anchorCtr="true"/>
                  <a:lstStyle/>
                  <a:p>
                    <a:pPr>
                      <a:defRPr lang="zh-CN" sz="900" b="1" i="0" u="none" strike="noStrike" kern="1200" baseline="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6.76</a:t>
                    </a:r>
                    <a:r>
                      <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亿元</a:t>
                    </a:r>
                    <a:endPar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endParaRPr>
                  </a:p>
                  <a:p>
                    <a:pPr>
                      <a:defRPr lang="zh-CN" sz="900" b="1" i="0" u="none" strike="noStrike" kern="1200" baseline="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20.35%</a:t>
                    </a:r>
                    <a:endPar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endParaRPr>
                  </a:p>
                  <a:p>
                    <a:pPr>
                      <a:defRPr lang="zh-CN" sz="900" b="1" i="0" u="none" strike="noStrike" kern="1200" baseline="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2022</a:t>
                    </a:r>
                    <a:r>
                      <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年</a:t>
                    </a:r>
                    <a:endPar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endParaRPr>
                  </a:p>
                </c:rich>
              </c:tx>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dLbl>
              <c:idx val="2"/>
              <c:layout>
                <c:manualLayout>
                  <c:x val="0.0158391328447087"/>
                  <c:y val="-0.124693396393516"/>
                </c:manualLayout>
              </c:layout>
              <c:tx>
                <c:rich>
                  <a:bodyPr rot="0" spcFirstLastPara="0" vertOverflow="ellipsis" vert="horz" wrap="square" lIns="38100" tIns="19050" rIns="38100" bIns="19050" anchor="ctr" anchorCtr="true"/>
                  <a:lstStyle/>
                  <a:p>
                    <a:pPr>
                      <a:defRPr lang="zh-CN" sz="900" b="1" i="0" u="none" strike="noStrike" kern="1200" baseline="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8.35</a:t>
                    </a:r>
                    <a:r>
                      <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亿元</a:t>
                    </a:r>
                    <a:endPar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endParaRPr>
                  </a:p>
                  <a:p>
                    <a:pPr>
                      <a:defRPr lang="zh-CN" sz="900" b="1" i="0" u="none" strike="noStrike" kern="1200" baseline="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25.12%</a:t>
                    </a:r>
                    <a:endPar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endParaRPr>
                  </a:p>
                  <a:p>
                    <a:pPr>
                      <a:defRPr lang="zh-CN" sz="900" b="1" i="0" u="none" strike="noStrike" kern="1200" baseline="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2023</a:t>
                    </a:r>
                    <a:r>
                      <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年</a:t>
                    </a:r>
                    <a:endPar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endParaRPr>
                  </a:p>
                </c:rich>
              </c:tx>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dLbl>
              <c:idx val="3"/>
              <c:layout>
                <c:manualLayout>
                  <c:x val="0.171418387326991"/>
                  <c:y val="-0.000113619291314773"/>
                </c:manualLayout>
              </c:layout>
              <c:tx>
                <c:rich>
                  <a:bodyPr rot="0" spcFirstLastPara="0" vertOverflow="ellipsis" vert="horz" wrap="square" lIns="38100" tIns="19050" rIns="38100" bIns="19050" anchor="ctr" anchorCtr="true"/>
                  <a:lstStyle/>
                  <a:p>
                    <a:pPr>
                      <a:defRPr lang="zh-CN" sz="900" b="1" i="0" u="none" strike="noStrike" kern="1200" baseline="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7.11</a:t>
                    </a:r>
                    <a:r>
                      <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亿元</a:t>
                    </a:r>
                    <a:endPar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endParaRPr>
                  </a:p>
                  <a:p>
                    <a:pPr>
                      <a:defRPr lang="zh-CN" sz="900" b="1" i="0" u="none" strike="noStrike" kern="1200" baseline="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21.39%</a:t>
                    </a:r>
                    <a:endPar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endParaRPr>
                  </a:p>
                  <a:p>
                    <a:pPr>
                      <a:defRPr lang="zh-CN" sz="900" b="1" i="0" u="none" strike="noStrike" kern="1200" baseline="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2024</a:t>
                    </a:r>
                    <a:r>
                      <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年</a:t>
                    </a:r>
                    <a:endPar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endParaRPr>
                  </a:p>
                </c:rich>
              </c:tx>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dLbl>
              <c:idx val="4"/>
              <c:layout>
                <c:manualLayout>
                  <c:x val="0.0539637925307477"/>
                  <c:y val="0.1782225576983"/>
                </c:manualLayout>
              </c:layout>
              <c:tx>
                <c:rich>
                  <a:bodyPr rot="0" spcFirstLastPara="0" vertOverflow="ellipsis" vert="horz" wrap="square" lIns="38100" tIns="19050" rIns="38100" bIns="19050" anchor="ctr" anchorCtr="true"/>
                  <a:lstStyle/>
                  <a:p>
                    <a:pPr>
                      <a:defRPr lang="zh-CN" sz="900" b="1" i="0" u="none" strike="noStrike" kern="1200" baseline="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4.90</a:t>
                    </a:r>
                    <a:r>
                      <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亿元</a:t>
                    </a:r>
                    <a:endPar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endParaRPr>
                  </a:p>
                  <a:p>
                    <a:pPr>
                      <a:defRPr lang="zh-CN" sz="900" b="1" i="0" u="none" strike="noStrike" kern="1200" baseline="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14.74%</a:t>
                    </a:r>
                    <a:endPar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endParaRPr>
                  </a:p>
                  <a:p>
                    <a:pPr>
                      <a:defRPr lang="zh-CN" sz="900" b="1" i="0" u="none" strike="noStrike" kern="1200" baseline="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r>
                      <a:rPr lang="en-US" altLang="zh-CN"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2025</a:t>
                    </a:r>
                    <a:r>
                      <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rPr>
                      <a:t>年</a:t>
                    </a:r>
                    <a:endParaRPr lang="zh-CN" altLang="en-US" sz="120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endParaRPr>
                  </a:p>
                </c:rich>
              </c:tx>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900" b="1" i="0" u="none" strike="noStrike" kern="1200" baseline="0">
                    <a:solidFill>
                      <a:sysClr val="windowText" lastClr="000000"/>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p>
            </c:txPr>
            <c:dLblPos val="inEnd"/>
            <c:showLegendKey val="false"/>
            <c:showVal val="true"/>
            <c:showCatName val="false"/>
            <c:showSerName val="false"/>
            <c:showPercent val="false"/>
            <c:showBubbleSize val="false"/>
            <c:showLeaderLines val="true"/>
            <c:extLst>
              <c:ext xmlns:c15="http://schemas.microsoft.com/office/drawing/2012/chart" uri="{CE6537A1-D6FC-4f65-9D91-7224C49458BB}">
                <c15:layout/>
                <c15:showLeaderLines val="true"/>
                <c15:leaderLines>
                  <c:spPr>
                    <a:ln w="9525" cap="flat" cmpd="sng" algn="ctr">
                      <a:solidFill>
                        <a:srgbClr val="A6A6A6">
                          <a:lumMod val="35000"/>
                          <a:lumOff val="65000"/>
                        </a:srgbClr>
                      </a:solidFill>
                      <a:prstDash val="solid"/>
                      <a:round/>
                    </a:ln>
                    <a:effectLst/>
                  </c:spPr>
                </c15:leaderLines>
              </c:ext>
            </c:extLst>
          </c:dLbls>
          <c:cat>
            <c:numRef>
              <c:f>[工作簿1]Sheet2!$G$147:$K$147</c:f>
              <c:numCache>
                <c:formatCode>General</c:formatCode>
                <c:ptCount val="5"/>
                <c:pt idx="0">
                  <c:v>2021</c:v>
                </c:pt>
                <c:pt idx="1">
                  <c:v>2022</c:v>
                </c:pt>
                <c:pt idx="2">
                  <c:v>2023</c:v>
                </c:pt>
                <c:pt idx="3">
                  <c:v>2024</c:v>
                </c:pt>
                <c:pt idx="4">
                  <c:v>2025</c:v>
                </c:pt>
              </c:numCache>
            </c:numRef>
          </c:cat>
          <c:val>
            <c:numRef>
              <c:f>[工作簿1]Sheet2!$G$148:$K$148</c:f>
              <c:numCache>
                <c:formatCode>0.00%</c:formatCode>
                <c:ptCount val="5"/>
                <c:pt idx="0">
                  <c:v>0.1838</c:v>
                </c:pt>
                <c:pt idx="1">
                  <c:v>0.2036</c:v>
                </c:pt>
                <c:pt idx="2">
                  <c:v>0.2512</c:v>
                </c:pt>
                <c:pt idx="3">
                  <c:v>0.214</c:v>
                </c:pt>
                <c:pt idx="4">
                  <c:v>0.1474</c:v>
                </c:pt>
              </c:numCache>
            </c:numRef>
          </c:val>
        </c:ser>
        <c:ser>
          <c:idx val="0"/>
          <c:order val="1"/>
          <c:tx>
            <c:strRef>
              <c:f>"年份"</c:f>
              <c:strCache>
                <c:ptCount val="1"/>
                <c:pt idx="0">
                  <c:v>年份</c:v>
                </c:pt>
              </c:strCache>
            </c:strRef>
          </c:tx>
          <c:explosion val="0"/>
          <c:dPt>
            <c:idx val="0"/>
            <c:bubble3D val="false"/>
            <c:spPr>
              <a:solidFill>
                <a:srgbClr val="4F81BD"/>
              </a:solidFill>
              <a:ln>
                <a:noFill/>
              </a:ln>
              <a:effectLst>
                <a:outerShdw blurRad="317500" algn="ctr" rotWithShape="0">
                  <a:prstClr val="black">
                    <a:alpha val="25000"/>
                  </a:prstClr>
                </a:outerShdw>
              </a:effectLst>
            </c:spPr>
          </c:dPt>
          <c:dPt>
            <c:idx val="1"/>
            <c:bubble3D val="false"/>
            <c:spPr>
              <a:solidFill>
                <a:srgbClr val="C0504D"/>
              </a:solidFill>
              <a:ln>
                <a:noFill/>
              </a:ln>
              <a:effectLst>
                <a:outerShdw blurRad="317500" algn="ctr" rotWithShape="0">
                  <a:prstClr val="black">
                    <a:alpha val="25000"/>
                  </a:prstClr>
                </a:outerShdw>
              </a:effectLst>
            </c:spPr>
          </c:dPt>
          <c:dPt>
            <c:idx val="2"/>
            <c:bubble3D val="false"/>
            <c:spPr>
              <a:solidFill>
                <a:srgbClr val="9BBB59"/>
              </a:solidFill>
              <a:ln>
                <a:noFill/>
              </a:ln>
              <a:effectLst>
                <a:outerShdw blurRad="317500" algn="ctr" rotWithShape="0">
                  <a:prstClr val="black">
                    <a:alpha val="25000"/>
                  </a:prstClr>
                </a:outerShdw>
              </a:effectLst>
            </c:spPr>
          </c:dPt>
          <c:dPt>
            <c:idx val="3"/>
            <c:bubble3D val="false"/>
            <c:spPr>
              <a:solidFill>
                <a:srgbClr val="8064A2"/>
              </a:solidFill>
              <a:ln>
                <a:noFill/>
              </a:ln>
              <a:effectLst>
                <a:outerShdw blurRad="317500" algn="ctr" rotWithShape="0">
                  <a:prstClr val="black">
                    <a:alpha val="25000"/>
                  </a:prstClr>
                </a:outerShdw>
              </a:effectLst>
            </c:spPr>
          </c:dPt>
          <c:dPt>
            <c:idx val="4"/>
            <c:bubble3D val="false"/>
            <c:spPr>
              <a:solidFill>
                <a:srgbClr val="4BACC6"/>
              </a:solidFill>
              <a:ln>
                <a:noFill/>
              </a:ln>
              <a:effectLst>
                <a:outerShdw blurRad="317500" algn="ctr" rotWithShape="0">
                  <a:prstClr val="black">
                    <a:alpha val="25000"/>
                  </a:prstClr>
                </a:outerShdw>
              </a:effectLst>
            </c:spPr>
          </c:dPt>
          <c:dLbls>
            <c:spPr>
              <a:noFill/>
              <a:ln>
                <a:noFill/>
              </a:ln>
              <a:effectLst/>
            </c:spPr>
            <c:txPr>
              <a:bodyPr rot="0" spcFirstLastPara="0" vertOverflow="ellipsis" vert="horz" wrap="square" lIns="38100" tIns="19050" rIns="38100" bIns="19050" anchor="ctr" anchorCtr="true"/>
              <a:lstStyle/>
              <a:p>
                <a:pPr>
                  <a:defRPr lang="zh-CN" sz="900" b="1" i="0" u="none" strike="noStrike" kern="1200" baseline="0">
                    <a:solidFill>
                      <a:srgbClr val="FFFFFF"/>
                    </a:solidFill>
                    <a:latin typeface="+mn-lt"/>
                    <a:ea typeface="+mn-ea"/>
                    <a:cs typeface="+mn-cs"/>
                  </a:defRPr>
                </a:pPr>
              </a:p>
            </c:txPr>
            <c:dLblPos val="inEnd"/>
            <c:showLegendKey val="false"/>
            <c:showVal val="true"/>
            <c:showCatName val="false"/>
            <c:showSerName val="false"/>
            <c:showPercent val="false"/>
            <c:showBubbleSize val="false"/>
            <c:showLeaderLines val="true"/>
            <c:extLst>
              <c:ext xmlns:c15="http://schemas.microsoft.com/office/drawing/2012/chart" uri="{CE6537A1-D6FC-4f65-9D91-7224C49458BB}">
                <c15:layout/>
                <c15:showLeaderLines val="true"/>
                <c15:leaderLines>
                  <c:spPr>
                    <a:ln w="9525" cap="flat" cmpd="sng" algn="ctr">
                      <a:solidFill>
                        <a:srgbClr val="A6A6A6">
                          <a:lumMod val="35000"/>
                          <a:lumOff val="65000"/>
                        </a:srgbClr>
                      </a:solidFill>
                      <a:prstDash val="solid"/>
                      <a:round/>
                    </a:ln>
                    <a:effectLst/>
                  </c:spPr>
                </c15:leaderLines>
              </c:ext>
            </c:extLst>
          </c:dLbls>
          <c:cat>
            <c:numRef>
              <c:f>[工作簿1]Sheet2!$G$147:$K$147</c:f>
              <c:numCache>
                <c:formatCode>General</c:formatCode>
                <c:ptCount val="5"/>
                <c:pt idx="0">
                  <c:v>2021</c:v>
                </c:pt>
                <c:pt idx="1">
                  <c:v>2022</c:v>
                </c:pt>
                <c:pt idx="2">
                  <c:v>2023</c:v>
                </c:pt>
                <c:pt idx="3">
                  <c:v>2024</c:v>
                </c:pt>
                <c:pt idx="4">
                  <c:v>2025</c:v>
                </c:pt>
              </c:numCache>
            </c:numRef>
          </c:cat>
          <c:val>
            <c:numRef>
              <c:f>[工作簿1]Sheet2!$G$147:$K$147</c:f>
              <c:numCache>
                <c:formatCode>General</c:formatCode>
                <c:ptCount val="5"/>
                <c:pt idx="0">
                  <c:v>2021</c:v>
                </c:pt>
                <c:pt idx="1">
                  <c:v>2022</c:v>
                </c:pt>
                <c:pt idx="2">
                  <c:v>2023</c:v>
                </c:pt>
                <c:pt idx="3">
                  <c:v>2024</c:v>
                </c:pt>
                <c:pt idx="4">
                  <c:v>2025</c:v>
                </c:pt>
              </c:numCache>
            </c:numRef>
          </c:val>
        </c:ser>
        <c:dLbls>
          <c:showLegendKey val="false"/>
          <c:showVal val="true"/>
          <c:showCatName val="false"/>
          <c:showSerName val="false"/>
          <c:showPercent val="false"/>
          <c:showBubbleSize val="false"/>
          <c:showLeaderLines val="true"/>
        </c:dLbls>
        <c:firstSliceAng val="0"/>
      </c:pieChart>
      <c:spPr>
        <a:noFill/>
        <a:ln>
          <a:noFill/>
        </a:ln>
        <a:effectLst/>
      </c:spPr>
    </c:plotArea>
    <c:legend>
      <c:legendPos val="b"/>
      <c:legendEntry>
        <c:idx val="0"/>
        <c:txPr>
          <a:bodyPr rot="0" spcFirstLastPara="0" vertOverflow="ellipsis" vert="horz" wrap="square" anchor="ctr" anchorCtr="true"/>
          <a:lstStyle/>
          <a:p>
            <a:pPr>
              <a:defRPr lang="zh-CN" sz="1200" b="0" i="0" u="none" strike="noStrike" kern="1200" baseline="0">
                <a:solidFill>
                  <a:srgbClr val="595959">
                    <a:lumMod val="65000"/>
                    <a:lumOff val="35000"/>
                  </a:srgbClr>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p>
        </c:txPr>
      </c:legendEntry>
      <c:legendEntry>
        <c:idx val="1"/>
        <c:txPr>
          <a:bodyPr rot="0" spcFirstLastPara="0" vertOverflow="ellipsis" vert="horz" wrap="square" anchor="ctr" anchorCtr="true"/>
          <a:lstStyle/>
          <a:p>
            <a:pPr>
              <a:defRPr lang="zh-CN" sz="1200" b="0" i="0" u="none" strike="noStrike" kern="1200" baseline="0">
                <a:solidFill>
                  <a:srgbClr val="595959">
                    <a:lumMod val="65000"/>
                    <a:lumOff val="35000"/>
                  </a:srgbClr>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p>
        </c:txPr>
      </c:legendEntry>
      <c:legendEntry>
        <c:idx val="2"/>
        <c:txPr>
          <a:bodyPr rot="0" spcFirstLastPara="0" vertOverflow="ellipsis" vert="horz" wrap="square" anchor="ctr" anchorCtr="true"/>
          <a:lstStyle/>
          <a:p>
            <a:pPr>
              <a:defRPr lang="zh-CN" sz="1200" b="0" i="0" u="none" strike="noStrike" kern="1200" baseline="0">
                <a:solidFill>
                  <a:srgbClr val="595959">
                    <a:lumMod val="65000"/>
                    <a:lumOff val="35000"/>
                  </a:srgbClr>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p>
        </c:txPr>
      </c:legendEntry>
      <c:legendEntry>
        <c:idx val="3"/>
        <c:txPr>
          <a:bodyPr rot="0" spcFirstLastPara="0" vertOverflow="ellipsis" vert="horz" wrap="square" anchor="ctr" anchorCtr="true"/>
          <a:lstStyle/>
          <a:p>
            <a:pPr>
              <a:defRPr lang="zh-CN" sz="1200" b="0" i="0" u="none" strike="noStrike" kern="1200" baseline="0">
                <a:solidFill>
                  <a:srgbClr val="595959">
                    <a:lumMod val="65000"/>
                    <a:lumOff val="35000"/>
                  </a:srgbClr>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p>
        </c:txPr>
      </c:legendEntry>
      <c:legendEntry>
        <c:idx val="4"/>
        <c:txPr>
          <a:bodyPr rot="0" spcFirstLastPara="0" vertOverflow="ellipsis" vert="horz" wrap="square" anchor="ctr" anchorCtr="true"/>
          <a:lstStyle/>
          <a:p>
            <a:pPr>
              <a:defRPr lang="zh-CN" sz="1200" b="0" i="0" u="none" strike="noStrike" kern="1200" baseline="0">
                <a:solidFill>
                  <a:srgbClr val="595959">
                    <a:lumMod val="65000"/>
                    <a:lumOff val="35000"/>
                  </a:srgbClr>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p>
        </c:txPr>
      </c:legendEntry>
      <c:layout>
        <c:manualLayout>
          <c:xMode val="edge"/>
          <c:yMode val="edge"/>
          <c:x val="0.340047114252061"/>
          <c:y val="0.940695532012899"/>
        </c:manualLayout>
      </c:layout>
      <c:overlay val="false"/>
      <c:spPr>
        <a:solidFill>
          <a:srgbClr val="FFFFFF">
            <a:alpha val="78000"/>
          </a:srgbClr>
        </a:solidFill>
        <a:ln>
          <a:noFill/>
        </a:ln>
        <a:effectLst/>
      </c:spPr>
      <c:txPr>
        <a:bodyPr rot="0" spcFirstLastPara="0" vertOverflow="ellipsis" vert="horz" wrap="square" anchor="ctr" anchorCtr="true"/>
        <a:lstStyle/>
        <a:p>
          <a:pPr>
            <a:defRPr lang="zh-CN" sz="1200" b="0" i="0" u="none" strike="noStrike" kern="1200" baseline="0">
              <a:solidFill>
                <a:srgbClr val="595959">
                  <a:lumMod val="65000"/>
                  <a:lumOff val="35000"/>
                </a:srgbClr>
              </a:solidFill>
              <a:latin typeface="方正黑体_GBK" panose="03000509000000000000" pitchFamily="4" charset="-122"/>
              <a:ea typeface="方正黑体_GBK" panose="03000509000000000000" pitchFamily="4" charset="-122"/>
              <a:cs typeface="方正黑体_GBK" panose="03000509000000000000" pitchFamily="4" charset="-122"/>
              <a:sym typeface="方正黑体_GBK" panose="03000509000000000000" pitchFamily="4" charset="-122"/>
            </a:defRPr>
          </a:pPr>
        </a:p>
      </c:txPr>
    </c:legend>
    <c:plotVisOnly val="true"/>
    <c:dispBlanksAs val="zero"/>
    <c:showDLblsOverMax val="false"/>
  </c:chart>
  <c:spPr>
    <a:noFill/>
    <a:ln w="9525" cap="flat" cmpd="sng" algn="ctr">
      <a:noFill/>
      <a:prstDash val="solid"/>
      <a:round/>
    </a:ln>
    <a:effectLst/>
  </c:spPr>
  <c:txPr>
    <a:bodyPr/>
    <a:lstStyle/>
    <a:p>
      <a:pPr>
        <a:defRPr lang="zh-CN"/>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90</Pages>
  <Words>7880</Words>
  <Characters>44918</Characters>
  <Lines>374</Lines>
  <Paragraphs>105</Paragraphs>
  <TotalTime>3</TotalTime>
  <ScaleCrop>false</ScaleCrop>
  <LinksUpToDate>false</LinksUpToDate>
  <CharactersWithSpaces>52693</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2021-12-08T19:19:00Z</dcterms:created>
  <dc:creator>BoBo;曾洪柳</dc:creator>
  <cp:lastModifiedBy> </cp:lastModifiedBy>
  <cp:lastPrinted>2021-12-11T20:22:00Z</cp:lastPrinted>
  <dcterms:modified xsi:type="dcterms:W3CDTF">2026-04-01T09:18:32Z</dcterms:modified>
  <dc:title>黔江区农业农村现代化“十四五”规划</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KSOSaveFontToCloudKey">
    <vt:lpwstr>0_embed</vt:lpwstr>
  </property>
  <property fmtid="{D5CDD505-2E9C-101B-9397-08002B2CF9AE}" pid="4" name="ICV">
    <vt:lpwstr>B3B1329BED124A5F8A788F6EF0152979</vt:lpwstr>
  </property>
</Properties>
</file>