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712" w:firstLineChars="200"/>
        <w:jc w:val="center"/>
        <w:rPr>
          <w:rFonts w:eastAsia="方正小标宋_GBK"/>
          <w:sz w:val="36"/>
          <w:szCs w:val="36"/>
        </w:rPr>
      </w:pPr>
    </w:p>
    <w:p>
      <w:pPr>
        <w:spacing w:line="579" w:lineRule="exact"/>
        <w:ind w:firstLine="712" w:firstLineChars="200"/>
        <w:jc w:val="center"/>
        <w:rPr>
          <w:rFonts w:eastAsia="方正小标宋_GBK"/>
          <w:sz w:val="36"/>
          <w:szCs w:val="36"/>
        </w:rPr>
      </w:pPr>
    </w:p>
    <w:p>
      <w:pPr>
        <w:spacing w:line="579" w:lineRule="exact"/>
        <w:ind w:firstLine="712" w:firstLineChars="200"/>
        <w:jc w:val="center"/>
        <w:rPr>
          <w:rFonts w:eastAsia="方正小标宋_GBK"/>
          <w:sz w:val="36"/>
          <w:szCs w:val="36"/>
        </w:rPr>
      </w:pPr>
      <w:r>
        <w:rPr>
          <w:rFonts w:eastAsia="方正小标宋_GBK"/>
          <w:b/>
          <w:sz w:val="36"/>
          <w:szCs w:val="36"/>
        </w:rPr>
        <w:pict>
          <v:shape id="艺术字 12" o:spid="_x0000_s1037" o:spt="136" type="#_x0000_t136" style="position:absolute;left:0pt;margin-left:92.15pt;margin-top:76.3pt;height:52.4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text-align:center;"/>
          </v:shape>
        </w:pict>
      </w:r>
    </w:p>
    <w:p>
      <w:pPr>
        <w:spacing w:line="579" w:lineRule="exact"/>
        <w:ind w:firstLine="712" w:firstLineChars="200"/>
        <w:jc w:val="center"/>
        <w:rPr>
          <w:rFonts w:eastAsia="方正小标宋_GBK"/>
          <w:b/>
          <w:sz w:val="36"/>
          <w:szCs w:val="36"/>
        </w:rPr>
      </w:pPr>
    </w:p>
    <w:p>
      <w:pPr>
        <w:tabs>
          <w:tab w:val="left" w:pos="3792"/>
        </w:tabs>
        <w:spacing w:line="579" w:lineRule="exact"/>
        <w:ind w:firstLine="712" w:firstLineChars="200"/>
        <w:rPr>
          <w:rFonts w:eastAsia="方正小标宋_GBK"/>
          <w:sz w:val="36"/>
          <w:szCs w:val="36"/>
        </w:rPr>
      </w:pPr>
    </w:p>
    <w:p>
      <w:pPr>
        <w:tabs>
          <w:tab w:val="left" w:pos="3792"/>
        </w:tabs>
        <w:spacing w:line="579" w:lineRule="exact"/>
        <w:ind w:firstLine="288" w:firstLineChars="200"/>
        <w:rPr>
          <w:rFonts w:eastAsia="方正小标宋_GBK"/>
          <w:w w:val="53"/>
          <w:sz w:val="28"/>
          <w:szCs w:val="24"/>
        </w:rPr>
      </w:pPr>
    </w:p>
    <w:p>
      <w:pPr>
        <w:spacing w:line="579" w:lineRule="exact"/>
        <w:ind w:firstLine="2528" w:firstLineChars="800"/>
        <w:rPr>
          <w:szCs w:val="24"/>
        </w:rPr>
      </w:pPr>
      <w:r>
        <w:rPr>
          <w:szCs w:val="24"/>
        </w:rPr>
        <w:t>黔江府办发〔2022〕</w:t>
      </w:r>
      <w:r>
        <w:rPr>
          <w:rFonts w:hint="eastAsia"/>
          <w:szCs w:val="24"/>
        </w:rPr>
        <w:t>26</w:t>
      </w:r>
      <w:r>
        <w:rPr>
          <w:szCs w:val="24"/>
        </w:rPr>
        <w:t>号</w:t>
      </w:r>
    </w:p>
    <w:p>
      <w:pPr>
        <w:spacing w:line="579" w:lineRule="exact"/>
        <w:ind w:firstLine="632" w:firstLineChars="200"/>
        <w:rPr>
          <w:szCs w:val="24"/>
        </w:rPr>
      </w:pPr>
    </w:p>
    <w:p>
      <w:pPr>
        <w:spacing w:line="579" w:lineRule="exact"/>
        <w:ind w:firstLine="632" w:firstLineChars="200"/>
        <w:rPr>
          <w:szCs w:val="24"/>
        </w:rPr>
      </w:pPr>
    </w:p>
    <w:p>
      <w:pPr>
        <w:pStyle w:val="5"/>
        <w:spacing w:after="0" w:line="579" w:lineRule="exact"/>
        <w:ind w:right="318"/>
        <w:jc w:val="center"/>
        <w:rPr>
          <w:rFonts w:ascii="Times New Roman" w:hAnsi="Times New Roman" w:eastAsia="方正小标宋_GBK"/>
          <w:sz w:val="44"/>
          <w:szCs w:val="44"/>
        </w:rPr>
      </w:pPr>
      <w:r>
        <w:rPr>
          <w:rFonts w:ascii="Times New Roman" w:hAnsi="Times New Roman" w:eastAsia="方正小标宋_GBK"/>
          <w:sz w:val="44"/>
          <w:szCs w:val="44"/>
        </w:rPr>
        <w:t>重庆市黔江区人民政府办公室</w:t>
      </w:r>
    </w:p>
    <w:p>
      <w:pPr>
        <w:pStyle w:val="5"/>
        <w:spacing w:after="0" w:line="579" w:lineRule="exact"/>
        <w:ind w:right="318"/>
        <w:jc w:val="center"/>
        <w:rPr>
          <w:rFonts w:ascii="Times New Roman" w:hAnsi="Times New Roman" w:eastAsia="方正小标宋_GBK"/>
          <w:sz w:val="44"/>
          <w:szCs w:val="44"/>
        </w:rPr>
      </w:pPr>
      <w:r>
        <w:rPr>
          <w:rFonts w:ascii="Times New Roman" w:hAnsi="Times New Roman" w:eastAsia="方正小标宋_GBK"/>
          <w:sz w:val="44"/>
          <w:szCs w:val="44"/>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2584450</wp:posOffset>
                </wp:positionV>
                <wp:extent cx="5615940" cy="0"/>
                <wp:effectExtent l="0" t="10795" r="3810" b="17780"/>
                <wp:wrapNone/>
                <wp:docPr id="4" name="直线 1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a:effectLst/>
                      </wps:spPr>
                      <wps:bodyPr/>
                    </wps:wsp>
                  </a:graphicData>
                </a:graphic>
              </wp:anchor>
            </w:drawing>
          </mc:Choice>
          <mc:Fallback>
            <w:pict>
              <v:line id="直线 13" o:spid="_x0000_s1026" o:spt="20" style="position:absolute;left:0pt;margin-left:76.55pt;margin-top:203.5pt;height:0pt;width:442.2pt;mso-position-horizontal-relative:page;mso-position-vertical-relative:margin;z-index:251660288;mso-width-relative:page;mso-height-relative:page;" filled="f" stroked="t" coordsize="21600,21600" o:gfxdata="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2gS9S2AAAAAwBAAAP&#10;AAAAAAAAAAEAIAAAACIAAABkcnMvZG93bnJldi54bWxQSwECFAAUAAAACACHTuJAlIsnAt8BAACx&#10;AwAADgAAAAAAAAABACAAAAAnAQAAZHJzL2Uyb0RvYy54bWxQSwUGAAAAAAYABgBZAQAAeAUAAAAA&#10;">
                <v:fill on="f" focussize="0,0"/>
                <v:stroke weight="1.75pt" color="#FF0000" joinstyle="round"/>
                <v:imagedata o:title=""/>
                <o:lock v:ext="edit" aspectratio="f"/>
              </v:line>
            </w:pict>
          </mc:Fallback>
        </mc:AlternateContent>
      </w:r>
      <w:r>
        <w:rPr>
          <w:rFonts w:ascii="Times New Roman" w:hAnsi="Times New Roman" w:eastAsia="方正小标宋_GBK"/>
          <w:sz w:val="44"/>
          <w:szCs w:val="44"/>
        </w:rPr>
        <w:t>关于</w:t>
      </w:r>
      <w:r>
        <w:rPr>
          <w:rFonts w:hint="eastAsia" w:ascii="Times New Roman" w:hAnsi="Times New Roman" w:eastAsia="方正小标宋_GBK"/>
          <w:sz w:val="44"/>
          <w:szCs w:val="44"/>
        </w:rPr>
        <w:t>修订</w:t>
      </w:r>
      <w:r>
        <w:rPr>
          <w:rFonts w:ascii="Times New Roman" w:hAnsi="Times New Roman" w:eastAsia="方正小标宋_GBK"/>
          <w:sz w:val="44"/>
          <w:szCs w:val="44"/>
        </w:rPr>
        <w:t>印发《黔江区创建电子商务进农村综合示范区（升级版）实施方案》的通知</w:t>
      </w:r>
    </w:p>
    <w:p>
      <w:pPr>
        <w:pStyle w:val="5"/>
        <w:tabs>
          <w:tab w:val="center" w:pos="4460"/>
          <w:tab w:val="left" w:pos="6246"/>
        </w:tabs>
        <w:spacing w:line="579" w:lineRule="exact"/>
        <w:ind w:firstLine="412" w:firstLineChars="200"/>
        <w:rPr>
          <w:rFonts w:ascii="Times New Roman" w:hAnsi="Times New Roman"/>
          <w:sz w:val="32"/>
          <w:szCs w:val="32"/>
        </w:rPr>
      </w:pPr>
      <w:bookmarkStart w:id="0" w:name="_Hlk56944992"/>
      <w:bookmarkStart w:id="1" w:name="_Toc31827"/>
      <w:r>
        <w:rPr>
          <w:rFonts w:ascii="Times New Roman" w:hAnsi="Times New Roman" w:eastAsia="方正楷体_GBK"/>
        </w:rPr>
        <w:tab/>
      </w:r>
      <w:r>
        <w:rPr>
          <w:rFonts w:ascii="Times New Roman" w:hAnsi="Times New Roman" w:eastAsia="方正楷体_GBK"/>
          <w:sz w:val="32"/>
          <w:szCs w:val="32"/>
        </w:rPr>
        <w:tab/>
      </w:r>
    </w:p>
    <w:p>
      <w:pPr>
        <w:pStyle w:val="5"/>
        <w:spacing w:after="0" w:line="579" w:lineRule="exact"/>
        <w:rPr>
          <w:rFonts w:ascii="Times New Roman" w:hAnsi="Times New Roman" w:eastAsia="方正仿宋_GBK"/>
          <w:sz w:val="32"/>
          <w:szCs w:val="32"/>
        </w:rPr>
      </w:pPr>
      <w:r>
        <w:rPr>
          <w:rFonts w:ascii="Times New Roman" w:hAnsi="Times New Roman" w:eastAsia="方正仿宋_GBK"/>
          <w:sz w:val="32"/>
          <w:szCs w:val="32"/>
        </w:rPr>
        <w:t>各乡镇人民政府，各街道办事处，区政府各部门，有关单位：</w:t>
      </w:r>
    </w:p>
    <w:p>
      <w:pPr>
        <w:pStyle w:val="5"/>
        <w:spacing w:after="0" w:line="579"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现将修订后的《</w:t>
      </w:r>
      <w:r>
        <w:rPr>
          <w:rFonts w:ascii="Times New Roman" w:hAnsi="Times New Roman" w:eastAsia="方正仿宋_GBK"/>
          <w:sz w:val="32"/>
          <w:szCs w:val="32"/>
        </w:rPr>
        <w:t>黔江区创建电子商务进农村综合示范区（升级版）实施方案</w:t>
      </w:r>
      <w:r>
        <w:rPr>
          <w:rFonts w:hint="eastAsia" w:ascii="Times New Roman" w:hAnsi="Times New Roman" w:eastAsia="方正仿宋_GBK"/>
          <w:sz w:val="32"/>
          <w:szCs w:val="32"/>
        </w:rPr>
        <w:t>》</w:t>
      </w:r>
      <w:r>
        <w:rPr>
          <w:rFonts w:ascii="Times New Roman" w:hAnsi="Times New Roman" w:eastAsia="方正仿宋_GBK"/>
          <w:sz w:val="32"/>
          <w:szCs w:val="32"/>
        </w:rPr>
        <w:t>印发给你们，请认真贯彻落实。</w:t>
      </w:r>
      <w:r>
        <w:rPr>
          <w:rFonts w:hint="eastAsia" w:ascii="Times New Roman" w:hAnsi="Times New Roman" w:eastAsia="方正仿宋_GBK"/>
          <w:sz w:val="32"/>
          <w:szCs w:val="32"/>
        </w:rPr>
        <w:t>原《</w:t>
      </w:r>
      <w:r>
        <w:rPr>
          <w:rFonts w:ascii="Times New Roman" w:hAnsi="Times New Roman" w:eastAsia="方正仿宋_GBK"/>
          <w:sz w:val="32"/>
          <w:szCs w:val="32"/>
        </w:rPr>
        <w:t>重庆市黔江区人民政府办公室关于印发黔江区创建电子商务进农村综合示范区（升级版）实施方案</w:t>
      </w:r>
      <w:r>
        <w:rPr>
          <w:rFonts w:hint="eastAsia" w:ascii="Times New Roman" w:hAnsi="Times New Roman" w:eastAsia="方正仿宋_GBK"/>
          <w:sz w:val="32"/>
          <w:szCs w:val="32"/>
        </w:rPr>
        <w:t>》（</w:t>
      </w:r>
      <w:r>
        <w:rPr>
          <w:rFonts w:ascii="Times New Roman" w:hAnsi="Times New Roman" w:eastAsia="方正仿宋_GBK"/>
          <w:sz w:val="32"/>
          <w:szCs w:val="32"/>
        </w:rPr>
        <w:t>黔江府办发〔2021〕8号</w:t>
      </w:r>
      <w:r>
        <w:rPr>
          <w:rFonts w:hint="eastAsia" w:ascii="Times New Roman" w:hAnsi="Times New Roman" w:eastAsia="方正仿宋_GBK"/>
          <w:sz w:val="32"/>
          <w:szCs w:val="32"/>
        </w:rPr>
        <w:t>）同时废止。</w:t>
      </w:r>
    </w:p>
    <w:p>
      <w:pPr>
        <w:spacing w:line="579" w:lineRule="exact"/>
        <w:ind w:right="316" w:rightChars="100"/>
        <w:rPr>
          <w:rFonts w:hint="eastAsia"/>
          <w:szCs w:val="32"/>
        </w:rPr>
      </w:pPr>
    </w:p>
    <w:p>
      <w:pPr>
        <w:spacing w:line="579" w:lineRule="exact"/>
        <w:ind w:left="316" w:leftChars="100" w:right="316" w:rightChars="100" w:firstLine="3318" w:firstLineChars="1050"/>
        <w:rPr>
          <w:szCs w:val="32"/>
        </w:rPr>
      </w:pPr>
      <w:r>
        <w:rPr>
          <w:szCs w:val="32"/>
        </w:rPr>
        <w:t>重庆市黔江区人民政府办公室</w:t>
      </w:r>
    </w:p>
    <w:p>
      <w:pPr>
        <w:spacing w:line="500" w:lineRule="exact"/>
        <w:ind w:firstLine="4266" w:firstLineChars="1350"/>
        <w:rPr>
          <w:szCs w:val="32"/>
        </w:rPr>
      </w:pPr>
      <w:r>
        <w:rPr>
          <w:szCs w:val="32"/>
        </w:rPr>
        <w:t xml:space="preserve"> 2022年4月</w:t>
      </w:r>
      <w:r>
        <w:rPr>
          <w:rFonts w:hint="eastAsia"/>
          <w:szCs w:val="32"/>
        </w:rPr>
        <w:t>21</w:t>
      </w:r>
      <w:r>
        <w:rPr>
          <w:szCs w:val="32"/>
        </w:rPr>
        <w:t>日</w:t>
      </w:r>
    </w:p>
    <w:p>
      <w:pPr>
        <w:spacing w:line="500" w:lineRule="exact"/>
        <w:ind w:firstLine="474" w:firstLineChars="150"/>
        <w:rPr>
          <w:rFonts w:hint="eastAsia"/>
          <w:szCs w:val="24"/>
        </w:rPr>
      </w:pPr>
      <w:r>
        <w:rPr>
          <w:szCs w:val="24"/>
        </w:rPr>
        <w:t>（此件公开发布）</w:t>
      </w:r>
    </w:p>
    <w:p>
      <w:pPr>
        <w:pStyle w:val="5"/>
        <w:spacing w:after="0" w:line="579" w:lineRule="exact"/>
        <w:ind w:right="318"/>
        <w:jc w:val="center"/>
        <w:rPr>
          <w:rFonts w:ascii="Times New Roman" w:hAnsi="Times New Roman" w:eastAsia="方正小标宋_GBK"/>
          <w:sz w:val="44"/>
          <w:szCs w:val="44"/>
        </w:rPr>
      </w:pPr>
      <w:r>
        <w:rPr>
          <w:rFonts w:ascii="Times New Roman" w:hAnsi="Times New Roman" w:eastAsia="方正小标宋_GBK"/>
          <w:sz w:val="44"/>
          <w:szCs w:val="44"/>
        </w:rPr>
        <w:t>黔江区创建电子商务进农村综合示范区</w:t>
      </w:r>
    </w:p>
    <w:p>
      <w:pPr>
        <w:pStyle w:val="5"/>
        <w:spacing w:after="0" w:line="579" w:lineRule="exact"/>
        <w:ind w:right="318"/>
        <w:jc w:val="center"/>
        <w:rPr>
          <w:rFonts w:ascii="Times New Roman" w:hAnsi="Times New Roman" w:eastAsia="方正小标宋_GBK"/>
          <w:sz w:val="44"/>
          <w:szCs w:val="44"/>
        </w:rPr>
      </w:pPr>
      <w:r>
        <w:rPr>
          <w:rFonts w:ascii="Times New Roman" w:hAnsi="Times New Roman" w:eastAsia="方正小标宋_GBK"/>
          <w:sz w:val="44"/>
          <w:szCs w:val="44"/>
        </w:rPr>
        <w:t>（升级版）实施方案</w:t>
      </w:r>
    </w:p>
    <w:p>
      <w:pPr>
        <w:pStyle w:val="6"/>
        <w:ind w:left="632"/>
      </w:pPr>
    </w:p>
    <w:bookmarkEnd w:id="0"/>
    <w:bookmarkEnd w:id="1"/>
    <w:p>
      <w:pPr>
        <w:spacing w:line="579" w:lineRule="exact"/>
        <w:ind w:firstLine="632" w:firstLineChars="200"/>
        <w:outlineLvl w:val="0"/>
        <w:rPr>
          <w:szCs w:val="32"/>
        </w:rPr>
      </w:pPr>
      <w:r>
        <w:rPr>
          <w:szCs w:val="32"/>
        </w:rPr>
        <w:t>为促进电子商务进农村提质增效，推动电子商务与本地优势产业深度融合，助力巩固拓展脱贫攻坚成果同乡村振兴有效衔接，根据《财政部办公厅 商务部办公厅 国务院扶贫办综合司关于做好2020年电子商务进农村综合示范工作的通知》（财办建〔2020〕48号）、《重庆市2020年电子商务进农村综合示范专项资金管理实施细则》（渝商务发〔2020〕15号）文件精神，结合我区实际，制定本实施方案。</w:t>
      </w:r>
    </w:p>
    <w:p>
      <w:pPr>
        <w:spacing w:line="579" w:lineRule="exact"/>
        <w:ind w:firstLine="632" w:firstLineChars="200"/>
        <w:outlineLvl w:val="0"/>
        <w:rPr>
          <w:rFonts w:eastAsia="方正黑体_GBK"/>
          <w:szCs w:val="32"/>
        </w:rPr>
      </w:pPr>
      <w:r>
        <w:rPr>
          <w:rFonts w:eastAsia="方正黑体_GBK"/>
          <w:szCs w:val="32"/>
        </w:rPr>
        <w:t>一、指导思想</w:t>
      </w:r>
    </w:p>
    <w:p>
      <w:pPr>
        <w:spacing w:line="579" w:lineRule="exact"/>
        <w:ind w:firstLine="632" w:firstLineChars="200"/>
        <w:outlineLvl w:val="0"/>
        <w:rPr>
          <w:szCs w:val="32"/>
        </w:rPr>
      </w:pPr>
      <w:bookmarkStart w:id="2" w:name="_Toc10703"/>
      <w:bookmarkStart w:id="3" w:name="_Toc4231"/>
      <w:r>
        <w:rPr>
          <w:szCs w:val="32"/>
        </w:rPr>
        <w:t>以习近平新时代中国特色社会主义思想为指导，深入贯彻党的十九大和十九届二中、三中、四中、五中、六中全会精神，全面落实习近平总书记关于扶贫工作、乡村振兴战略的重要论述，坚持新发展理念，坚持以人民为中心，以电子商务进农村综合示范创建为抓手，以现代信息技术为依托，创新引领农村流通转型升级，提速推进农业农村现代化，切实发挥“山韵黔江”区域公共品牌作用，推动农村电商从“助脱贫”向“兴产业”转化，实现农村电商发展从量到质转变。</w:t>
      </w:r>
    </w:p>
    <w:bookmarkEnd w:id="2"/>
    <w:bookmarkEnd w:id="3"/>
    <w:p>
      <w:pPr>
        <w:spacing w:line="579" w:lineRule="exact"/>
        <w:ind w:firstLine="632" w:firstLineChars="200"/>
        <w:outlineLvl w:val="0"/>
        <w:rPr>
          <w:rFonts w:eastAsia="方正黑体_GBK"/>
          <w:szCs w:val="32"/>
        </w:rPr>
      </w:pPr>
      <w:r>
        <w:rPr>
          <w:rFonts w:eastAsia="方正黑体_GBK"/>
          <w:szCs w:val="32"/>
        </w:rPr>
        <w:t>二、工作目标</w:t>
      </w:r>
    </w:p>
    <w:p>
      <w:pPr>
        <w:pStyle w:val="35"/>
        <w:spacing w:line="579" w:lineRule="exact"/>
        <w:ind w:firstLine="632" w:firstLineChars="200"/>
        <w:outlineLvl w:val="0"/>
        <w:rPr>
          <w:rFonts w:ascii="Times New Roman" w:hAnsi="Times New Roman" w:eastAsia="方正仿宋_GBK"/>
          <w:kern w:val="0"/>
          <w:sz w:val="32"/>
          <w:szCs w:val="32"/>
          <w:lang w:val="zh-CN" w:bidi="zh-CN"/>
        </w:rPr>
      </w:pPr>
      <w:r>
        <w:rPr>
          <w:rFonts w:ascii="Times New Roman" w:hAnsi="Times New Roman" w:eastAsia="方正仿宋_GBK"/>
          <w:kern w:val="0"/>
          <w:sz w:val="32"/>
          <w:szCs w:val="32"/>
          <w:lang w:val="zh-CN" w:bidi="zh-CN"/>
        </w:rPr>
        <w:t>以“一中心五体系”为基础，按照“强基础、补短板、增亮点、上台阶”的总体思路，着力实施区乡村三级物流共同配送体系、农产品进城公共服务体系、工业品下乡流通服务体系、电子商务培训、农村产品产业培育和品牌打造五大提升工程，持续扩</w:t>
      </w:r>
      <w:r>
        <w:rPr>
          <w:rFonts w:ascii="Times New Roman" w:hAnsi="Times New Roman" w:eastAsia="方正仿宋_GBK"/>
          <w:sz w:val="32"/>
          <w:szCs w:val="32"/>
        </w:rPr>
        <w:t>大农村电子商务覆盖面，</w:t>
      </w:r>
      <w:r>
        <w:rPr>
          <w:rFonts w:ascii="Times New Roman" w:hAnsi="Times New Roman" w:eastAsia="方正仿宋_GBK"/>
          <w:kern w:val="0"/>
          <w:sz w:val="32"/>
          <w:szCs w:val="32"/>
          <w:lang w:val="zh-CN" w:bidi="zh-CN"/>
        </w:rPr>
        <w:t>形成功能完备的农村电商产业链和生态圈</w:t>
      </w:r>
      <w:r>
        <w:rPr>
          <w:rFonts w:ascii="Times New Roman" w:hAnsi="Times New Roman" w:eastAsia="方正仿宋_GBK"/>
          <w:kern w:val="0"/>
          <w:sz w:val="32"/>
          <w:szCs w:val="32"/>
          <w:lang w:bidi="zh-CN"/>
        </w:rPr>
        <w:t>。</w:t>
      </w:r>
      <w:r>
        <w:rPr>
          <w:rFonts w:ascii="Times New Roman" w:hAnsi="Times New Roman" w:eastAsia="方正仿宋_GBK"/>
          <w:kern w:val="0"/>
          <w:sz w:val="32"/>
          <w:szCs w:val="32"/>
          <w:lang w:val="zh-CN" w:bidi="zh-CN"/>
        </w:rPr>
        <w:t>力争到2022年底，全区农村网络零售额、农产品网络零售额等指标整体增速高于全国平均水平，培育年营业额</w:t>
      </w:r>
      <w:r>
        <w:rPr>
          <w:rFonts w:ascii="Times New Roman" w:hAnsi="Times New Roman" w:eastAsia="方正仿宋_GBK"/>
          <w:kern w:val="0"/>
          <w:sz w:val="32"/>
          <w:szCs w:val="32"/>
          <w:lang w:bidi="zh-CN"/>
        </w:rPr>
        <w:t>1000万元及以上的电商企业1</w:t>
      </w:r>
      <w:r>
        <w:rPr>
          <w:rFonts w:ascii="Times New Roman" w:hAnsi="Times New Roman" w:eastAsia="方正仿宋_GBK"/>
          <w:kern w:val="0"/>
          <w:sz w:val="32"/>
          <w:szCs w:val="32"/>
          <w:lang w:val="zh-CN" w:bidi="zh-CN"/>
        </w:rPr>
        <w:t>—</w:t>
      </w:r>
      <w:r>
        <w:rPr>
          <w:rFonts w:ascii="Times New Roman" w:hAnsi="Times New Roman" w:eastAsia="方正仿宋_GBK"/>
          <w:kern w:val="0"/>
          <w:sz w:val="32"/>
          <w:szCs w:val="32"/>
          <w:lang w:bidi="zh-CN"/>
        </w:rPr>
        <w:t>2个</w:t>
      </w:r>
      <w:r>
        <w:rPr>
          <w:rFonts w:ascii="Times New Roman" w:hAnsi="Times New Roman" w:eastAsia="方正仿宋_GBK"/>
          <w:kern w:val="0"/>
          <w:sz w:val="32"/>
          <w:szCs w:val="32"/>
          <w:lang w:val="zh-CN" w:bidi="zh-CN"/>
        </w:rPr>
        <w:t>，累计开展电商人才培训</w:t>
      </w:r>
      <w:r>
        <w:rPr>
          <w:rFonts w:ascii="Times New Roman" w:hAnsi="Times New Roman" w:eastAsia="方正仿宋_GBK"/>
          <w:kern w:val="0"/>
          <w:sz w:val="32"/>
          <w:szCs w:val="32"/>
          <w:lang w:bidi="zh-CN"/>
        </w:rPr>
        <w:t>500</w:t>
      </w:r>
      <w:r>
        <w:rPr>
          <w:rFonts w:ascii="Times New Roman" w:hAnsi="Times New Roman" w:eastAsia="方正仿宋_GBK"/>
          <w:kern w:val="0"/>
          <w:sz w:val="32"/>
          <w:szCs w:val="32"/>
          <w:lang w:val="zh-CN" w:bidi="zh-CN"/>
        </w:rPr>
        <w:t>人次以上，</w:t>
      </w:r>
      <w:r>
        <w:rPr>
          <w:rFonts w:ascii="Times New Roman" w:hAnsi="Times New Roman" w:eastAsia="方正仿宋_GBK"/>
          <w:sz w:val="32"/>
          <w:szCs w:val="32"/>
        </w:rPr>
        <w:t>新增电商经营主体50户</w:t>
      </w:r>
      <w:r>
        <w:rPr>
          <w:rFonts w:ascii="Times New Roman" w:hAnsi="Times New Roman" w:eastAsia="方正仿宋_GBK"/>
          <w:kern w:val="0"/>
          <w:sz w:val="32"/>
          <w:szCs w:val="32"/>
          <w:lang w:val="zh-CN" w:bidi="zh-CN"/>
        </w:rPr>
        <w:t>，</w:t>
      </w:r>
      <w:r>
        <w:rPr>
          <w:rFonts w:ascii="Times New Roman" w:hAnsi="Times New Roman" w:eastAsia="方正仿宋_GBK"/>
          <w:kern w:val="0"/>
          <w:sz w:val="32"/>
          <w:szCs w:val="32"/>
          <w:lang w:bidi="zh-CN"/>
        </w:rPr>
        <w:t>打造直播基地不低于2个，</w:t>
      </w:r>
      <w:r>
        <w:rPr>
          <w:rFonts w:ascii="Times New Roman" w:hAnsi="Times New Roman" w:eastAsia="方正仿宋_GBK"/>
          <w:snapToGrid w:val="0"/>
          <w:kern w:val="0"/>
          <w:sz w:val="32"/>
          <w:szCs w:val="32"/>
          <w:shd w:val="clear" w:color="auto" w:fill="FFFFFF"/>
        </w:rPr>
        <w:t>培育本地直播带货达人50名，</w:t>
      </w:r>
      <w:r>
        <w:rPr>
          <w:rFonts w:ascii="Times New Roman" w:hAnsi="Times New Roman" w:eastAsia="方正仿宋_GBK"/>
          <w:kern w:val="0"/>
          <w:sz w:val="32"/>
          <w:szCs w:val="32"/>
          <w:lang w:val="zh-CN" w:bidi="zh-CN"/>
        </w:rPr>
        <w:t>积极培育市级电子商务示范园区和示范企业。</w:t>
      </w:r>
    </w:p>
    <w:p>
      <w:pPr>
        <w:spacing w:line="579" w:lineRule="exact"/>
        <w:ind w:firstLine="632" w:firstLineChars="200"/>
        <w:outlineLvl w:val="0"/>
        <w:rPr>
          <w:rFonts w:eastAsia="方正黑体_GBK"/>
          <w:szCs w:val="32"/>
        </w:rPr>
      </w:pPr>
      <w:r>
        <w:rPr>
          <w:rFonts w:eastAsia="方正黑体_GBK"/>
          <w:szCs w:val="32"/>
        </w:rPr>
        <w:t>三、实施方向及建设内容</w:t>
      </w:r>
    </w:p>
    <w:p>
      <w:pPr>
        <w:pStyle w:val="35"/>
        <w:spacing w:line="579" w:lineRule="exact"/>
        <w:ind w:firstLine="632" w:firstLineChars="200"/>
        <w:outlineLvl w:val="0"/>
        <w:rPr>
          <w:rFonts w:ascii="Times New Roman" w:hAnsi="Times New Roman" w:eastAsia="方正楷体_GBK"/>
          <w:bCs/>
          <w:sz w:val="32"/>
          <w:szCs w:val="32"/>
        </w:rPr>
      </w:pPr>
      <w:bookmarkStart w:id="4" w:name="_Hlk56946482"/>
      <w:r>
        <w:rPr>
          <w:rFonts w:ascii="Times New Roman" w:hAnsi="Times New Roman" w:eastAsia="方正楷体_GBK"/>
          <w:bCs/>
          <w:sz w:val="32"/>
          <w:szCs w:val="32"/>
        </w:rPr>
        <w:t>（一）区乡村三级物流共同配送体系提升工程</w:t>
      </w:r>
    </w:p>
    <w:p>
      <w:pPr>
        <w:pStyle w:val="5"/>
        <w:spacing w:after="0" w:line="579" w:lineRule="exact"/>
        <w:ind w:firstLine="632" w:firstLineChars="200"/>
        <w:rPr>
          <w:rFonts w:ascii="Times New Roman" w:hAnsi="Times New Roman" w:eastAsia="方正仿宋_GBK"/>
          <w:sz w:val="32"/>
          <w:szCs w:val="32"/>
        </w:rPr>
      </w:pPr>
      <w:r>
        <w:rPr>
          <w:rFonts w:ascii="Times New Roman" w:hAnsi="Times New Roman" w:eastAsia="方正仿宋_GBK"/>
          <w:b/>
          <w:bCs/>
          <w:sz w:val="32"/>
          <w:szCs w:val="32"/>
        </w:rPr>
        <w:t>1.城乡共同配送升级改造项目。</w:t>
      </w:r>
      <w:r>
        <w:rPr>
          <w:rFonts w:ascii="Times New Roman" w:hAnsi="Times New Roman" w:eastAsia="方正仿宋_GBK"/>
          <w:sz w:val="32"/>
          <w:szCs w:val="32"/>
        </w:rPr>
        <w:t>整合区内主流快递物流公司不低于2家，支持建设区域快递物流分拨中心，提升城乡高效共同配送效率和运输时效。完善城乡快递末端配送网点建设，推进城市社区快递便民点复合使用和业务叠加，不断提升物流快递网点服务覆盖率，实现区到乡、村双向配送时效不超过24小时。</w:t>
      </w:r>
    </w:p>
    <w:p>
      <w:pPr>
        <w:spacing w:line="579" w:lineRule="exact"/>
        <w:ind w:firstLine="632" w:firstLineChars="200"/>
        <w:rPr>
          <w:szCs w:val="32"/>
        </w:rPr>
      </w:pPr>
      <w:r>
        <w:rPr>
          <w:b/>
          <w:bCs/>
          <w:szCs w:val="32"/>
        </w:rPr>
        <w:t>2.智能网仓提档升级项目。</w:t>
      </w:r>
      <w:r>
        <w:rPr>
          <w:szCs w:val="32"/>
        </w:rPr>
        <w:t>发挥智能网仓功能，对智能网仓进行改造升级，使其具备企业产品入驻、一件打包发货、快递物流智能对接、售后退换货处理、交易结算等核心功能。</w:t>
      </w:r>
    </w:p>
    <w:p>
      <w:pPr>
        <w:pStyle w:val="35"/>
        <w:spacing w:line="579" w:lineRule="exact"/>
        <w:ind w:firstLine="632"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（二）农产品进城公共服务体系提升工程</w:t>
      </w:r>
    </w:p>
    <w:p>
      <w:pPr>
        <w:pStyle w:val="35"/>
        <w:spacing w:line="579"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1.区级公共服务中心升级改造项目。</w:t>
      </w:r>
      <w:r>
        <w:rPr>
          <w:rFonts w:ascii="Times New Roman" w:hAnsi="Times New Roman" w:eastAsia="方正仿宋_GBK"/>
          <w:sz w:val="32"/>
          <w:szCs w:val="32"/>
        </w:rPr>
        <w:t>依托现有资源，拓展区级电子商务公共服务中心电商服务功能，建设电商企业孵化中心。鼓励电商集聚发展，引导电商及电商服务企业入驻10家以上，年孵化企业电商交易额达1000万以上。进一步完善区级电商服务中心各项管理制度，拓展直播带货、大数据分析、品控、运营指导、快递物流协同、人员培训、服务乡镇村电商站点等功能，增强摄影、美工、创意、营销、培训等服务。</w:t>
      </w:r>
    </w:p>
    <w:p>
      <w:pPr>
        <w:pStyle w:val="35"/>
        <w:spacing w:line="579"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2.镇村电商服务站点升级改造项目。</w:t>
      </w:r>
      <w:r>
        <w:rPr>
          <w:rFonts w:ascii="Times New Roman" w:hAnsi="Times New Roman" w:eastAsia="方正仿宋_GBK"/>
          <w:sz w:val="32"/>
          <w:szCs w:val="32"/>
        </w:rPr>
        <w:t>升级改造乡镇、村级电子商务服务站示范点10个以上，提供内容丰富的电商服务，拓展便民生活、代买代卖、信息咨询、职业介绍、旅游出行等服务，有一定的持续运营能力，交易金额月均达到1000元以上，智慧乡村服务应用APP安装使用覆盖率达到100%。</w:t>
      </w:r>
    </w:p>
    <w:p>
      <w:pPr>
        <w:pStyle w:val="35"/>
        <w:spacing w:line="579" w:lineRule="exact"/>
        <w:ind w:firstLine="632"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（三）工业品下乡流通服务体系提升工程</w:t>
      </w:r>
    </w:p>
    <w:p>
      <w:pPr>
        <w:pStyle w:val="35"/>
        <w:spacing w:line="579"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1.农村线上线下消费体系融合发展项目。</w:t>
      </w:r>
      <w:r>
        <w:rPr>
          <w:rFonts w:ascii="Times New Roman" w:hAnsi="Times New Roman" w:eastAsia="方正仿宋_GBK"/>
          <w:sz w:val="32"/>
          <w:szCs w:val="32"/>
        </w:rPr>
        <w:t>依托现有资源，鼓励有实力的大型流通企业供应链下沉，开展集中采购、统一配送、直销直供等业务，丰富适合农村消费者的商品供给。鼓励区内传统商贸、菜市场、农贸市场、住宿、餐饮、工业企业以及农村食品经营店等实体商业通过短视频、直播电商、社交营销发展“云逛街”等新模式；鼓励区内重庆老字号企业根据网销特点积极改造自身产品，建设自营电子商务平台或与知名第三方电子商务平台合作，促进区内消费扩容提质。</w:t>
      </w:r>
    </w:p>
    <w:p>
      <w:pPr>
        <w:pStyle w:val="35"/>
        <w:spacing w:line="579"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2.农产品网络批发分销与零售体系项目。</w:t>
      </w:r>
      <w:r>
        <w:rPr>
          <w:rFonts w:ascii="Times New Roman" w:hAnsi="Times New Roman" w:eastAsia="方正仿宋_GBK"/>
          <w:sz w:val="32"/>
          <w:szCs w:val="32"/>
        </w:rPr>
        <w:t>积极开展“农批零对接”“农超对接”“农社对接”等各种形式的产销对接，发展直供直销，带动农产品基地、园区发展和品牌建设。支持本地商超改造特产示范店不低于5个，选取“黔江鸡杂”“黔江猕猴桃”“黔江脆红李”“黔江羊肚菌”“马喇湖贡米”“黔江肾豆”“黔江牛肉脯”等品质优良、适合网销的产品进行集中展示，实现“线下体验、线上下单、快递到家”。</w:t>
      </w:r>
    </w:p>
    <w:p>
      <w:pPr>
        <w:pStyle w:val="35"/>
        <w:spacing w:line="579" w:lineRule="exact"/>
        <w:ind w:firstLine="632"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（四）</w:t>
      </w:r>
      <w:bookmarkStart w:id="5" w:name="_Hlk59077111"/>
      <w:r>
        <w:rPr>
          <w:rFonts w:ascii="Times New Roman" w:hAnsi="Times New Roman" w:eastAsia="方正楷体_GBK"/>
          <w:bCs/>
          <w:sz w:val="32"/>
          <w:szCs w:val="32"/>
        </w:rPr>
        <w:t>电子商务培训</w:t>
      </w:r>
      <w:bookmarkEnd w:id="5"/>
      <w:r>
        <w:rPr>
          <w:rFonts w:ascii="Times New Roman" w:hAnsi="Times New Roman" w:eastAsia="方正楷体_GBK"/>
          <w:bCs/>
          <w:sz w:val="32"/>
          <w:szCs w:val="32"/>
        </w:rPr>
        <w:t>提升工程</w:t>
      </w:r>
    </w:p>
    <w:p>
      <w:pPr>
        <w:pStyle w:val="34"/>
        <w:widowControl w:val="0"/>
        <w:spacing w:line="579" w:lineRule="exact"/>
        <w:ind w:firstLine="632" w:firstLineChars="200"/>
        <w:rPr>
          <w:szCs w:val="32"/>
        </w:rPr>
      </w:pPr>
      <w:r>
        <w:rPr>
          <w:szCs w:val="32"/>
        </w:rPr>
        <w:t>针对乡村干部、工业企业负责人、快递物流企业负责人、电商微商户、供销合作社负责人、创业青年、农村经纪人、电商站点负责人和新型农业主体等群体，持续开展分级分类培训。更加注重实效性，强化培训转化机制，丰富网店（微店）开设运营、短视频运营、直播电商、社交电商、产品供应链建设、网商（微商）营销、新媒体传播、电商物流和客服、软件应用和操作、成功案例分析、互联网品牌包装等互联网应用培训内容。加大主播个性化包装设计和技能培训力度，推动主播培育与产品供应链建设协同发展，支持主播与品牌资源深化合作，力争培育一批优质主播。对接就业用工单位，强化跟踪指导电商创业、网购网销等，提升培训效果。到2022年底，力争完成各类电商人才培训500人次，新增电商经营主体50户。</w:t>
      </w:r>
    </w:p>
    <w:p>
      <w:pPr>
        <w:pStyle w:val="34"/>
        <w:widowControl w:val="0"/>
        <w:spacing w:line="579" w:lineRule="exact"/>
        <w:ind w:firstLine="632" w:firstLineChars="200"/>
        <w:rPr>
          <w:rFonts w:eastAsia="方正楷体_GBK"/>
          <w:bCs/>
          <w:szCs w:val="32"/>
        </w:rPr>
      </w:pPr>
      <w:r>
        <w:rPr>
          <w:rFonts w:eastAsia="方正楷体_GBK"/>
          <w:bCs/>
          <w:szCs w:val="32"/>
        </w:rPr>
        <w:t>（五）</w:t>
      </w:r>
      <w:r>
        <w:rPr>
          <w:rFonts w:eastAsia="方正楷体_GBK"/>
          <w:bCs/>
          <w:szCs w:val="32"/>
          <w:lang w:val="zh-CN"/>
        </w:rPr>
        <w:t>农村产品产业培育和品牌提升工程</w:t>
      </w:r>
    </w:p>
    <w:p>
      <w:pPr>
        <w:pStyle w:val="35"/>
        <w:spacing w:line="579" w:lineRule="exact"/>
        <w:ind w:firstLine="632"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1.农产品质量追溯体系升级改造项目。</w:t>
      </w:r>
      <w:r>
        <w:rPr>
          <w:rFonts w:ascii="Times New Roman" w:hAnsi="Times New Roman" w:eastAsia="方正仿宋_GBK"/>
          <w:sz w:val="32"/>
          <w:szCs w:val="32"/>
        </w:rPr>
        <w:t>引导农产品生产企业、农民专业合作社、家庭农场等新型农业经营主体，开展标准化生产，保障农产品的优良品质和质量安全。推动“两品一标”农产品品牌建设，加大优质、生态、绿色和特色农产品安全供给力度。升级改造黔江区农产品追溯体系，通过溯源标签的“唯一身份证”，采用一物一码流通管理模式，完成2—3个电商产品的溯源体系建设，实现全程质量可追溯。</w:t>
      </w:r>
    </w:p>
    <w:p>
      <w:pPr>
        <w:pStyle w:val="34"/>
        <w:widowControl w:val="0"/>
        <w:spacing w:line="579" w:lineRule="exact"/>
        <w:ind w:firstLine="632" w:firstLineChars="200"/>
        <w:rPr>
          <w:szCs w:val="32"/>
        </w:rPr>
      </w:pPr>
      <w:r>
        <w:rPr>
          <w:b/>
          <w:bCs/>
          <w:szCs w:val="32"/>
        </w:rPr>
        <w:t>2.区域公共品牌建设项目。</w:t>
      </w:r>
      <w:r>
        <w:rPr>
          <w:szCs w:val="32"/>
        </w:rPr>
        <w:t>加强“山韵黔江”区域公用品牌知识产权保护和营销推广，整合我区最具代表性的优质农特产品。培育具有食品生产许可证或流通许可证的网销产品企业单品品牌10个以上，进一步提升“山韵黔江”区域公共品牌影响力和竞争力。支持拍摄区域公用品牌相关宣传片，提高区域公用品牌形象。</w:t>
      </w:r>
    </w:p>
    <w:p>
      <w:pPr>
        <w:pStyle w:val="34"/>
        <w:widowControl w:val="0"/>
        <w:spacing w:line="579" w:lineRule="exact"/>
        <w:ind w:firstLine="632" w:firstLineChars="200"/>
        <w:rPr>
          <w:szCs w:val="32"/>
        </w:rPr>
      </w:pPr>
      <w:r>
        <w:rPr>
          <w:b/>
          <w:bCs/>
          <w:szCs w:val="32"/>
        </w:rPr>
        <w:t>3.直播电商基地建设项目。</w:t>
      </w:r>
      <w:r>
        <w:rPr>
          <w:szCs w:val="32"/>
        </w:rPr>
        <w:t>结合全区产业布局、文化旅游资源和电商发展情况，搭建适应直播带货需求的产品供应链体系，推动基于优质内容传播的直播电商基地建设。到2022年底，打造直播电商基地2个以上，发展具有实绩的直播电商服务机构5家以上；推进“一乡一主播”电商直播人才培育计划，培育能够独立承担农特产品电商直播自运营的乡村“带货”主播10个以上。</w:t>
      </w:r>
    </w:p>
    <w:p>
      <w:pPr>
        <w:pStyle w:val="35"/>
        <w:spacing w:line="579" w:lineRule="exact"/>
        <w:ind w:firstLine="632"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4.线上线下宣传营销系列活动。</w:t>
      </w:r>
      <w:r>
        <w:rPr>
          <w:rFonts w:ascii="Times New Roman" w:hAnsi="Times New Roman" w:eastAsia="方正仿宋_GBK"/>
          <w:sz w:val="32"/>
          <w:szCs w:val="32"/>
        </w:rPr>
        <w:t>持续组织企业参加6·18电商节、双十一、双十二、爱心购、年货节等线上线下营销活动，鼓励运用新技术、新媒体、新渠道举办电商直播大赛、鸡杂美食文化节、黔江脆红李采摘节和黔江猕猴桃采摘节等区域性且具有农村市场特色、主题鲜明的电商节会活动。</w:t>
      </w:r>
    </w:p>
    <w:bookmarkEnd w:id="4"/>
    <w:p>
      <w:pPr>
        <w:spacing w:line="579" w:lineRule="exact"/>
        <w:ind w:firstLine="632" w:firstLineChars="200"/>
        <w:outlineLvl w:val="0"/>
        <w:rPr>
          <w:rFonts w:eastAsia="方正黑体_GBK"/>
          <w:szCs w:val="32"/>
        </w:rPr>
      </w:pPr>
      <w:r>
        <w:rPr>
          <w:rFonts w:eastAsia="方正黑体_GBK"/>
          <w:szCs w:val="32"/>
        </w:rPr>
        <w:t>四、资金安排</w:t>
      </w:r>
    </w:p>
    <w:p>
      <w:pPr>
        <w:spacing w:line="579" w:lineRule="exact"/>
        <w:ind w:firstLine="632" w:firstLineChars="200"/>
        <w:rPr>
          <w:szCs w:val="32"/>
        </w:rPr>
      </w:pPr>
      <w:r>
        <w:rPr>
          <w:szCs w:val="32"/>
        </w:rPr>
        <w:t>项目资金总额1500万元，来源于2020年电子商务进农村综合示范专项资金，严格按照《重庆市2020年电子商务进农村综合示范专项资金管理实施细则》执行，不得用于网络交易平台、楼堂馆所建设、征地拆迁、购买流量、人员经费等经常性开支以及提取工作经费等。用好用足专项资金，统筹用好市、区电商发展各项资金。</w:t>
      </w:r>
    </w:p>
    <w:p>
      <w:pPr>
        <w:pStyle w:val="13"/>
        <w:numPr>
          <w:ilvl w:val="0"/>
          <w:numId w:val="1"/>
        </w:numPr>
        <w:spacing w:before="0" w:beforeAutospacing="0" w:after="0" w:afterAutospacing="0" w:line="579" w:lineRule="exact"/>
        <w:ind w:left="632"/>
        <w:jc w:val="both"/>
        <w:rPr>
          <w:rFonts w:eastAsia="方正黑体_GBK"/>
          <w:sz w:val="32"/>
          <w:szCs w:val="32"/>
        </w:rPr>
      </w:pPr>
      <w:r>
        <w:rPr>
          <w:rFonts w:eastAsia="方正黑体_GBK"/>
          <w:sz w:val="32"/>
          <w:szCs w:val="32"/>
        </w:rPr>
        <w:t>实施时限及工作进度</w:t>
      </w:r>
    </w:p>
    <w:p>
      <w:pPr>
        <w:pStyle w:val="13"/>
        <w:spacing w:before="0" w:beforeAutospacing="0" w:after="0" w:afterAutospacing="0" w:line="579" w:lineRule="exact"/>
        <w:ind w:firstLine="631"/>
        <w:rPr>
          <w:kern w:val="2"/>
          <w:sz w:val="32"/>
          <w:szCs w:val="32"/>
        </w:rPr>
      </w:pPr>
      <w:r>
        <w:rPr>
          <w:kern w:val="2"/>
          <w:sz w:val="32"/>
          <w:szCs w:val="32"/>
        </w:rPr>
        <w:t>实施期限：2021年1月——2022年12月</w:t>
      </w:r>
    </w:p>
    <w:p>
      <w:pPr>
        <w:pStyle w:val="13"/>
        <w:spacing w:before="0" w:beforeAutospacing="0" w:after="0" w:afterAutospacing="0" w:line="579" w:lineRule="exact"/>
        <w:ind w:firstLine="632" w:firstLineChars="200"/>
        <w:rPr>
          <w:rFonts w:eastAsia="方正楷体_GBK"/>
          <w:sz w:val="32"/>
          <w:szCs w:val="32"/>
        </w:rPr>
      </w:pPr>
      <w:r>
        <w:rPr>
          <w:rFonts w:eastAsia="方正楷体_GBK"/>
          <w:sz w:val="32"/>
          <w:szCs w:val="32"/>
        </w:rPr>
        <w:t xml:space="preserve">（一）实施准备阶段（2021年1月—2021年2月） </w:t>
      </w:r>
    </w:p>
    <w:p>
      <w:pPr>
        <w:spacing w:line="579" w:lineRule="exact"/>
        <w:ind w:firstLine="632" w:firstLineChars="200"/>
        <w:rPr>
          <w:szCs w:val="32"/>
        </w:rPr>
      </w:pPr>
      <w:r>
        <w:rPr>
          <w:szCs w:val="32"/>
        </w:rPr>
        <w:t xml:space="preserve">1.制定工作实施方案、资金管理办法，按程序公示公开并报市级相关部门备案，为我区2020年电子商务进农村综合示范工作做好顶层设计。 </w:t>
      </w:r>
    </w:p>
    <w:p>
      <w:pPr>
        <w:spacing w:line="579" w:lineRule="exact"/>
        <w:ind w:firstLine="632" w:firstLineChars="200"/>
        <w:rPr>
          <w:szCs w:val="32"/>
        </w:rPr>
      </w:pPr>
      <w:r>
        <w:rPr>
          <w:szCs w:val="32"/>
        </w:rPr>
        <w:t xml:space="preserve">2.制定、公开示范项目申报细则等文件，在公平、公正、公开的原则下，确定符合条件的承办主体。 </w:t>
      </w:r>
    </w:p>
    <w:p>
      <w:pPr>
        <w:spacing w:line="579" w:lineRule="exact"/>
        <w:ind w:firstLine="632" w:firstLineChars="200"/>
        <w:rPr>
          <w:szCs w:val="32"/>
        </w:rPr>
      </w:pPr>
      <w:r>
        <w:rPr>
          <w:szCs w:val="32"/>
        </w:rPr>
        <w:t>3.指导并协助项目中标企业开展农村电子商务基础数据调查统计，为建立全区农村电子商务统计标准和体系做好准备。</w:t>
      </w:r>
    </w:p>
    <w:p>
      <w:pPr>
        <w:pStyle w:val="5"/>
        <w:spacing w:after="0" w:line="579" w:lineRule="exact"/>
        <w:ind w:firstLine="632" w:firstLineChars="200"/>
        <w:rPr>
          <w:rFonts w:ascii="Times New Roman" w:hAnsi="Times New Roman" w:eastAsia="方正楷体_GBK"/>
          <w:sz w:val="32"/>
          <w:szCs w:val="32"/>
        </w:rPr>
      </w:pPr>
      <w:r>
        <w:rPr>
          <w:rFonts w:ascii="Times New Roman" w:hAnsi="Times New Roman" w:eastAsia="方正楷体_GBK"/>
          <w:sz w:val="32"/>
          <w:szCs w:val="32"/>
        </w:rPr>
        <w:t xml:space="preserve">（二）重点实施阶段（2021年3月—2021年12月） </w:t>
      </w:r>
    </w:p>
    <w:p>
      <w:pPr>
        <w:pStyle w:val="13"/>
        <w:spacing w:before="0" w:beforeAutospacing="0" w:after="0" w:afterAutospacing="0" w:line="579" w:lineRule="exact"/>
        <w:ind w:firstLine="632" w:firstLineChars="200"/>
        <w:rPr>
          <w:kern w:val="2"/>
          <w:sz w:val="32"/>
          <w:szCs w:val="32"/>
        </w:rPr>
      </w:pPr>
      <w:r>
        <w:rPr>
          <w:kern w:val="2"/>
          <w:sz w:val="32"/>
          <w:szCs w:val="32"/>
        </w:rPr>
        <w:t>1.全面实施示范项目。各项目承接主体对照各自任务和目标，精心部署，认真组织开展项目实施，确保项目保质保量按时完成。接受上级部门组织开展的中期绩效评价，坚持问题导向、立行立改。</w:t>
      </w:r>
    </w:p>
    <w:p>
      <w:pPr>
        <w:pStyle w:val="13"/>
        <w:spacing w:before="0" w:beforeAutospacing="0" w:after="0" w:afterAutospacing="0" w:line="579" w:lineRule="exact"/>
        <w:ind w:firstLine="632" w:firstLineChars="200"/>
        <w:rPr>
          <w:kern w:val="2"/>
          <w:sz w:val="32"/>
          <w:szCs w:val="32"/>
        </w:rPr>
      </w:pPr>
      <w:r>
        <w:rPr>
          <w:kern w:val="2"/>
          <w:sz w:val="32"/>
          <w:szCs w:val="32"/>
        </w:rPr>
        <w:t>2.强化项目管理和资金管理。建立项目定期通报制度，严格执行项目考核方案、资金管理办法，保证项目进度和资金安全。</w:t>
      </w:r>
    </w:p>
    <w:p>
      <w:pPr>
        <w:pStyle w:val="13"/>
        <w:spacing w:before="0" w:beforeAutospacing="0" w:after="0" w:afterAutospacing="0" w:line="579" w:lineRule="exact"/>
        <w:ind w:firstLine="632" w:firstLineChars="200"/>
        <w:rPr>
          <w:rFonts w:eastAsia="方正楷体_GBK"/>
          <w:sz w:val="32"/>
          <w:szCs w:val="32"/>
        </w:rPr>
      </w:pPr>
      <w:r>
        <w:rPr>
          <w:rFonts w:eastAsia="方正楷体_GBK"/>
          <w:sz w:val="32"/>
          <w:szCs w:val="32"/>
        </w:rPr>
        <w:t>（三）项目验收阶段（2022年1月—2022年5月）</w:t>
      </w:r>
    </w:p>
    <w:p>
      <w:pPr>
        <w:pStyle w:val="13"/>
        <w:spacing w:before="0" w:beforeAutospacing="0" w:after="0" w:afterAutospacing="0" w:line="579" w:lineRule="exact"/>
        <w:ind w:firstLine="632" w:firstLineChars="200"/>
        <w:rPr>
          <w:kern w:val="2"/>
          <w:sz w:val="32"/>
          <w:szCs w:val="32"/>
        </w:rPr>
      </w:pPr>
      <w:r>
        <w:rPr>
          <w:kern w:val="2"/>
          <w:sz w:val="32"/>
          <w:szCs w:val="32"/>
        </w:rPr>
        <w:t xml:space="preserve"> 项目完工后，由项目承办主体提出验收申请，区商务委委托具有资质的第三方机构，根据我区工作方案、资金管理办法、项目管理制度等文件，对综合示范项目及时进行验收。</w:t>
      </w:r>
    </w:p>
    <w:p>
      <w:pPr>
        <w:pStyle w:val="13"/>
        <w:numPr>
          <w:ilvl w:val="0"/>
          <w:numId w:val="2"/>
        </w:numPr>
        <w:spacing w:before="0" w:beforeAutospacing="0" w:after="0" w:afterAutospacing="0" w:line="579" w:lineRule="exact"/>
        <w:ind w:firstLine="632" w:firstLineChars="200"/>
        <w:jc w:val="both"/>
        <w:rPr>
          <w:rFonts w:eastAsia="方正楷体_GBK"/>
          <w:sz w:val="32"/>
          <w:szCs w:val="32"/>
        </w:rPr>
      </w:pPr>
      <w:r>
        <w:rPr>
          <w:rFonts w:eastAsia="方正楷体_GBK"/>
          <w:sz w:val="32"/>
          <w:szCs w:val="32"/>
        </w:rPr>
        <w:t>巩固运营阶段（2022年5月—2022年12月）</w:t>
      </w:r>
    </w:p>
    <w:p>
      <w:pPr>
        <w:pStyle w:val="13"/>
        <w:spacing w:before="0" w:beforeAutospacing="0" w:after="0" w:afterAutospacing="0" w:line="579" w:lineRule="exact"/>
        <w:ind w:firstLine="632" w:firstLineChars="200"/>
        <w:rPr>
          <w:kern w:val="2"/>
          <w:sz w:val="32"/>
          <w:szCs w:val="32"/>
        </w:rPr>
      </w:pPr>
      <w:r>
        <w:rPr>
          <w:kern w:val="2"/>
          <w:sz w:val="32"/>
          <w:szCs w:val="32"/>
        </w:rPr>
        <w:t>根据市商务委验收及考核评估办法，将对全区电子商务进农村综合示范提升工作的建设情况、运营情况、指标完成情况等进行全面梳理总结，查找不足，强化整改，总结经验，提升水平，使我区农村电子商务工作健康有序可持续发展。</w:t>
      </w:r>
    </w:p>
    <w:p>
      <w:pPr>
        <w:pStyle w:val="13"/>
        <w:spacing w:before="0" w:beforeAutospacing="0" w:after="0" w:afterAutospacing="0" w:line="579" w:lineRule="exact"/>
        <w:ind w:firstLine="632" w:firstLineChars="200"/>
        <w:rPr>
          <w:rFonts w:eastAsia="方正黑体_GBK"/>
          <w:sz w:val="32"/>
          <w:szCs w:val="32"/>
        </w:rPr>
      </w:pPr>
      <w:r>
        <w:rPr>
          <w:rFonts w:eastAsia="方正黑体_GBK"/>
          <w:sz w:val="32"/>
          <w:szCs w:val="32"/>
        </w:rPr>
        <w:t>六、保障措施</w:t>
      </w:r>
    </w:p>
    <w:p>
      <w:pPr>
        <w:spacing w:line="579" w:lineRule="exact"/>
        <w:ind w:firstLine="632" w:firstLineChars="200"/>
        <w:rPr>
          <w:szCs w:val="32"/>
        </w:rPr>
      </w:pPr>
      <w:r>
        <w:rPr>
          <w:rFonts w:eastAsia="方正楷体_GBK"/>
          <w:szCs w:val="32"/>
        </w:rPr>
        <w:t>（一）强化组织领导，加强督导检查。</w:t>
      </w:r>
      <w:r>
        <w:rPr>
          <w:szCs w:val="32"/>
        </w:rPr>
        <w:t>进一步整合全区各方面资源和力量，充分发挥区电子商务工作联席会议统筹协调作用，</w:t>
      </w:r>
      <w:r>
        <w:rPr>
          <w:bCs/>
          <w:spacing w:val="3"/>
          <w:szCs w:val="32"/>
        </w:rPr>
        <w:t>由联席会议办公室牵头，相关单位密切配合，协调解决电子商务发展中的重大事项</w:t>
      </w:r>
      <w:r>
        <w:rPr>
          <w:szCs w:val="32"/>
        </w:rPr>
        <w:t>，促进各项政策落到实处。严格落实监督检查，细化农村电商考核指标，将示范创建工作推进情况纳入对各乡镇街道及相关部门的综合目标考核内容。</w:t>
      </w:r>
    </w:p>
    <w:p>
      <w:pPr>
        <w:pStyle w:val="5"/>
        <w:spacing w:after="0" w:line="579" w:lineRule="exact"/>
        <w:ind w:firstLine="632" w:firstLineChars="200"/>
        <w:rPr>
          <w:rFonts w:ascii="Times New Roman" w:hAnsi="Times New Roman" w:eastAsia="方正仿宋_GBK"/>
          <w:sz w:val="32"/>
          <w:szCs w:val="32"/>
        </w:rPr>
      </w:pPr>
      <w:r>
        <w:rPr>
          <w:rFonts w:ascii="Times New Roman" w:hAnsi="Times New Roman" w:eastAsia="方正楷体_GBK"/>
          <w:sz w:val="32"/>
          <w:szCs w:val="32"/>
        </w:rPr>
        <w:t>（二）强化宣传引导，推进政务公开。</w:t>
      </w:r>
      <w:r>
        <w:rPr>
          <w:rFonts w:ascii="Times New Roman" w:hAnsi="Times New Roman" w:eastAsia="方正仿宋_GBK"/>
          <w:sz w:val="32"/>
          <w:szCs w:val="32"/>
        </w:rPr>
        <w:t>利用各类媒体和宣传平台，采取有效形式，加大电子商务相关法规政策宣传和舆论引导，准确发布权威信息，通报工作进展，征询意见建议。做好电子商务数据统计、监测、报送工作，公开电子商务相关政策信息，</w:t>
      </w:r>
      <w:bookmarkStart w:id="6" w:name="_GoBack"/>
      <w:bookmarkEnd w:id="6"/>
      <w:r>
        <w:rPr>
          <w:rFonts w:ascii="Times New Roman" w:hAnsi="Times New Roman" w:eastAsia="方正仿宋_GBK"/>
          <w:sz w:val="32"/>
          <w:szCs w:val="32"/>
        </w:rPr>
        <w:t>引导各界关注、支持和参与，努力为电子商务发展营造良好环境和氛围。</w:t>
      </w:r>
    </w:p>
    <w:p>
      <w:pPr>
        <w:pStyle w:val="5"/>
        <w:spacing w:after="0" w:line="579" w:lineRule="exact"/>
        <w:ind w:firstLine="632" w:firstLineChars="200"/>
        <w:rPr>
          <w:rFonts w:ascii="Times New Roman" w:hAnsi="Times New Roman" w:eastAsia="方正仿宋_GBK"/>
          <w:sz w:val="32"/>
          <w:szCs w:val="32"/>
        </w:rPr>
      </w:pPr>
      <w:r>
        <w:rPr>
          <w:rFonts w:ascii="Times New Roman" w:hAnsi="Times New Roman" w:eastAsia="方正楷体_GBK"/>
          <w:kern w:val="0"/>
          <w:sz w:val="32"/>
          <w:szCs w:val="32"/>
        </w:rPr>
        <w:t>（三）落实补助政策，严格资金监管。</w:t>
      </w:r>
      <w:r>
        <w:rPr>
          <w:rFonts w:ascii="Times New Roman" w:hAnsi="Times New Roman" w:eastAsia="方正仿宋_GBK"/>
          <w:kern w:val="0"/>
          <w:sz w:val="32"/>
          <w:szCs w:val="32"/>
        </w:rPr>
        <w:t>按照公开透明、专款专用、科学管理、择优扶持的原则，严格遵守公开招标和政府采购程序，严格使用国家财政补助资金，确保资金安全、高效。强化项目资金管理，确保资金及时拨付和规范使用，对骗取、套取、挤占、挪用专项资金等违法行为，一经查实，将按规定追回已拨付的资金，并按《财政违法行为处罚处分条例》有关规定进行处罚，构成犯罪的，依法移送司法机关处理。</w:t>
      </w:r>
    </w:p>
    <w:p>
      <w:pPr>
        <w:spacing w:line="579" w:lineRule="exact"/>
        <w:ind w:firstLine="632" w:firstLineChars="200"/>
      </w:pPr>
      <w:r>
        <w:rPr>
          <w:rFonts w:eastAsia="方正楷体_GBK"/>
          <w:szCs w:val="32"/>
        </w:rPr>
        <w:t>（四）创新发展模式，注重经验总结。</w:t>
      </w:r>
      <w:r>
        <w:rPr>
          <w:spacing w:val="3"/>
          <w:szCs w:val="32"/>
        </w:rPr>
        <w:t>鼓励市场主体积极探索农村电商发展新模式，</w:t>
      </w:r>
      <w:r>
        <w:rPr>
          <w:szCs w:val="32"/>
        </w:rPr>
        <w:t>适时总结电商工作成效及经验，优选电商亮点工作内容及典型案例，加大宣传和推广力度；及时总结电商工作推进中的问题和不足，分析原因并提出整改措施，明确整改时限，确保电子商务进农村工作取得实效。</w:t>
      </w:r>
    </w:p>
    <w:p>
      <w:pPr>
        <w:spacing w:line="579" w:lineRule="exact"/>
        <w:ind w:left="1580" w:leftChars="200" w:hanging="948" w:hangingChars="300"/>
        <w:rPr>
          <w:szCs w:val="32"/>
        </w:rPr>
      </w:pPr>
    </w:p>
    <w:p>
      <w:pPr>
        <w:spacing w:line="579" w:lineRule="exact"/>
        <w:ind w:left="1580" w:leftChars="200" w:hanging="948" w:hangingChars="300"/>
        <w:rPr>
          <w:szCs w:val="32"/>
        </w:rPr>
      </w:pPr>
      <w:r>
        <w:rPr>
          <w:szCs w:val="32"/>
        </w:rPr>
        <w:t>附件：黔江区创建电子商务进农村综合示范区（升级版）资金预算表</w:t>
      </w:r>
    </w:p>
    <w:p>
      <w:pPr>
        <w:spacing w:line="420" w:lineRule="exact"/>
        <w:rPr>
          <w:rFonts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hint="eastAsia" w:eastAsia="方正黑体_GBK"/>
          <w:szCs w:val="32"/>
        </w:rPr>
      </w:pPr>
    </w:p>
    <w:p>
      <w:pPr>
        <w:spacing w:line="420" w:lineRule="exact"/>
        <w:rPr>
          <w:rFonts w:eastAsia="方正黑体_GBK"/>
          <w:szCs w:val="32"/>
        </w:rPr>
      </w:pPr>
      <w:r>
        <w:rPr>
          <w:rFonts w:eastAsia="方正黑体_GBK"/>
          <w:szCs w:val="32"/>
        </w:rPr>
        <w:t>附件</w:t>
      </w:r>
    </w:p>
    <w:p>
      <w:pPr>
        <w:spacing w:line="579" w:lineRule="exact"/>
        <w:rPr>
          <w:rFonts w:eastAsia="方正黑体_GBK"/>
          <w:szCs w:val="32"/>
        </w:rPr>
      </w:pPr>
    </w:p>
    <w:p>
      <w:pPr>
        <w:spacing w:line="579" w:lineRule="exact"/>
        <w:jc w:val="center"/>
        <w:rPr>
          <w:rFonts w:eastAsia="方正小标宋_GBK"/>
          <w:color w:val="0000FF"/>
          <w:szCs w:val="32"/>
        </w:rPr>
      </w:pPr>
      <w:r>
        <w:rPr>
          <w:rFonts w:eastAsia="方正小标宋_GBK"/>
          <w:szCs w:val="32"/>
        </w:rPr>
        <w:t>黔江区创建电子商务进农村综合示范区（升级版）资金预算表</w:t>
      </w:r>
    </w:p>
    <w:p>
      <w:pPr>
        <w:spacing w:line="579" w:lineRule="exact"/>
        <w:ind w:firstLine="484" w:firstLineChars="200"/>
        <w:jc w:val="right"/>
        <w:rPr>
          <w:spacing w:val="3"/>
          <w:sz w:val="24"/>
          <w:szCs w:val="24"/>
        </w:rPr>
      </w:pPr>
      <w:r>
        <w:rPr>
          <w:spacing w:val="3"/>
          <w:sz w:val="24"/>
          <w:szCs w:val="24"/>
        </w:rPr>
        <w:t>单位：万元</w:t>
      </w:r>
    </w:p>
    <w:tbl>
      <w:tblPr>
        <w:tblStyle w:val="16"/>
        <w:tblW w:w="8990" w:type="dxa"/>
        <w:tblInd w:w="93" w:type="dxa"/>
        <w:tblLayout w:type="autofit"/>
        <w:tblCellMar>
          <w:top w:w="0" w:type="dxa"/>
          <w:left w:w="108" w:type="dxa"/>
          <w:bottom w:w="0" w:type="dxa"/>
          <w:right w:w="108" w:type="dxa"/>
        </w:tblCellMar>
      </w:tblPr>
      <w:tblGrid>
        <w:gridCol w:w="1064"/>
        <w:gridCol w:w="2028"/>
        <w:gridCol w:w="3843"/>
        <w:gridCol w:w="2055"/>
      </w:tblGrid>
      <w:tr>
        <w:tblPrEx>
          <w:tblCellMar>
            <w:top w:w="0" w:type="dxa"/>
            <w:left w:w="108" w:type="dxa"/>
            <w:bottom w:w="0" w:type="dxa"/>
            <w:right w:w="108" w:type="dxa"/>
          </w:tblCellMar>
        </w:tblPrEx>
        <w:trPr>
          <w:trHeight w:val="50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bCs/>
                <w:color w:val="000000"/>
                <w:sz w:val="22"/>
                <w:szCs w:val="22"/>
              </w:rPr>
            </w:pPr>
            <w:r>
              <w:rPr>
                <w:rFonts w:eastAsia="方正黑体_GBK"/>
                <w:bCs/>
                <w:color w:val="000000"/>
                <w:kern w:val="0"/>
                <w:sz w:val="22"/>
                <w:szCs w:val="22"/>
                <w:lang w:bidi="ar"/>
              </w:rPr>
              <w:t>序号</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bCs/>
                <w:color w:val="000000"/>
                <w:sz w:val="22"/>
                <w:szCs w:val="22"/>
              </w:rPr>
            </w:pPr>
            <w:r>
              <w:rPr>
                <w:rFonts w:eastAsia="方正黑体_GBK"/>
                <w:bCs/>
                <w:color w:val="000000"/>
                <w:sz w:val="22"/>
                <w:szCs w:val="22"/>
              </w:rPr>
              <w:t>项目类目</w:t>
            </w: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bCs/>
                <w:color w:val="000000"/>
                <w:sz w:val="22"/>
                <w:szCs w:val="22"/>
              </w:rPr>
            </w:pPr>
            <w:r>
              <w:rPr>
                <w:rFonts w:eastAsia="方正黑体_GBK"/>
                <w:bCs/>
                <w:color w:val="000000"/>
                <w:kern w:val="0"/>
                <w:sz w:val="22"/>
                <w:szCs w:val="22"/>
                <w:lang w:bidi="ar"/>
              </w:rPr>
              <w:t>项目名称</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黑体_GBK"/>
                <w:bCs/>
                <w:color w:val="000000"/>
                <w:sz w:val="22"/>
                <w:szCs w:val="22"/>
              </w:rPr>
            </w:pPr>
            <w:r>
              <w:rPr>
                <w:rFonts w:eastAsia="方正黑体_GBK"/>
                <w:bCs/>
                <w:color w:val="000000"/>
                <w:sz w:val="22"/>
                <w:szCs w:val="22"/>
              </w:rPr>
              <w:t>项目预算资金</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1</w:t>
            </w:r>
          </w:p>
        </w:tc>
        <w:tc>
          <w:tcPr>
            <w:tcW w:w="20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区乡村三级物流共同配送体系提升工程</w:t>
            </w: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城乡共同配送升级改造项目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300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2</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000000"/>
                <w:sz w:val="22"/>
                <w:szCs w:val="22"/>
              </w:rPr>
            </w:pP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智能网仓提档升级项目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100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3</w:t>
            </w:r>
          </w:p>
        </w:tc>
        <w:tc>
          <w:tcPr>
            <w:tcW w:w="20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农产品进城公共服务体系提升工程</w:t>
            </w: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区级公共服务中心升级改造项目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100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4</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000000"/>
                <w:sz w:val="22"/>
                <w:szCs w:val="22"/>
              </w:rPr>
            </w:pP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镇村电商服务站点升级改造项目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60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5</w:t>
            </w:r>
          </w:p>
        </w:tc>
        <w:tc>
          <w:tcPr>
            <w:tcW w:w="20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工业品下乡流通服务体系提升工程</w:t>
            </w: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农产品网络批发分销与零售体系项目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25</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6</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000000"/>
                <w:sz w:val="22"/>
                <w:szCs w:val="22"/>
              </w:rPr>
            </w:pP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农村线上线下消费体系融合发展项目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20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7</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电子商务培训提升工程</w:t>
            </w: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农村电子商务培训</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230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8</w:t>
            </w:r>
          </w:p>
        </w:tc>
        <w:tc>
          <w:tcPr>
            <w:tcW w:w="20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农村产品产业培育和品牌提升工程</w:t>
            </w: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农产品质量追溯体系升级改造项目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25</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9</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000000"/>
                <w:sz w:val="22"/>
                <w:szCs w:val="22"/>
              </w:rPr>
            </w:pP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区域公共品牌建设项目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200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10</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000000"/>
                <w:sz w:val="22"/>
                <w:szCs w:val="22"/>
              </w:rPr>
            </w:pP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直播电商基地建设项目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240</w:t>
            </w:r>
          </w:p>
        </w:tc>
      </w:tr>
      <w:tr>
        <w:tblPrEx>
          <w:tblCellMar>
            <w:top w:w="0" w:type="dxa"/>
            <w:left w:w="108" w:type="dxa"/>
            <w:bottom w:w="0" w:type="dxa"/>
            <w:right w:w="108" w:type="dxa"/>
          </w:tblCellMar>
        </w:tblPrEx>
        <w:trPr>
          <w:trHeight w:val="760"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11</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000000"/>
                <w:sz w:val="22"/>
                <w:szCs w:val="22"/>
              </w:rPr>
            </w:pP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4"/>
                <w:szCs w:val="24"/>
              </w:rPr>
            </w:pPr>
            <w:r>
              <w:rPr>
                <w:color w:val="000000"/>
                <w:kern w:val="0"/>
                <w:sz w:val="24"/>
                <w:szCs w:val="24"/>
                <w:lang w:bidi="ar"/>
              </w:rPr>
              <w:t>线上线下宣传营销系列活动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200</w:t>
            </w:r>
          </w:p>
        </w:tc>
      </w:tr>
      <w:tr>
        <w:tblPrEx>
          <w:tblCellMar>
            <w:top w:w="0" w:type="dxa"/>
            <w:left w:w="108" w:type="dxa"/>
            <w:bottom w:w="0" w:type="dxa"/>
            <w:right w:w="108" w:type="dxa"/>
          </w:tblCellMar>
        </w:tblPrEx>
        <w:trPr>
          <w:trHeight w:val="760" w:hRule="atLeast"/>
        </w:trPr>
        <w:tc>
          <w:tcPr>
            <w:tcW w:w="693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bCs/>
                <w:color w:val="000000"/>
                <w:sz w:val="22"/>
                <w:szCs w:val="22"/>
              </w:rPr>
            </w:pPr>
            <w:r>
              <w:rPr>
                <w:b/>
                <w:bCs/>
                <w:color w:val="000000"/>
                <w:kern w:val="0"/>
                <w:sz w:val="22"/>
                <w:szCs w:val="22"/>
                <w:lang w:bidi="ar"/>
              </w:rPr>
              <w:t>合计</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color w:val="000000"/>
                <w:kern w:val="0"/>
                <w:sz w:val="24"/>
                <w:szCs w:val="24"/>
                <w:lang w:bidi="ar"/>
              </w:rPr>
              <w:t>1500</w:t>
            </w:r>
          </w:p>
        </w:tc>
      </w:tr>
    </w:tbl>
    <w:p>
      <w:pPr>
        <w:spacing w:line="420" w:lineRule="exact"/>
        <w:rPr>
          <w:rFonts w:hint="eastAsia"/>
          <w:sz w:val="28"/>
          <w:szCs w:val="28"/>
        </w:rPr>
      </w:pPr>
    </w:p>
    <w:p>
      <w:pPr>
        <w:spacing w:line="400" w:lineRule="exact"/>
        <w:ind w:firstLine="316" w:firstLineChars="100"/>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271780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15pt;margin-top:21.4pt;height:0pt;width:442.2pt;z-index:251661312;mso-width-relative:page;mso-height-relative:page;" filled="f" stroked="t" coordsize="21600,21600" o:gfxdata="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5Nv&#10;1gAAAAcBAAAPAAAAAAAAAAEAIAAAACIAAABkcnMvZG93bnJldi54bWxQSwECFAAUAAAACACHTuJA&#10;Gy/Ky+oBAAC5AwAADgAAAAAAAAABACAAAAAlAQAAZHJzL2Uyb0RvYy54bWxQSwUGAAAAAAYABgBZ&#10;AQAAgQ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17780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8890">
                          <a:solidFill>
                            <a:srgbClr val="000000"/>
                          </a:solidFill>
                          <a:round/>
                        </a:ln>
                        <a:effectLst/>
                      </wps:spPr>
                      <wps:bodyPr/>
                    </wps:wsp>
                  </a:graphicData>
                </a:graphic>
              </wp:anchor>
            </w:drawing>
          </mc:Choice>
          <mc:Fallback>
            <w:pict>
              <v:line id="_x0000_s1026" o:spid="_x0000_s1026" o:spt="20" style="position:absolute;left:0pt;margin-left:-0.35pt;margin-top:1.4pt;height:0pt;width:442.2pt;z-index:251662336;mso-width-relative:page;mso-height-relative:page;" filled="f" stroked="t" coordsize="21600,21600" o:gfxdata="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jn9NQA&#10;AAAFAQAADwAAAAAAAAABACAAAAAiAAAAZHJzL2Rvd25yZXYueG1sUEsBAhQAFAAAAAgAh07iQHKz&#10;tK7qAQAAuAMAAA4AAAAAAAAAAQAgAAAAIwEAAGRycy9lMm9Eb2MueG1sUEsFBgAAAAAGAAYAWQEA&#10;AH8FAAAAAA==&#10;">
                <v:fill on="f" focussize="0,0"/>
                <v:stroke weight="0.7pt" color="#000000" joinstyle="round"/>
                <v:imagedata o:title=""/>
                <o:lock v:ext="edit" aspectratio="f"/>
              </v:line>
            </w:pict>
          </mc:Fallback>
        </mc:AlternateContent>
      </w:r>
      <w:r>
        <w:rPr>
          <w:sz w:val="28"/>
          <w:szCs w:val="28"/>
        </w:rPr>
        <w:t xml:space="preserve">重庆市黔江区人民政府办公室             </w:t>
      </w:r>
      <w:r>
        <w:rPr>
          <w:rFonts w:hint="eastAsia"/>
          <w:sz w:val="28"/>
          <w:szCs w:val="28"/>
        </w:rPr>
        <w:t xml:space="preserve"> </w:t>
      </w:r>
      <w:r>
        <w:rPr>
          <w:sz w:val="28"/>
          <w:szCs w:val="28"/>
        </w:rPr>
        <w:t>202</w:t>
      </w:r>
      <w:r>
        <w:rPr>
          <w:rFonts w:hint="eastAsia"/>
          <w:sz w:val="28"/>
          <w:szCs w:val="28"/>
        </w:rPr>
        <w:t>2</w:t>
      </w:r>
      <w:r>
        <w:rPr>
          <w:sz w:val="28"/>
          <w:szCs w:val="28"/>
        </w:rPr>
        <w:t>年</w:t>
      </w:r>
      <w:r>
        <w:rPr>
          <w:rFonts w:hint="eastAsia"/>
          <w:sz w:val="28"/>
          <w:szCs w:val="28"/>
        </w:rPr>
        <w:t>4</w:t>
      </w:r>
      <w:r>
        <w:rPr>
          <w:sz w:val="28"/>
          <w:szCs w:val="28"/>
        </w:rPr>
        <w:t>月</w:t>
      </w:r>
      <w:r>
        <w:rPr>
          <w:rFonts w:hint="eastAsia"/>
          <w:sz w:val="28"/>
          <w:szCs w:val="28"/>
        </w:rPr>
        <w:t>21</w:t>
      </w:r>
      <w:r>
        <w:rPr>
          <w:sz w:val="28"/>
          <w:szCs w:val="28"/>
        </w:rPr>
        <w:t>日印发</w:t>
      </w:r>
    </w:p>
    <w:sectPr>
      <w:headerReference r:id="rId3" w:type="default"/>
      <w:footerReference r:id="rId4" w:type="default"/>
      <w:footerReference r:id="rId5"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8"/>
        <w:szCs w:val="28"/>
      </w:rPr>
    </w:pPr>
    <w:r>
      <w:tab/>
    </w:r>
    <w:r>
      <w:rPr>
        <w:rFonts w:hint="eastAsia"/>
      </w:rPr>
      <w:t xml:space="preserve">                                                                                    </w:t>
    </w:r>
    <w:r>
      <w:rPr>
        <w:rFonts w:hint="eastAsia"/>
        <w:sz w:val="28"/>
        <w:szCs w:val="28"/>
      </w:rPr>
      <w:t>—</w:t>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9</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10</w:t>
    </w:r>
    <w:r>
      <w:rPr>
        <w:kern w:val="0"/>
        <w:sz w:val="28"/>
      </w:rPr>
      <w:fldChar w:fldCharType="end"/>
    </w:r>
    <w:r>
      <w:rPr>
        <w:kern w:val="0"/>
        <w:sz w:val="28"/>
      </w:rPr>
      <w:t xml:space="preserve"> </w:t>
    </w:r>
    <w:r>
      <w:rPr>
        <w:rStyle w:val="1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9F26A"/>
    <w:multiLevelType w:val="singleLevel"/>
    <w:tmpl w:val="AEA9F26A"/>
    <w:lvl w:ilvl="0" w:tentative="0">
      <w:start w:val="4"/>
      <w:numFmt w:val="chineseCounting"/>
      <w:suff w:val="nothing"/>
      <w:lvlText w:val="（%1）"/>
      <w:lvlJc w:val="left"/>
      <w:rPr>
        <w:rFonts w:hint="eastAsia"/>
      </w:rPr>
    </w:lvl>
  </w:abstractNum>
  <w:abstractNum w:abstractNumId="1">
    <w:nsid w:val="C636A584"/>
    <w:multiLevelType w:val="singleLevel"/>
    <w:tmpl w:val="C636A58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29B1"/>
    <w:rsid w:val="00003093"/>
    <w:rsid w:val="0000329F"/>
    <w:rsid w:val="0000510C"/>
    <w:rsid w:val="00007FC6"/>
    <w:rsid w:val="000102BB"/>
    <w:rsid w:val="000116DA"/>
    <w:rsid w:val="00012323"/>
    <w:rsid w:val="00013335"/>
    <w:rsid w:val="00014B91"/>
    <w:rsid w:val="00015ABA"/>
    <w:rsid w:val="00015E64"/>
    <w:rsid w:val="0001617E"/>
    <w:rsid w:val="00017121"/>
    <w:rsid w:val="00021E98"/>
    <w:rsid w:val="0002225C"/>
    <w:rsid w:val="0002331B"/>
    <w:rsid w:val="0002417D"/>
    <w:rsid w:val="00024B01"/>
    <w:rsid w:val="00025CC2"/>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A0C"/>
    <w:rsid w:val="00057F7E"/>
    <w:rsid w:val="000604B2"/>
    <w:rsid w:val="0006085E"/>
    <w:rsid w:val="00060E1C"/>
    <w:rsid w:val="00063AD5"/>
    <w:rsid w:val="00065EDA"/>
    <w:rsid w:val="000660AB"/>
    <w:rsid w:val="000669E2"/>
    <w:rsid w:val="00066D40"/>
    <w:rsid w:val="00067F0D"/>
    <w:rsid w:val="00070408"/>
    <w:rsid w:val="000713E8"/>
    <w:rsid w:val="000714DF"/>
    <w:rsid w:val="00071E64"/>
    <w:rsid w:val="000729F4"/>
    <w:rsid w:val="000749FB"/>
    <w:rsid w:val="000761F2"/>
    <w:rsid w:val="000767F3"/>
    <w:rsid w:val="0008046D"/>
    <w:rsid w:val="00084781"/>
    <w:rsid w:val="000858A8"/>
    <w:rsid w:val="00086051"/>
    <w:rsid w:val="000901C2"/>
    <w:rsid w:val="00091529"/>
    <w:rsid w:val="00092A8A"/>
    <w:rsid w:val="0009670D"/>
    <w:rsid w:val="00096AB3"/>
    <w:rsid w:val="000A4164"/>
    <w:rsid w:val="000A4960"/>
    <w:rsid w:val="000A7420"/>
    <w:rsid w:val="000A79DD"/>
    <w:rsid w:val="000B1CE9"/>
    <w:rsid w:val="000B43B8"/>
    <w:rsid w:val="000B4781"/>
    <w:rsid w:val="000B5FDB"/>
    <w:rsid w:val="000B6C65"/>
    <w:rsid w:val="000B7B3D"/>
    <w:rsid w:val="000C0612"/>
    <w:rsid w:val="000C19FC"/>
    <w:rsid w:val="000C2038"/>
    <w:rsid w:val="000C2609"/>
    <w:rsid w:val="000C3C38"/>
    <w:rsid w:val="000C53B7"/>
    <w:rsid w:val="000C622A"/>
    <w:rsid w:val="000C6AF8"/>
    <w:rsid w:val="000C6B0C"/>
    <w:rsid w:val="000C6B21"/>
    <w:rsid w:val="000C6D29"/>
    <w:rsid w:val="000C702E"/>
    <w:rsid w:val="000C7DF8"/>
    <w:rsid w:val="000D1B45"/>
    <w:rsid w:val="000D2B51"/>
    <w:rsid w:val="000D2C2B"/>
    <w:rsid w:val="000D3F02"/>
    <w:rsid w:val="000D5112"/>
    <w:rsid w:val="000D5654"/>
    <w:rsid w:val="000D6290"/>
    <w:rsid w:val="000D6346"/>
    <w:rsid w:val="000D63AE"/>
    <w:rsid w:val="000D70C0"/>
    <w:rsid w:val="000E0E10"/>
    <w:rsid w:val="000E0E39"/>
    <w:rsid w:val="000E2E8F"/>
    <w:rsid w:val="000E3696"/>
    <w:rsid w:val="000E5323"/>
    <w:rsid w:val="000E534A"/>
    <w:rsid w:val="000F045B"/>
    <w:rsid w:val="000F2923"/>
    <w:rsid w:val="000F3A6E"/>
    <w:rsid w:val="000F3BEE"/>
    <w:rsid w:val="000F4B12"/>
    <w:rsid w:val="000F51C7"/>
    <w:rsid w:val="000F54A2"/>
    <w:rsid w:val="00106917"/>
    <w:rsid w:val="001125F7"/>
    <w:rsid w:val="00113397"/>
    <w:rsid w:val="00114F60"/>
    <w:rsid w:val="0011527B"/>
    <w:rsid w:val="00115452"/>
    <w:rsid w:val="00115BA8"/>
    <w:rsid w:val="0011669C"/>
    <w:rsid w:val="00122F31"/>
    <w:rsid w:val="001230FC"/>
    <w:rsid w:val="00124F5F"/>
    <w:rsid w:val="00125E3B"/>
    <w:rsid w:val="0012609C"/>
    <w:rsid w:val="00126520"/>
    <w:rsid w:val="00130780"/>
    <w:rsid w:val="0013201D"/>
    <w:rsid w:val="00132A20"/>
    <w:rsid w:val="001356FE"/>
    <w:rsid w:val="0014002A"/>
    <w:rsid w:val="001401F6"/>
    <w:rsid w:val="00140220"/>
    <w:rsid w:val="001411E4"/>
    <w:rsid w:val="00142AA9"/>
    <w:rsid w:val="00145DF4"/>
    <w:rsid w:val="00145E1D"/>
    <w:rsid w:val="00145F70"/>
    <w:rsid w:val="001508A5"/>
    <w:rsid w:val="001509A5"/>
    <w:rsid w:val="0015389A"/>
    <w:rsid w:val="00153A3D"/>
    <w:rsid w:val="00153BB7"/>
    <w:rsid w:val="0015694C"/>
    <w:rsid w:val="00160466"/>
    <w:rsid w:val="00160E70"/>
    <w:rsid w:val="00160E8A"/>
    <w:rsid w:val="00160F7A"/>
    <w:rsid w:val="00161995"/>
    <w:rsid w:val="00162C80"/>
    <w:rsid w:val="00163A43"/>
    <w:rsid w:val="001644EB"/>
    <w:rsid w:val="00166911"/>
    <w:rsid w:val="00166EAB"/>
    <w:rsid w:val="00170182"/>
    <w:rsid w:val="00171FC6"/>
    <w:rsid w:val="00175C23"/>
    <w:rsid w:val="0017677B"/>
    <w:rsid w:val="00180B55"/>
    <w:rsid w:val="00181320"/>
    <w:rsid w:val="00181C83"/>
    <w:rsid w:val="00182365"/>
    <w:rsid w:val="00190910"/>
    <w:rsid w:val="00190B5C"/>
    <w:rsid w:val="00192BD7"/>
    <w:rsid w:val="001934E8"/>
    <w:rsid w:val="00194401"/>
    <w:rsid w:val="0019633C"/>
    <w:rsid w:val="00197446"/>
    <w:rsid w:val="001A0CE8"/>
    <w:rsid w:val="001A280B"/>
    <w:rsid w:val="001A35F7"/>
    <w:rsid w:val="001A368C"/>
    <w:rsid w:val="001A3C53"/>
    <w:rsid w:val="001A3EB5"/>
    <w:rsid w:val="001A3EDE"/>
    <w:rsid w:val="001A7BC4"/>
    <w:rsid w:val="001B1681"/>
    <w:rsid w:val="001B232E"/>
    <w:rsid w:val="001B236F"/>
    <w:rsid w:val="001B2B29"/>
    <w:rsid w:val="001B5281"/>
    <w:rsid w:val="001B5FA3"/>
    <w:rsid w:val="001B6981"/>
    <w:rsid w:val="001B796D"/>
    <w:rsid w:val="001C0AE4"/>
    <w:rsid w:val="001C376D"/>
    <w:rsid w:val="001C3B38"/>
    <w:rsid w:val="001C436D"/>
    <w:rsid w:val="001C43B5"/>
    <w:rsid w:val="001C586A"/>
    <w:rsid w:val="001C69ED"/>
    <w:rsid w:val="001C6D8F"/>
    <w:rsid w:val="001C7F40"/>
    <w:rsid w:val="001D01DF"/>
    <w:rsid w:val="001D1323"/>
    <w:rsid w:val="001D1889"/>
    <w:rsid w:val="001D2FCE"/>
    <w:rsid w:val="001D328C"/>
    <w:rsid w:val="001D6275"/>
    <w:rsid w:val="001D70E6"/>
    <w:rsid w:val="001D735E"/>
    <w:rsid w:val="001D75CD"/>
    <w:rsid w:val="001D7777"/>
    <w:rsid w:val="001E14DC"/>
    <w:rsid w:val="001E1567"/>
    <w:rsid w:val="001E2794"/>
    <w:rsid w:val="001E2C7C"/>
    <w:rsid w:val="001E2CA8"/>
    <w:rsid w:val="001E3E01"/>
    <w:rsid w:val="001E5DD4"/>
    <w:rsid w:val="001E6849"/>
    <w:rsid w:val="001E7EA3"/>
    <w:rsid w:val="001F345D"/>
    <w:rsid w:val="001F400B"/>
    <w:rsid w:val="001F5290"/>
    <w:rsid w:val="001F5A35"/>
    <w:rsid w:val="001F6064"/>
    <w:rsid w:val="001F6855"/>
    <w:rsid w:val="001F6DA4"/>
    <w:rsid w:val="001F76DB"/>
    <w:rsid w:val="001F79C3"/>
    <w:rsid w:val="00200EFD"/>
    <w:rsid w:val="002010BC"/>
    <w:rsid w:val="0020136C"/>
    <w:rsid w:val="002045EA"/>
    <w:rsid w:val="00204C4A"/>
    <w:rsid w:val="002052BE"/>
    <w:rsid w:val="00206690"/>
    <w:rsid w:val="0021037F"/>
    <w:rsid w:val="002103C1"/>
    <w:rsid w:val="00211010"/>
    <w:rsid w:val="002118B2"/>
    <w:rsid w:val="002137BE"/>
    <w:rsid w:val="0021392F"/>
    <w:rsid w:val="002140CF"/>
    <w:rsid w:val="002140D8"/>
    <w:rsid w:val="00214A94"/>
    <w:rsid w:val="00215824"/>
    <w:rsid w:val="002166FA"/>
    <w:rsid w:val="00216C56"/>
    <w:rsid w:val="0021707D"/>
    <w:rsid w:val="00220483"/>
    <w:rsid w:val="0022084D"/>
    <w:rsid w:val="00220DF3"/>
    <w:rsid w:val="00220E6D"/>
    <w:rsid w:val="002220F6"/>
    <w:rsid w:val="00222EB0"/>
    <w:rsid w:val="0022355D"/>
    <w:rsid w:val="00223DDF"/>
    <w:rsid w:val="00224040"/>
    <w:rsid w:val="00224147"/>
    <w:rsid w:val="0022439F"/>
    <w:rsid w:val="00226F12"/>
    <w:rsid w:val="0023025C"/>
    <w:rsid w:val="0023028B"/>
    <w:rsid w:val="0023079B"/>
    <w:rsid w:val="002316B7"/>
    <w:rsid w:val="00235010"/>
    <w:rsid w:val="00236D56"/>
    <w:rsid w:val="00237E75"/>
    <w:rsid w:val="002428FF"/>
    <w:rsid w:val="00242AFD"/>
    <w:rsid w:val="0024411A"/>
    <w:rsid w:val="00245352"/>
    <w:rsid w:val="00245F32"/>
    <w:rsid w:val="00247742"/>
    <w:rsid w:val="00251358"/>
    <w:rsid w:val="0025354C"/>
    <w:rsid w:val="00254142"/>
    <w:rsid w:val="00256678"/>
    <w:rsid w:val="00257070"/>
    <w:rsid w:val="0026223F"/>
    <w:rsid w:val="0026233C"/>
    <w:rsid w:val="0026342D"/>
    <w:rsid w:val="00264224"/>
    <w:rsid w:val="00265878"/>
    <w:rsid w:val="00266646"/>
    <w:rsid w:val="002669DB"/>
    <w:rsid w:val="002678DD"/>
    <w:rsid w:val="00267B54"/>
    <w:rsid w:val="00270AF8"/>
    <w:rsid w:val="00271879"/>
    <w:rsid w:val="00275090"/>
    <w:rsid w:val="002802D2"/>
    <w:rsid w:val="00281BDD"/>
    <w:rsid w:val="00282903"/>
    <w:rsid w:val="0028300F"/>
    <w:rsid w:val="00284928"/>
    <w:rsid w:val="00284BCF"/>
    <w:rsid w:val="0028529E"/>
    <w:rsid w:val="00290500"/>
    <w:rsid w:val="0029229C"/>
    <w:rsid w:val="00292AD6"/>
    <w:rsid w:val="002935D2"/>
    <w:rsid w:val="00294488"/>
    <w:rsid w:val="00294D94"/>
    <w:rsid w:val="00294F1E"/>
    <w:rsid w:val="00295286"/>
    <w:rsid w:val="00295FDC"/>
    <w:rsid w:val="0029604E"/>
    <w:rsid w:val="002963BC"/>
    <w:rsid w:val="002A04DB"/>
    <w:rsid w:val="002A05F8"/>
    <w:rsid w:val="002A0EE7"/>
    <w:rsid w:val="002A1DED"/>
    <w:rsid w:val="002A1ED7"/>
    <w:rsid w:val="002A452E"/>
    <w:rsid w:val="002A69F6"/>
    <w:rsid w:val="002A7176"/>
    <w:rsid w:val="002B051A"/>
    <w:rsid w:val="002B112B"/>
    <w:rsid w:val="002B190E"/>
    <w:rsid w:val="002B2343"/>
    <w:rsid w:val="002B2777"/>
    <w:rsid w:val="002B7A47"/>
    <w:rsid w:val="002C1113"/>
    <w:rsid w:val="002C293B"/>
    <w:rsid w:val="002C3874"/>
    <w:rsid w:val="002C5979"/>
    <w:rsid w:val="002C663F"/>
    <w:rsid w:val="002C667B"/>
    <w:rsid w:val="002C79F6"/>
    <w:rsid w:val="002D00D5"/>
    <w:rsid w:val="002D1241"/>
    <w:rsid w:val="002D3AF1"/>
    <w:rsid w:val="002E11FA"/>
    <w:rsid w:val="002E1618"/>
    <w:rsid w:val="002E1D80"/>
    <w:rsid w:val="002E3E9F"/>
    <w:rsid w:val="002E5373"/>
    <w:rsid w:val="002E5E4E"/>
    <w:rsid w:val="002E76E0"/>
    <w:rsid w:val="002E792F"/>
    <w:rsid w:val="002F07E9"/>
    <w:rsid w:val="002F0EDC"/>
    <w:rsid w:val="002F1C37"/>
    <w:rsid w:val="002F1F2C"/>
    <w:rsid w:val="002F7604"/>
    <w:rsid w:val="002F7853"/>
    <w:rsid w:val="002F78A4"/>
    <w:rsid w:val="002F78BD"/>
    <w:rsid w:val="002F7CF4"/>
    <w:rsid w:val="003001CF"/>
    <w:rsid w:val="003018F7"/>
    <w:rsid w:val="00302648"/>
    <w:rsid w:val="003026CA"/>
    <w:rsid w:val="00304155"/>
    <w:rsid w:val="00306347"/>
    <w:rsid w:val="003102BA"/>
    <w:rsid w:val="00312B2A"/>
    <w:rsid w:val="00313459"/>
    <w:rsid w:val="00314E9E"/>
    <w:rsid w:val="00315C61"/>
    <w:rsid w:val="00315E67"/>
    <w:rsid w:val="00316D18"/>
    <w:rsid w:val="00317A16"/>
    <w:rsid w:val="00323594"/>
    <w:rsid w:val="003247B9"/>
    <w:rsid w:val="00325703"/>
    <w:rsid w:val="00326B29"/>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23CB"/>
    <w:rsid w:val="003530C5"/>
    <w:rsid w:val="00354385"/>
    <w:rsid w:val="00355240"/>
    <w:rsid w:val="003570D8"/>
    <w:rsid w:val="00357D61"/>
    <w:rsid w:val="0036009E"/>
    <w:rsid w:val="00360684"/>
    <w:rsid w:val="00360E8E"/>
    <w:rsid w:val="00360EA8"/>
    <w:rsid w:val="003611A8"/>
    <w:rsid w:val="0036123E"/>
    <w:rsid w:val="00363066"/>
    <w:rsid w:val="0036471D"/>
    <w:rsid w:val="00371B13"/>
    <w:rsid w:val="00372810"/>
    <w:rsid w:val="003770C7"/>
    <w:rsid w:val="0037719B"/>
    <w:rsid w:val="00380BB0"/>
    <w:rsid w:val="00380D5A"/>
    <w:rsid w:val="00380EA3"/>
    <w:rsid w:val="00380EB5"/>
    <w:rsid w:val="0038208F"/>
    <w:rsid w:val="00382FBF"/>
    <w:rsid w:val="00384420"/>
    <w:rsid w:val="0038564B"/>
    <w:rsid w:val="00387E8B"/>
    <w:rsid w:val="003903E3"/>
    <w:rsid w:val="00390432"/>
    <w:rsid w:val="003913F0"/>
    <w:rsid w:val="00392691"/>
    <w:rsid w:val="00392F1C"/>
    <w:rsid w:val="003958FD"/>
    <w:rsid w:val="00395F25"/>
    <w:rsid w:val="003A09FD"/>
    <w:rsid w:val="003A29DE"/>
    <w:rsid w:val="003A3CA9"/>
    <w:rsid w:val="003A4168"/>
    <w:rsid w:val="003A5412"/>
    <w:rsid w:val="003A54DB"/>
    <w:rsid w:val="003A5F28"/>
    <w:rsid w:val="003A6062"/>
    <w:rsid w:val="003A7698"/>
    <w:rsid w:val="003A7B14"/>
    <w:rsid w:val="003B3200"/>
    <w:rsid w:val="003B32E3"/>
    <w:rsid w:val="003B3D8A"/>
    <w:rsid w:val="003B42C6"/>
    <w:rsid w:val="003B4FE4"/>
    <w:rsid w:val="003B6033"/>
    <w:rsid w:val="003B62AA"/>
    <w:rsid w:val="003C0386"/>
    <w:rsid w:val="003C0792"/>
    <w:rsid w:val="003C0A11"/>
    <w:rsid w:val="003C0DA0"/>
    <w:rsid w:val="003C57D2"/>
    <w:rsid w:val="003C5813"/>
    <w:rsid w:val="003C5DAC"/>
    <w:rsid w:val="003C730F"/>
    <w:rsid w:val="003D010F"/>
    <w:rsid w:val="003D3543"/>
    <w:rsid w:val="003D3ABF"/>
    <w:rsid w:val="003D5597"/>
    <w:rsid w:val="003D5C70"/>
    <w:rsid w:val="003D5CA0"/>
    <w:rsid w:val="003D61DD"/>
    <w:rsid w:val="003D7775"/>
    <w:rsid w:val="003E0FD8"/>
    <w:rsid w:val="003E1DE7"/>
    <w:rsid w:val="003E38E0"/>
    <w:rsid w:val="003E4469"/>
    <w:rsid w:val="003E6DEF"/>
    <w:rsid w:val="003F0225"/>
    <w:rsid w:val="003F1E11"/>
    <w:rsid w:val="003F440D"/>
    <w:rsid w:val="003F4E5F"/>
    <w:rsid w:val="003F5E8A"/>
    <w:rsid w:val="003F64F8"/>
    <w:rsid w:val="004002C1"/>
    <w:rsid w:val="00401638"/>
    <w:rsid w:val="00401FD1"/>
    <w:rsid w:val="00406451"/>
    <w:rsid w:val="00406782"/>
    <w:rsid w:val="00407A61"/>
    <w:rsid w:val="00407B6E"/>
    <w:rsid w:val="00410789"/>
    <w:rsid w:val="00411D13"/>
    <w:rsid w:val="00412BB8"/>
    <w:rsid w:val="004148F8"/>
    <w:rsid w:val="0041595F"/>
    <w:rsid w:val="00415A2B"/>
    <w:rsid w:val="00415B16"/>
    <w:rsid w:val="00416796"/>
    <w:rsid w:val="00416C1B"/>
    <w:rsid w:val="00416E30"/>
    <w:rsid w:val="00417D88"/>
    <w:rsid w:val="00422B22"/>
    <w:rsid w:val="00422ED4"/>
    <w:rsid w:val="0042331F"/>
    <w:rsid w:val="00424E14"/>
    <w:rsid w:val="0042580B"/>
    <w:rsid w:val="00426909"/>
    <w:rsid w:val="004271EF"/>
    <w:rsid w:val="00430559"/>
    <w:rsid w:val="00432138"/>
    <w:rsid w:val="00432546"/>
    <w:rsid w:val="00432DDA"/>
    <w:rsid w:val="00433CAD"/>
    <w:rsid w:val="00436211"/>
    <w:rsid w:val="0044037B"/>
    <w:rsid w:val="004422E1"/>
    <w:rsid w:val="00442BEA"/>
    <w:rsid w:val="00443407"/>
    <w:rsid w:val="00444502"/>
    <w:rsid w:val="00444A01"/>
    <w:rsid w:val="00446F3A"/>
    <w:rsid w:val="00451491"/>
    <w:rsid w:val="00451902"/>
    <w:rsid w:val="00452A7D"/>
    <w:rsid w:val="00452C5B"/>
    <w:rsid w:val="00455E28"/>
    <w:rsid w:val="004563B2"/>
    <w:rsid w:val="00456F24"/>
    <w:rsid w:val="00456FE6"/>
    <w:rsid w:val="004607E7"/>
    <w:rsid w:val="004648E5"/>
    <w:rsid w:val="00466CDC"/>
    <w:rsid w:val="004670BA"/>
    <w:rsid w:val="0046721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4158"/>
    <w:rsid w:val="0049459C"/>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01ED"/>
    <w:rsid w:val="005112B7"/>
    <w:rsid w:val="00511CF8"/>
    <w:rsid w:val="00512CCC"/>
    <w:rsid w:val="00513897"/>
    <w:rsid w:val="00517738"/>
    <w:rsid w:val="00517C76"/>
    <w:rsid w:val="00520BD9"/>
    <w:rsid w:val="00521D36"/>
    <w:rsid w:val="00523D39"/>
    <w:rsid w:val="00525073"/>
    <w:rsid w:val="0052522F"/>
    <w:rsid w:val="00526832"/>
    <w:rsid w:val="00527BE2"/>
    <w:rsid w:val="00527BE9"/>
    <w:rsid w:val="00527C67"/>
    <w:rsid w:val="00533427"/>
    <w:rsid w:val="0053488A"/>
    <w:rsid w:val="00534AB0"/>
    <w:rsid w:val="005355AE"/>
    <w:rsid w:val="00536278"/>
    <w:rsid w:val="00541744"/>
    <w:rsid w:val="00544048"/>
    <w:rsid w:val="0054409A"/>
    <w:rsid w:val="00552A9B"/>
    <w:rsid w:val="00552ABE"/>
    <w:rsid w:val="00553517"/>
    <w:rsid w:val="005537DE"/>
    <w:rsid w:val="005550A0"/>
    <w:rsid w:val="0055528E"/>
    <w:rsid w:val="00555808"/>
    <w:rsid w:val="00555C9A"/>
    <w:rsid w:val="00557F94"/>
    <w:rsid w:val="005633B2"/>
    <w:rsid w:val="005645AA"/>
    <w:rsid w:val="00564F93"/>
    <w:rsid w:val="00566C60"/>
    <w:rsid w:val="00567AB2"/>
    <w:rsid w:val="00567E6D"/>
    <w:rsid w:val="00572099"/>
    <w:rsid w:val="00572219"/>
    <w:rsid w:val="0057299E"/>
    <w:rsid w:val="005735B2"/>
    <w:rsid w:val="00575FE2"/>
    <w:rsid w:val="005768CC"/>
    <w:rsid w:val="00576B02"/>
    <w:rsid w:val="00576BF2"/>
    <w:rsid w:val="0058062E"/>
    <w:rsid w:val="005813FC"/>
    <w:rsid w:val="00582E9D"/>
    <w:rsid w:val="00584AFF"/>
    <w:rsid w:val="00585065"/>
    <w:rsid w:val="0058578C"/>
    <w:rsid w:val="00585968"/>
    <w:rsid w:val="00586EDE"/>
    <w:rsid w:val="00586EE6"/>
    <w:rsid w:val="00587BF5"/>
    <w:rsid w:val="00590FF3"/>
    <w:rsid w:val="00591049"/>
    <w:rsid w:val="0059296C"/>
    <w:rsid w:val="005935FE"/>
    <w:rsid w:val="00593B26"/>
    <w:rsid w:val="00594305"/>
    <w:rsid w:val="0059476E"/>
    <w:rsid w:val="00594FC3"/>
    <w:rsid w:val="00595909"/>
    <w:rsid w:val="00595EB6"/>
    <w:rsid w:val="00597982"/>
    <w:rsid w:val="005A1AB2"/>
    <w:rsid w:val="005A36D7"/>
    <w:rsid w:val="005A64F6"/>
    <w:rsid w:val="005B030E"/>
    <w:rsid w:val="005B0E4B"/>
    <w:rsid w:val="005B2CD4"/>
    <w:rsid w:val="005B3681"/>
    <w:rsid w:val="005B62B5"/>
    <w:rsid w:val="005C176B"/>
    <w:rsid w:val="005C31F3"/>
    <w:rsid w:val="005C361D"/>
    <w:rsid w:val="005C3DA5"/>
    <w:rsid w:val="005C5165"/>
    <w:rsid w:val="005C54BD"/>
    <w:rsid w:val="005C5515"/>
    <w:rsid w:val="005C6150"/>
    <w:rsid w:val="005C67D5"/>
    <w:rsid w:val="005C771F"/>
    <w:rsid w:val="005D06DD"/>
    <w:rsid w:val="005D765C"/>
    <w:rsid w:val="005D78D1"/>
    <w:rsid w:val="005E12DF"/>
    <w:rsid w:val="005E1BB3"/>
    <w:rsid w:val="005E1E6B"/>
    <w:rsid w:val="005E2129"/>
    <w:rsid w:val="005E4D94"/>
    <w:rsid w:val="005E55E8"/>
    <w:rsid w:val="005F01D9"/>
    <w:rsid w:val="005F2796"/>
    <w:rsid w:val="005F4EF1"/>
    <w:rsid w:val="005F6171"/>
    <w:rsid w:val="005F7336"/>
    <w:rsid w:val="005F7C32"/>
    <w:rsid w:val="005F7CEF"/>
    <w:rsid w:val="006013E8"/>
    <w:rsid w:val="006019E5"/>
    <w:rsid w:val="00601A87"/>
    <w:rsid w:val="00601AEE"/>
    <w:rsid w:val="00606B42"/>
    <w:rsid w:val="00607B3F"/>
    <w:rsid w:val="00610419"/>
    <w:rsid w:val="00611A32"/>
    <w:rsid w:val="00611EEE"/>
    <w:rsid w:val="00612373"/>
    <w:rsid w:val="00615CA2"/>
    <w:rsid w:val="006162DD"/>
    <w:rsid w:val="00616B00"/>
    <w:rsid w:val="00616EC1"/>
    <w:rsid w:val="00617191"/>
    <w:rsid w:val="00617CF7"/>
    <w:rsid w:val="00620CF7"/>
    <w:rsid w:val="00621730"/>
    <w:rsid w:val="0062280C"/>
    <w:rsid w:val="006230A9"/>
    <w:rsid w:val="006231AB"/>
    <w:rsid w:val="0062542F"/>
    <w:rsid w:val="006265EB"/>
    <w:rsid w:val="00626688"/>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FAB"/>
    <w:rsid w:val="0066022F"/>
    <w:rsid w:val="00660332"/>
    <w:rsid w:val="0066095C"/>
    <w:rsid w:val="00662459"/>
    <w:rsid w:val="00662C3F"/>
    <w:rsid w:val="00663278"/>
    <w:rsid w:val="006637B3"/>
    <w:rsid w:val="00665338"/>
    <w:rsid w:val="0066777D"/>
    <w:rsid w:val="00670A56"/>
    <w:rsid w:val="006718B7"/>
    <w:rsid w:val="006734B4"/>
    <w:rsid w:val="00674AF6"/>
    <w:rsid w:val="00674C3A"/>
    <w:rsid w:val="00674F34"/>
    <w:rsid w:val="00677696"/>
    <w:rsid w:val="00680191"/>
    <w:rsid w:val="006812CB"/>
    <w:rsid w:val="0068243F"/>
    <w:rsid w:val="00683589"/>
    <w:rsid w:val="00685C1D"/>
    <w:rsid w:val="00686210"/>
    <w:rsid w:val="00687CBB"/>
    <w:rsid w:val="006912AB"/>
    <w:rsid w:val="006A0544"/>
    <w:rsid w:val="006A0687"/>
    <w:rsid w:val="006A2A41"/>
    <w:rsid w:val="006A37F9"/>
    <w:rsid w:val="006A5983"/>
    <w:rsid w:val="006A6056"/>
    <w:rsid w:val="006A72DD"/>
    <w:rsid w:val="006A75C7"/>
    <w:rsid w:val="006A7719"/>
    <w:rsid w:val="006B0914"/>
    <w:rsid w:val="006B0CB0"/>
    <w:rsid w:val="006B142E"/>
    <w:rsid w:val="006B2BBC"/>
    <w:rsid w:val="006B402B"/>
    <w:rsid w:val="006B42D1"/>
    <w:rsid w:val="006B498F"/>
    <w:rsid w:val="006B52BB"/>
    <w:rsid w:val="006B678E"/>
    <w:rsid w:val="006C10DA"/>
    <w:rsid w:val="006C36C2"/>
    <w:rsid w:val="006C4367"/>
    <w:rsid w:val="006C6213"/>
    <w:rsid w:val="006C6C44"/>
    <w:rsid w:val="006C790B"/>
    <w:rsid w:val="006C7961"/>
    <w:rsid w:val="006D1279"/>
    <w:rsid w:val="006D210F"/>
    <w:rsid w:val="006D2A94"/>
    <w:rsid w:val="006D3E0D"/>
    <w:rsid w:val="006D3FE7"/>
    <w:rsid w:val="006D458D"/>
    <w:rsid w:val="006D4CBB"/>
    <w:rsid w:val="006D6265"/>
    <w:rsid w:val="006D733A"/>
    <w:rsid w:val="006D7E39"/>
    <w:rsid w:val="006E1C8B"/>
    <w:rsid w:val="006E35BD"/>
    <w:rsid w:val="006E3745"/>
    <w:rsid w:val="006E422F"/>
    <w:rsid w:val="006E5E58"/>
    <w:rsid w:val="006E644B"/>
    <w:rsid w:val="006E65FF"/>
    <w:rsid w:val="006E75A6"/>
    <w:rsid w:val="006E794F"/>
    <w:rsid w:val="006F0ECC"/>
    <w:rsid w:val="006F1165"/>
    <w:rsid w:val="006F2093"/>
    <w:rsid w:val="006F292D"/>
    <w:rsid w:val="006F3067"/>
    <w:rsid w:val="006F42C2"/>
    <w:rsid w:val="006F5B19"/>
    <w:rsid w:val="00700DB7"/>
    <w:rsid w:val="00701690"/>
    <w:rsid w:val="00701EE5"/>
    <w:rsid w:val="0070368B"/>
    <w:rsid w:val="007069BB"/>
    <w:rsid w:val="00711FF0"/>
    <w:rsid w:val="00712141"/>
    <w:rsid w:val="007144F4"/>
    <w:rsid w:val="007164B9"/>
    <w:rsid w:val="007164FB"/>
    <w:rsid w:val="007217F3"/>
    <w:rsid w:val="00721D23"/>
    <w:rsid w:val="00721FD5"/>
    <w:rsid w:val="0072376D"/>
    <w:rsid w:val="0072529B"/>
    <w:rsid w:val="00725E29"/>
    <w:rsid w:val="007260CA"/>
    <w:rsid w:val="007303B8"/>
    <w:rsid w:val="00730910"/>
    <w:rsid w:val="00733008"/>
    <w:rsid w:val="007332DE"/>
    <w:rsid w:val="00737AE4"/>
    <w:rsid w:val="00740AAD"/>
    <w:rsid w:val="00742385"/>
    <w:rsid w:val="00743812"/>
    <w:rsid w:val="00745ADA"/>
    <w:rsid w:val="00746629"/>
    <w:rsid w:val="00746B48"/>
    <w:rsid w:val="00747577"/>
    <w:rsid w:val="007517B2"/>
    <w:rsid w:val="0075193E"/>
    <w:rsid w:val="00752483"/>
    <w:rsid w:val="007527F6"/>
    <w:rsid w:val="007534DB"/>
    <w:rsid w:val="00753CF7"/>
    <w:rsid w:val="007544BE"/>
    <w:rsid w:val="00754ECE"/>
    <w:rsid w:val="00757405"/>
    <w:rsid w:val="00760E60"/>
    <w:rsid w:val="0076159F"/>
    <w:rsid w:val="00764F3C"/>
    <w:rsid w:val="00766BBE"/>
    <w:rsid w:val="00770632"/>
    <w:rsid w:val="00770B22"/>
    <w:rsid w:val="0077352A"/>
    <w:rsid w:val="00773980"/>
    <w:rsid w:val="00773D8C"/>
    <w:rsid w:val="007741CD"/>
    <w:rsid w:val="00774A71"/>
    <w:rsid w:val="00774FF8"/>
    <w:rsid w:val="00775F80"/>
    <w:rsid w:val="00775F81"/>
    <w:rsid w:val="0077755E"/>
    <w:rsid w:val="00782926"/>
    <w:rsid w:val="00782A04"/>
    <w:rsid w:val="00783418"/>
    <w:rsid w:val="007835AD"/>
    <w:rsid w:val="00787B1F"/>
    <w:rsid w:val="007916DF"/>
    <w:rsid w:val="0079195B"/>
    <w:rsid w:val="007919A3"/>
    <w:rsid w:val="00791C06"/>
    <w:rsid w:val="0079556B"/>
    <w:rsid w:val="007959AF"/>
    <w:rsid w:val="00796335"/>
    <w:rsid w:val="007A00C5"/>
    <w:rsid w:val="007A0174"/>
    <w:rsid w:val="007A0E2B"/>
    <w:rsid w:val="007A1B95"/>
    <w:rsid w:val="007A243D"/>
    <w:rsid w:val="007A3691"/>
    <w:rsid w:val="007A45B3"/>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B5B7E"/>
    <w:rsid w:val="007B6726"/>
    <w:rsid w:val="007C1885"/>
    <w:rsid w:val="007C1BA0"/>
    <w:rsid w:val="007C1C0A"/>
    <w:rsid w:val="007C3278"/>
    <w:rsid w:val="007C3A3B"/>
    <w:rsid w:val="007C41E1"/>
    <w:rsid w:val="007C4A27"/>
    <w:rsid w:val="007C5471"/>
    <w:rsid w:val="007C5A22"/>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489C"/>
    <w:rsid w:val="007F7679"/>
    <w:rsid w:val="007F796B"/>
    <w:rsid w:val="00800EBD"/>
    <w:rsid w:val="0080486D"/>
    <w:rsid w:val="00805493"/>
    <w:rsid w:val="008073F7"/>
    <w:rsid w:val="0081057F"/>
    <w:rsid w:val="008149ED"/>
    <w:rsid w:val="008203D2"/>
    <w:rsid w:val="00820AB7"/>
    <w:rsid w:val="0082111A"/>
    <w:rsid w:val="008219D5"/>
    <w:rsid w:val="00821D6E"/>
    <w:rsid w:val="00822A18"/>
    <w:rsid w:val="00822B82"/>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57EF8"/>
    <w:rsid w:val="00860505"/>
    <w:rsid w:val="00860B75"/>
    <w:rsid w:val="00862B68"/>
    <w:rsid w:val="0086387B"/>
    <w:rsid w:val="0086411B"/>
    <w:rsid w:val="0086665C"/>
    <w:rsid w:val="00866BFC"/>
    <w:rsid w:val="0087052A"/>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B60"/>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3356"/>
    <w:rsid w:val="008B5BED"/>
    <w:rsid w:val="008B7C55"/>
    <w:rsid w:val="008C0F4D"/>
    <w:rsid w:val="008C0F68"/>
    <w:rsid w:val="008C48DA"/>
    <w:rsid w:val="008C5684"/>
    <w:rsid w:val="008C654B"/>
    <w:rsid w:val="008C68BD"/>
    <w:rsid w:val="008C6BCA"/>
    <w:rsid w:val="008C6E8B"/>
    <w:rsid w:val="008C7550"/>
    <w:rsid w:val="008C7983"/>
    <w:rsid w:val="008C7EB9"/>
    <w:rsid w:val="008C7EC8"/>
    <w:rsid w:val="008D0E56"/>
    <w:rsid w:val="008D0FFD"/>
    <w:rsid w:val="008D19C7"/>
    <w:rsid w:val="008D1FF5"/>
    <w:rsid w:val="008D36F6"/>
    <w:rsid w:val="008E0C57"/>
    <w:rsid w:val="008E114E"/>
    <w:rsid w:val="008E3E59"/>
    <w:rsid w:val="008E403C"/>
    <w:rsid w:val="008E46EB"/>
    <w:rsid w:val="008E481D"/>
    <w:rsid w:val="008E525D"/>
    <w:rsid w:val="008E5D86"/>
    <w:rsid w:val="008E6156"/>
    <w:rsid w:val="008E6565"/>
    <w:rsid w:val="008F0689"/>
    <w:rsid w:val="008F1F42"/>
    <w:rsid w:val="008F29F8"/>
    <w:rsid w:val="008F2FEB"/>
    <w:rsid w:val="008F37A9"/>
    <w:rsid w:val="008F3EB1"/>
    <w:rsid w:val="008F45C8"/>
    <w:rsid w:val="008F4AF5"/>
    <w:rsid w:val="008F4F1F"/>
    <w:rsid w:val="008F5B84"/>
    <w:rsid w:val="008F5EFC"/>
    <w:rsid w:val="00900F59"/>
    <w:rsid w:val="009010D0"/>
    <w:rsid w:val="00905624"/>
    <w:rsid w:val="0090597F"/>
    <w:rsid w:val="009127E4"/>
    <w:rsid w:val="00912D37"/>
    <w:rsid w:val="0091435D"/>
    <w:rsid w:val="009144A2"/>
    <w:rsid w:val="00914603"/>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1DB"/>
    <w:rsid w:val="009312AE"/>
    <w:rsid w:val="00931D0C"/>
    <w:rsid w:val="00932585"/>
    <w:rsid w:val="00932605"/>
    <w:rsid w:val="009343FB"/>
    <w:rsid w:val="00935F67"/>
    <w:rsid w:val="00935FDB"/>
    <w:rsid w:val="0093693A"/>
    <w:rsid w:val="00937477"/>
    <w:rsid w:val="00937A22"/>
    <w:rsid w:val="00940325"/>
    <w:rsid w:val="00940C90"/>
    <w:rsid w:val="0094338D"/>
    <w:rsid w:val="0094342A"/>
    <w:rsid w:val="009435B2"/>
    <w:rsid w:val="00944A1B"/>
    <w:rsid w:val="0094623E"/>
    <w:rsid w:val="00952FF8"/>
    <w:rsid w:val="0095359D"/>
    <w:rsid w:val="009535C4"/>
    <w:rsid w:val="009565C1"/>
    <w:rsid w:val="00960845"/>
    <w:rsid w:val="009608AB"/>
    <w:rsid w:val="00960CBA"/>
    <w:rsid w:val="009616FA"/>
    <w:rsid w:val="00962612"/>
    <w:rsid w:val="009636F2"/>
    <w:rsid w:val="00963F82"/>
    <w:rsid w:val="009645A2"/>
    <w:rsid w:val="009671F5"/>
    <w:rsid w:val="009677B5"/>
    <w:rsid w:val="00967A48"/>
    <w:rsid w:val="00971B4F"/>
    <w:rsid w:val="009731BD"/>
    <w:rsid w:val="009738C6"/>
    <w:rsid w:val="00974996"/>
    <w:rsid w:val="00976355"/>
    <w:rsid w:val="00976662"/>
    <w:rsid w:val="009766D9"/>
    <w:rsid w:val="00976D3F"/>
    <w:rsid w:val="009778FB"/>
    <w:rsid w:val="0098484C"/>
    <w:rsid w:val="00985B3B"/>
    <w:rsid w:val="00990553"/>
    <w:rsid w:val="00991F30"/>
    <w:rsid w:val="009938D3"/>
    <w:rsid w:val="0099578F"/>
    <w:rsid w:val="009A0002"/>
    <w:rsid w:val="009A0286"/>
    <w:rsid w:val="009A17CF"/>
    <w:rsid w:val="009A2369"/>
    <w:rsid w:val="009A326B"/>
    <w:rsid w:val="009A54ED"/>
    <w:rsid w:val="009A5C49"/>
    <w:rsid w:val="009A5FAA"/>
    <w:rsid w:val="009B0912"/>
    <w:rsid w:val="009B3011"/>
    <w:rsid w:val="009B3F6C"/>
    <w:rsid w:val="009B4213"/>
    <w:rsid w:val="009B51B7"/>
    <w:rsid w:val="009B5ABC"/>
    <w:rsid w:val="009B6B1A"/>
    <w:rsid w:val="009C0DD7"/>
    <w:rsid w:val="009C48DC"/>
    <w:rsid w:val="009C7865"/>
    <w:rsid w:val="009C7F74"/>
    <w:rsid w:val="009D07B0"/>
    <w:rsid w:val="009D089F"/>
    <w:rsid w:val="009D15D5"/>
    <w:rsid w:val="009D1802"/>
    <w:rsid w:val="009D3705"/>
    <w:rsid w:val="009D3DCE"/>
    <w:rsid w:val="009D59A9"/>
    <w:rsid w:val="009E0264"/>
    <w:rsid w:val="009E1DFA"/>
    <w:rsid w:val="009E1FEE"/>
    <w:rsid w:val="009E2A91"/>
    <w:rsid w:val="009E32E7"/>
    <w:rsid w:val="009E5CEC"/>
    <w:rsid w:val="009E5FC0"/>
    <w:rsid w:val="009E7151"/>
    <w:rsid w:val="009E7DBD"/>
    <w:rsid w:val="009F0010"/>
    <w:rsid w:val="009F4DE8"/>
    <w:rsid w:val="009F52B4"/>
    <w:rsid w:val="00A00825"/>
    <w:rsid w:val="00A01204"/>
    <w:rsid w:val="00A03A5F"/>
    <w:rsid w:val="00A03D46"/>
    <w:rsid w:val="00A0508B"/>
    <w:rsid w:val="00A05B28"/>
    <w:rsid w:val="00A06A61"/>
    <w:rsid w:val="00A06AAC"/>
    <w:rsid w:val="00A10369"/>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6D8"/>
    <w:rsid w:val="00A378F3"/>
    <w:rsid w:val="00A43770"/>
    <w:rsid w:val="00A4378A"/>
    <w:rsid w:val="00A475F1"/>
    <w:rsid w:val="00A47AAA"/>
    <w:rsid w:val="00A51228"/>
    <w:rsid w:val="00A5130D"/>
    <w:rsid w:val="00A51AA8"/>
    <w:rsid w:val="00A51D01"/>
    <w:rsid w:val="00A55473"/>
    <w:rsid w:val="00A56F21"/>
    <w:rsid w:val="00A607D0"/>
    <w:rsid w:val="00A60EDC"/>
    <w:rsid w:val="00A621AE"/>
    <w:rsid w:val="00A62796"/>
    <w:rsid w:val="00A62E0E"/>
    <w:rsid w:val="00A64F69"/>
    <w:rsid w:val="00A65D57"/>
    <w:rsid w:val="00A65FE0"/>
    <w:rsid w:val="00A66920"/>
    <w:rsid w:val="00A67198"/>
    <w:rsid w:val="00A67B42"/>
    <w:rsid w:val="00A70862"/>
    <w:rsid w:val="00A70B66"/>
    <w:rsid w:val="00A70D5A"/>
    <w:rsid w:val="00A71A6C"/>
    <w:rsid w:val="00A72ACD"/>
    <w:rsid w:val="00A72C3A"/>
    <w:rsid w:val="00A72FB9"/>
    <w:rsid w:val="00A741DC"/>
    <w:rsid w:val="00A74D00"/>
    <w:rsid w:val="00A76F43"/>
    <w:rsid w:val="00A77D1D"/>
    <w:rsid w:val="00A80907"/>
    <w:rsid w:val="00A81210"/>
    <w:rsid w:val="00A81B04"/>
    <w:rsid w:val="00A8279C"/>
    <w:rsid w:val="00A82ACC"/>
    <w:rsid w:val="00A83961"/>
    <w:rsid w:val="00A8693E"/>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52A9"/>
    <w:rsid w:val="00AD0785"/>
    <w:rsid w:val="00AD1278"/>
    <w:rsid w:val="00AD4150"/>
    <w:rsid w:val="00AD5CCB"/>
    <w:rsid w:val="00AD644C"/>
    <w:rsid w:val="00AD6B03"/>
    <w:rsid w:val="00AD75A8"/>
    <w:rsid w:val="00AD7ED1"/>
    <w:rsid w:val="00AE165D"/>
    <w:rsid w:val="00AE1C2B"/>
    <w:rsid w:val="00AE34B5"/>
    <w:rsid w:val="00AE37B5"/>
    <w:rsid w:val="00AE38F7"/>
    <w:rsid w:val="00AE4491"/>
    <w:rsid w:val="00AE48FF"/>
    <w:rsid w:val="00AE4AE8"/>
    <w:rsid w:val="00AE593A"/>
    <w:rsid w:val="00AE5D90"/>
    <w:rsid w:val="00AE6BD1"/>
    <w:rsid w:val="00AE73E5"/>
    <w:rsid w:val="00AF0302"/>
    <w:rsid w:val="00AF05BC"/>
    <w:rsid w:val="00AF1F6F"/>
    <w:rsid w:val="00AF241B"/>
    <w:rsid w:val="00AF3B5C"/>
    <w:rsid w:val="00AF4B25"/>
    <w:rsid w:val="00AF515F"/>
    <w:rsid w:val="00B005D1"/>
    <w:rsid w:val="00B010DC"/>
    <w:rsid w:val="00B017EC"/>
    <w:rsid w:val="00B04479"/>
    <w:rsid w:val="00B04492"/>
    <w:rsid w:val="00B1012C"/>
    <w:rsid w:val="00B11AF3"/>
    <w:rsid w:val="00B12E7C"/>
    <w:rsid w:val="00B1562F"/>
    <w:rsid w:val="00B15AFB"/>
    <w:rsid w:val="00B21660"/>
    <w:rsid w:val="00B21F0D"/>
    <w:rsid w:val="00B2411B"/>
    <w:rsid w:val="00B2418F"/>
    <w:rsid w:val="00B24B0D"/>
    <w:rsid w:val="00B25152"/>
    <w:rsid w:val="00B25D7F"/>
    <w:rsid w:val="00B25DA1"/>
    <w:rsid w:val="00B316B4"/>
    <w:rsid w:val="00B31AEC"/>
    <w:rsid w:val="00B33937"/>
    <w:rsid w:val="00B34D47"/>
    <w:rsid w:val="00B363E3"/>
    <w:rsid w:val="00B370B3"/>
    <w:rsid w:val="00B37873"/>
    <w:rsid w:val="00B37917"/>
    <w:rsid w:val="00B37BE9"/>
    <w:rsid w:val="00B40EC6"/>
    <w:rsid w:val="00B42FB6"/>
    <w:rsid w:val="00B44189"/>
    <w:rsid w:val="00B45963"/>
    <w:rsid w:val="00B467AD"/>
    <w:rsid w:val="00B46EAC"/>
    <w:rsid w:val="00B47394"/>
    <w:rsid w:val="00B474DB"/>
    <w:rsid w:val="00B521BE"/>
    <w:rsid w:val="00B5316B"/>
    <w:rsid w:val="00B536F5"/>
    <w:rsid w:val="00B54524"/>
    <w:rsid w:val="00B5461D"/>
    <w:rsid w:val="00B5566A"/>
    <w:rsid w:val="00B55C17"/>
    <w:rsid w:val="00B568CA"/>
    <w:rsid w:val="00B57092"/>
    <w:rsid w:val="00B615D8"/>
    <w:rsid w:val="00B618AC"/>
    <w:rsid w:val="00B621AB"/>
    <w:rsid w:val="00B62302"/>
    <w:rsid w:val="00B6232D"/>
    <w:rsid w:val="00B64CB4"/>
    <w:rsid w:val="00B6690F"/>
    <w:rsid w:val="00B67B40"/>
    <w:rsid w:val="00B67BCA"/>
    <w:rsid w:val="00B72FA8"/>
    <w:rsid w:val="00B731BC"/>
    <w:rsid w:val="00B74945"/>
    <w:rsid w:val="00B7536B"/>
    <w:rsid w:val="00B763A1"/>
    <w:rsid w:val="00B76FCF"/>
    <w:rsid w:val="00B826EB"/>
    <w:rsid w:val="00B8365D"/>
    <w:rsid w:val="00B84751"/>
    <w:rsid w:val="00B8494A"/>
    <w:rsid w:val="00B870C1"/>
    <w:rsid w:val="00B9069B"/>
    <w:rsid w:val="00B91D9C"/>
    <w:rsid w:val="00B93A30"/>
    <w:rsid w:val="00B94AB3"/>
    <w:rsid w:val="00BA2005"/>
    <w:rsid w:val="00BA2832"/>
    <w:rsid w:val="00BA28A7"/>
    <w:rsid w:val="00BA3266"/>
    <w:rsid w:val="00BA60DC"/>
    <w:rsid w:val="00BA64D5"/>
    <w:rsid w:val="00BA6B34"/>
    <w:rsid w:val="00BA6DCC"/>
    <w:rsid w:val="00BB04EE"/>
    <w:rsid w:val="00BB0523"/>
    <w:rsid w:val="00BB403C"/>
    <w:rsid w:val="00BB462C"/>
    <w:rsid w:val="00BB4E1C"/>
    <w:rsid w:val="00BB7512"/>
    <w:rsid w:val="00BC047D"/>
    <w:rsid w:val="00BC0C07"/>
    <w:rsid w:val="00BC18BD"/>
    <w:rsid w:val="00BC1FCD"/>
    <w:rsid w:val="00BC3647"/>
    <w:rsid w:val="00BC36E9"/>
    <w:rsid w:val="00BC3715"/>
    <w:rsid w:val="00BC5266"/>
    <w:rsid w:val="00BC5BFA"/>
    <w:rsid w:val="00BC67BD"/>
    <w:rsid w:val="00BC6EAF"/>
    <w:rsid w:val="00BD09B6"/>
    <w:rsid w:val="00BD1F5E"/>
    <w:rsid w:val="00BD2187"/>
    <w:rsid w:val="00BD2C23"/>
    <w:rsid w:val="00BD32EC"/>
    <w:rsid w:val="00BD376E"/>
    <w:rsid w:val="00BD5308"/>
    <w:rsid w:val="00BD56C0"/>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041"/>
    <w:rsid w:val="00BF7610"/>
    <w:rsid w:val="00C025CF"/>
    <w:rsid w:val="00C03838"/>
    <w:rsid w:val="00C03F82"/>
    <w:rsid w:val="00C046EE"/>
    <w:rsid w:val="00C0530B"/>
    <w:rsid w:val="00C068AF"/>
    <w:rsid w:val="00C10869"/>
    <w:rsid w:val="00C10C4D"/>
    <w:rsid w:val="00C12582"/>
    <w:rsid w:val="00C12ED6"/>
    <w:rsid w:val="00C13F06"/>
    <w:rsid w:val="00C16C53"/>
    <w:rsid w:val="00C20921"/>
    <w:rsid w:val="00C2092F"/>
    <w:rsid w:val="00C219A6"/>
    <w:rsid w:val="00C22CAC"/>
    <w:rsid w:val="00C2311F"/>
    <w:rsid w:val="00C2344D"/>
    <w:rsid w:val="00C24086"/>
    <w:rsid w:val="00C25904"/>
    <w:rsid w:val="00C259E3"/>
    <w:rsid w:val="00C2684F"/>
    <w:rsid w:val="00C32AA1"/>
    <w:rsid w:val="00C33CAD"/>
    <w:rsid w:val="00C3502E"/>
    <w:rsid w:val="00C40344"/>
    <w:rsid w:val="00C4048E"/>
    <w:rsid w:val="00C4121F"/>
    <w:rsid w:val="00C41547"/>
    <w:rsid w:val="00C41F3F"/>
    <w:rsid w:val="00C436F3"/>
    <w:rsid w:val="00C43896"/>
    <w:rsid w:val="00C4461E"/>
    <w:rsid w:val="00C44B4C"/>
    <w:rsid w:val="00C44F42"/>
    <w:rsid w:val="00C45368"/>
    <w:rsid w:val="00C45EAC"/>
    <w:rsid w:val="00C46540"/>
    <w:rsid w:val="00C50448"/>
    <w:rsid w:val="00C5060F"/>
    <w:rsid w:val="00C506EA"/>
    <w:rsid w:val="00C512E0"/>
    <w:rsid w:val="00C51825"/>
    <w:rsid w:val="00C52035"/>
    <w:rsid w:val="00C52073"/>
    <w:rsid w:val="00C52331"/>
    <w:rsid w:val="00C53A91"/>
    <w:rsid w:val="00C609E9"/>
    <w:rsid w:val="00C61B0B"/>
    <w:rsid w:val="00C61F68"/>
    <w:rsid w:val="00C62314"/>
    <w:rsid w:val="00C633D2"/>
    <w:rsid w:val="00C63AE6"/>
    <w:rsid w:val="00C669A7"/>
    <w:rsid w:val="00C700EA"/>
    <w:rsid w:val="00C711C4"/>
    <w:rsid w:val="00C74178"/>
    <w:rsid w:val="00C81540"/>
    <w:rsid w:val="00C81BA6"/>
    <w:rsid w:val="00C820D0"/>
    <w:rsid w:val="00C85E0C"/>
    <w:rsid w:val="00C8627C"/>
    <w:rsid w:val="00C86C66"/>
    <w:rsid w:val="00C90238"/>
    <w:rsid w:val="00C91605"/>
    <w:rsid w:val="00C92A4B"/>
    <w:rsid w:val="00C9346F"/>
    <w:rsid w:val="00C93652"/>
    <w:rsid w:val="00C94455"/>
    <w:rsid w:val="00C9497A"/>
    <w:rsid w:val="00C94C33"/>
    <w:rsid w:val="00C9553E"/>
    <w:rsid w:val="00C957C9"/>
    <w:rsid w:val="00C9630F"/>
    <w:rsid w:val="00C963C8"/>
    <w:rsid w:val="00CA03B8"/>
    <w:rsid w:val="00CA0828"/>
    <w:rsid w:val="00CA102E"/>
    <w:rsid w:val="00CA393F"/>
    <w:rsid w:val="00CA40B0"/>
    <w:rsid w:val="00CA6D37"/>
    <w:rsid w:val="00CA700A"/>
    <w:rsid w:val="00CB271C"/>
    <w:rsid w:val="00CB2D6D"/>
    <w:rsid w:val="00CB3596"/>
    <w:rsid w:val="00CB40FF"/>
    <w:rsid w:val="00CB4639"/>
    <w:rsid w:val="00CB4FA8"/>
    <w:rsid w:val="00CB58CC"/>
    <w:rsid w:val="00CB7034"/>
    <w:rsid w:val="00CC14CA"/>
    <w:rsid w:val="00CC1892"/>
    <w:rsid w:val="00CC27AC"/>
    <w:rsid w:val="00CC27D7"/>
    <w:rsid w:val="00CC28B5"/>
    <w:rsid w:val="00CC2B6F"/>
    <w:rsid w:val="00CC41B9"/>
    <w:rsid w:val="00CC42B6"/>
    <w:rsid w:val="00CC6BF9"/>
    <w:rsid w:val="00CD05B6"/>
    <w:rsid w:val="00CD1289"/>
    <w:rsid w:val="00CD1563"/>
    <w:rsid w:val="00CD215C"/>
    <w:rsid w:val="00CD274D"/>
    <w:rsid w:val="00CD2B45"/>
    <w:rsid w:val="00CD30CA"/>
    <w:rsid w:val="00CD4260"/>
    <w:rsid w:val="00CD4451"/>
    <w:rsid w:val="00CD5423"/>
    <w:rsid w:val="00CD6589"/>
    <w:rsid w:val="00CD766D"/>
    <w:rsid w:val="00CD7D8D"/>
    <w:rsid w:val="00CE21FB"/>
    <w:rsid w:val="00CE2DB9"/>
    <w:rsid w:val="00CE3AB1"/>
    <w:rsid w:val="00CE4C45"/>
    <w:rsid w:val="00CE5148"/>
    <w:rsid w:val="00CE70F4"/>
    <w:rsid w:val="00CF1CC4"/>
    <w:rsid w:val="00CF31AF"/>
    <w:rsid w:val="00CF3694"/>
    <w:rsid w:val="00CF4BFB"/>
    <w:rsid w:val="00CF64DE"/>
    <w:rsid w:val="00D003A7"/>
    <w:rsid w:val="00D01BBC"/>
    <w:rsid w:val="00D04289"/>
    <w:rsid w:val="00D04A3B"/>
    <w:rsid w:val="00D0591C"/>
    <w:rsid w:val="00D059C4"/>
    <w:rsid w:val="00D067F1"/>
    <w:rsid w:val="00D06CD4"/>
    <w:rsid w:val="00D10662"/>
    <w:rsid w:val="00D149EA"/>
    <w:rsid w:val="00D1567E"/>
    <w:rsid w:val="00D17447"/>
    <w:rsid w:val="00D17BCF"/>
    <w:rsid w:val="00D2106F"/>
    <w:rsid w:val="00D21E5F"/>
    <w:rsid w:val="00D2301C"/>
    <w:rsid w:val="00D266AA"/>
    <w:rsid w:val="00D2753C"/>
    <w:rsid w:val="00D31737"/>
    <w:rsid w:val="00D317CE"/>
    <w:rsid w:val="00D3260C"/>
    <w:rsid w:val="00D32E49"/>
    <w:rsid w:val="00D32EB9"/>
    <w:rsid w:val="00D35C13"/>
    <w:rsid w:val="00D36772"/>
    <w:rsid w:val="00D3709F"/>
    <w:rsid w:val="00D37D7F"/>
    <w:rsid w:val="00D37FDF"/>
    <w:rsid w:val="00D44201"/>
    <w:rsid w:val="00D449A0"/>
    <w:rsid w:val="00D45301"/>
    <w:rsid w:val="00D458C9"/>
    <w:rsid w:val="00D51B3F"/>
    <w:rsid w:val="00D56306"/>
    <w:rsid w:val="00D569B3"/>
    <w:rsid w:val="00D57352"/>
    <w:rsid w:val="00D629FE"/>
    <w:rsid w:val="00D64930"/>
    <w:rsid w:val="00D64DF2"/>
    <w:rsid w:val="00D6531C"/>
    <w:rsid w:val="00D66062"/>
    <w:rsid w:val="00D670CB"/>
    <w:rsid w:val="00D70611"/>
    <w:rsid w:val="00D71EB8"/>
    <w:rsid w:val="00D729CA"/>
    <w:rsid w:val="00D72A74"/>
    <w:rsid w:val="00D72BF8"/>
    <w:rsid w:val="00D7510F"/>
    <w:rsid w:val="00D76291"/>
    <w:rsid w:val="00D77F53"/>
    <w:rsid w:val="00D80C4C"/>
    <w:rsid w:val="00D812A7"/>
    <w:rsid w:val="00D821D8"/>
    <w:rsid w:val="00D82C34"/>
    <w:rsid w:val="00D83C6D"/>
    <w:rsid w:val="00D83E69"/>
    <w:rsid w:val="00D852CF"/>
    <w:rsid w:val="00D856F4"/>
    <w:rsid w:val="00D856F8"/>
    <w:rsid w:val="00D87744"/>
    <w:rsid w:val="00D90CD9"/>
    <w:rsid w:val="00D9153C"/>
    <w:rsid w:val="00D93A82"/>
    <w:rsid w:val="00D93A98"/>
    <w:rsid w:val="00D93FF7"/>
    <w:rsid w:val="00D941AB"/>
    <w:rsid w:val="00D95E14"/>
    <w:rsid w:val="00D960DF"/>
    <w:rsid w:val="00D96617"/>
    <w:rsid w:val="00D9789E"/>
    <w:rsid w:val="00D97E6F"/>
    <w:rsid w:val="00DA00D5"/>
    <w:rsid w:val="00DA0622"/>
    <w:rsid w:val="00DA0667"/>
    <w:rsid w:val="00DA0EB1"/>
    <w:rsid w:val="00DA105E"/>
    <w:rsid w:val="00DA1465"/>
    <w:rsid w:val="00DA1609"/>
    <w:rsid w:val="00DA175A"/>
    <w:rsid w:val="00DA1E7D"/>
    <w:rsid w:val="00DA21F5"/>
    <w:rsid w:val="00DA35B9"/>
    <w:rsid w:val="00DA478B"/>
    <w:rsid w:val="00DA4A04"/>
    <w:rsid w:val="00DA6605"/>
    <w:rsid w:val="00DB09F4"/>
    <w:rsid w:val="00DB1E63"/>
    <w:rsid w:val="00DB2EB6"/>
    <w:rsid w:val="00DB347E"/>
    <w:rsid w:val="00DB50DB"/>
    <w:rsid w:val="00DB58A0"/>
    <w:rsid w:val="00DB58CB"/>
    <w:rsid w:val="00DB631C"/>
    <w:rsid w:val="00DB69B6"/>
    <w:rsid w:val="00DB7B65"/>
    <w:rsid w:val="00DC198B"/>
    <w:rsid w:val="00DC2F91"/>
    <w:rsid w:val="00DC4211"/>
    <w:rsid w:val="00DC5A62"/>
    <w:rsid w:val="00DC69E4"/>
    <w:rsid w:val="00DD02F6"/>
    <w:rsid w:val="00DD19A5"/>
    <w:rsid w:val="00DD3D7D"/>
    <w:rsid w:val="00DD517B"/>
    <w:rsid w:val="00DD5BEF"/>
    <w:rsid w:val="00DD5EBE"/>
    <w:rsid w:val="00DD6651"/>
    <w:rsid w:val="00DE0422"/>
    <w:rsid w:val="00DE0530"/>
    <w:rsid w:val="00DE05A3"/>
    <w:rsid w:val="00DE0DF8"/>
    <w:rsid w:val="00DE43AF"/>
    <w:rsid w:val="00DE48D8"/>
    <w:rsid w:val="00DE4C9C"/>
    <w:rsid w:val="00DF0E0A"/>
    <w:rsid w:val="00DF1864"/>
    <w:rsid w:val="00DF4C16"/>
    <w:rsid w:val="00DF66B4"/>
    <w:rsid w:val="00DF7206"/>
    <w:rsid w:val="00DF754C"/>
    <w:rsid w:val="00E0005B"/>
    <w:rsid w:val="00E01A4A"/>
    <w:rsid w:val="00E024B3"/>
    <w:rsid w:val="00E0443C"/>
    <w:rsid w:val="00E04A4E"/>
    <w:rsid w:val="00E06582"/>
    <w:rsid w:val="00E076A9"/>
    <w:rsid w:val="00E11AC7"/>
    <w:rsid w:val="00E13489"/>
    <w:rsid w:val="00E14070"/>
    <w:rsid w:val="00E14E9B"/>
    <w:rsid w:val="00E15DFA"/>
    <w:rsid w:val="00E16560"/>
    <w:rsid w:val="00E20280"/>
    <w:rsid w:val="00E22566"/>
    <w:rsid w:val="00E2660D"/>
    <w:rsid w:val="00E30C6E"/>
    <w:rsid w:val="00E31A4F"/>
    <w:rsid w:val="00E356F8"/>
    <w:rsid w:val="00E3733F"/>
    <w:rsid w:val="00E375C2"/>
    <w:rsid w:val="00E40F1B"/>
    <w:rsid w:val="00E4144F"/>
    <w:rsid w:val="00E435D2"/>
    <w:rsid w:val="00E44203"/>
    <w:rsid w:val="00E445D7"/>
    <w:rsid w:val="00E44F19"/>
    <w:rsid w:val="00E4513F"/>
    <w:rsid w:val="00E460EF"/>
    <w:rsid w:val="00E46AC7"/>
    <w:rsid w:val="00E46C01"/>
    <w:rsid w:val="00E47ED6"/>
    <w:rsid w:val="00E51F52"/>
    <w:rsid w:val="00E529E1"/>
    <w:rsid w:val="00E52CE4"/>
    <w:rsid w:val="00E537DF"/>
    <w:rsid w:val="00E54ED2"/>
    <w:rsid w:val="00E56B85"/>
    <w:rsid w:val="00E574F0"/>
    <w:rsid w:val="00E60C18"/>
    <w:rsid w:val="00E6122D"/>
    <w:rsid w:val="00E635BE"/>
    <w:rsid w:val="00E6378F"/>
    <w:rsid w:val="00E64996"/>
    <w:rsid w:val="00E65389"/>
    <w:rsid w:val="00E6575F"/>
    <w:rsid w:val="00E67216"/>
    <w:rsid w:val="00E67469"/>
    <w:rsid w:val="00E70704"/>
    <w:rsid w:val="00E72D46"/>
    <w:rsid w:val="00E75662"/>
    <w:rsid w:val="00E76B34"/>
    <w:rsid w:val="00E7720F"/>
    <w:rsid w:val="00E77544"/>
    <w:rsid w:val="00E81D50"/>
    <w:rsid w:val="00E834CC"/>
    <w:rsid w:val="00E84742"/>
    <w:rsid w:val="00E8643F"/>
    <w:rsid w:val="00E90435"/>
    <w:rsid w:val="00E9109F"/>
    <w:rsid w:val="00E91DD2"/>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D7CFB"/>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EF7962"/>
    <w:rsid w:val="00F010BE"/>
    <w:rsid w:val="00F016F6"/>
    <w:rsid w:val="00F0314C"/>
    <w:rsid w:val="00F051E3"/>
    <w:rsid w:val="00F11B1B"/>
    <w:rsid w:val="00F121C4"/>
    <w:rsid w:val="00F1262F"/>
    <w:rsid w:val="00F15134"/>
    <w:rsid w:val="00F17245"/>
    <w:rsid w:val="00F20AE0"/>
    <w:rsid w:val="00F20C2F"/>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1873"/>
    <w:rsid w:val="00F52CC4"/>
    <w:rsid w:val="00F53527"/>
    <w:rsid w:val="00F53B51"/>
    <w:rsid w:val="00F54212"/>
    <w:rsid w:val="00F56DB0"/>
    <w:rsid w:val="00F60282"/>
    <w:rsid w:val="00F61117"/>
    <w:rsid w:val="00F654FA"/>
    <w:rsid w:val="00F65F7C"/>
    <w:rsid w:val="00F66E71"/>
    <w:rsid w:val="00F67769"/>
    <w:rsid w:val="00F67AF9"/>
    <w:rsid w:val="00F7023B"/>
    <w:rsid w:val="00F7348A"/>
    <w:rsid w:val="00F73653"/>
    <w:rsid w:val="00F758DF"/>
    <w:rsid w:val="00F76DF5"/>
    <w:rsid w:val="00F7733F"/>
    <w:rsid w:val="00F800B5"/>
    <w:rsid w:val="00F81A1F"/>
    <w:rsid w:val="00F82061"/>
    <w:rsid w:val="00F82C7D"/>
    <w:rsid w:val="00F85A25"/>
    <w:rsid w:val="00F85BAC"/>
    <w:rsid w:val="00F87669"/>
    <w:rsid w:val="00F87913"/>
    <w:rsid w:val="00F87CC3"/>
    <w:rsid w:val="00F90088"/>
    <w:rsid w:val="00F92D15"/>
    <w:rsid w:val="00F92DC1"/>
    <w:rsid w:val="00F93083"/>
    <w:rsid w:val="00F93C6E"/>
    <w:rsid w:val="00F95BF4"/>
    <w:rsid w:val="00F97404"/>
    <w:rsid w:val="00FA043E"/>
    <w:rsid w:val="00FA10F8"/>
    <w:rsid w:val="00FA177B"/>
    <w:rsid w:val="00FA1E25"/>
    <w:rsid w:val="00FA1F6D"/>
    <w:rsid w:val="00FA3857"/>
    <w:rsid w:val="00FA3B5D"/>
    <w:rsid w:val="00FA45C2"/>
    <w:rsid w:val="00FA7966"/>
    <w:rsid w:val="00FB2049"/>
    <w:rsid w:val="00FB2CCC"/>
    <w:rsid w:val="00FB30B9"/>
    <w:rsid w:val="00FB45D2"/>
    <w:rsid w:val="00FB50D8"/>
    <w:rsid w:val="00FB56FE"/>
    <w:rsid w:val="00FB6857"/>
    <w:rsid w:val="00FB6FD3"/>
    <w:rsid w:val="00FB7547"/>
    <w:rsid w:val="00FB75D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7FD"/>
    <w:rsid w:val="00FD0E83"/>
    <w:rsid w:val="00FD183C"/>
    <w:rsid w:val="00FD18F1"/>
    <w:rsid w:val="00FD1F6A"/>
    <w:rsid w:val="00FD2509"/>
    <w:rsid w:val="00FD25F5"/>
    <w:rsid w:val="00FD371D"/>
    <w:rsid w:val="00FD3A28"/>
    <w:rsid w:val="00FD423B"/>
    <w:rsid w:val="00FD4AA0"/>
    <w:rsid w:val="00FD5BE0"/>
    <w:rsid w:val="00FD5F7F"/>
    <w:rsid w:val="00FD67EC"/>
    <w:rsid w:val="00FE0C99"/>
    <w:rsid w:val="00FE0FC6"/>
    <w:rsid w:val="00FE49CB"/>
    <w:rsid w:val="00FE5C93"/>
    <w:rsid w:val="00FE5EF8"/>
    <w:rsid w:val="00FF4347"/>
    <w:rsid w:val="00FF43E0"/>
    <w:rsid w:val="00FF464C"/>
    <w:rsid w:val="00FF4C39"/>
    <w:rsid w:val="03DC6164"/>
    <w:rsid w:val="0C90792D"/>
    <w:rsid w:val="15016082"/>
    <w:rsid w:val="15501684"/>
    <w:rsid w:val="18D36D47"/>
    <w:rsid w:val="20307F5E"/>
    <w:rsid w:val="247C7268"/>
    <w:rsid w:val="2960326E"/>
    <w:rsid w:val="36BE0C61"/>
    <w:rsid w:val="37FA52B8"/>
    <w:rsid w:val="51214A91"/>
    <w:rsid w:val="54A23EE9"/>
    <w:rsid w:val="54C855A5"/>
    <w:rsid w:val="58774DB2"/>
    <w:rsid w:val="5A3D6C9C"/>
    <w:rsid w:val="5AD4037B"/>
    <w:rsid w:val="5AF11C42"/>
    <w:rsid w:val="5D99669E"/>
    <w:rsid w:val="79175EB6"/>
    <w:rsid w:val="7B76471B"/>
    <w:rsid w:val="7D6342C7"/>
    <w:rsid w:val="7DCA16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4"/>
    <w:next w:val="1"/>
    <w:link w:val="22"/>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4">
    <w:name w:val="annotation text"/>
    <w:basedOn w:val="1"/>
    <w:link w:val="23"/>
    <w:uiPriority w:val="0"/>
    <w:pPr>
      <w:jc w:val="left"/>
    </w:pPr>
  </w:style>
  <w:style w:type="paragraph" w:styleId="5">
    <w:name w:val="Body Text"/>
    <w:basedOn w:val="1"/>
    <w:next w:val="6"/>
    <w:link w:val="24"/>
    <w:uiPriority w:val="0"/>
    <w:pPr>
      <w:spacing w:after="120"/>
    </w:pPr>
    <w:rPr>
      <w:rFonts w:ascii="Calibri" w:hAnsi="Calibri" w:eastAsia="宋体"/>
      <w:sz w:val="21"/>
      <w:szCs w:val="24"/>
    </w:rPr>
  </w:style>
  <w:style w:type="paragraph" w:styleId="6">
    <w:name w:val="Body Text Indent"/>
    <w:basedOn w:val="1"/>
    <w:link w:val="25"/>
    <w:uiPriority w:val="0"/>
    <w:pPr>
      <w:spacing w:after="120"/>
      <w:ind w:left="420" w:leftChars="200"/>
    </w:pPr>
  </w:style>
  <w:style w:type="paragraph" w:styleId="7">
    <w:name w:val="Balloon Text"/>
    <w:basedOn w:val="1"/>
    <w:semiHidden/>
    <w:uiPriority w:val="0"/>
    <w:rPr>
      <w:sz w:val="18"/>
      <w:szCs w:val="18"/>
    </w:rPr>
  </w:style>
  <w:style w:type="paragraph" w:styleId="8">
    <w:name w:val="footer"/>
    <w:basedOn w:val="1"/>
    <w:link w:val="26"/>
    <w:uiPriority w:val="0"/>
    <w:pPr>
      <w:tabs>
        <w:tab w:val="center" w:pos="4153"/>
        <w:tab w:val="right" w:pos="8306"/>
      </w:tabs>
      <w:snapToGrid w:val="0"/>
      <w:jc w:val="left"/>
    </w:pPr>
    <w:rPr>
      <w:sz w:val="18"/>
    </w:rPr>
  </w:style>
  <w:style w:type="paragraph" w:styleId="9">
    <w:name w:val="envelope return"/>
    <w:basedOn w:val="1"/>
    <w:qFormat/>
    <w:uiPriority w:val="0"/>
    <w:rPr>
      <w:rFonts w:ascii="Arial" w:hAnsi="Arial" w:eastAsia="宋体"/>
      <w:sz w:val="21"/>
      <w:szCs w:val="24"/>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Body Text Indent 3"/>
    <w:basedOn w:val="1"/>
    <w:uiPriority w:val="0"/>
    <w:pPr>
      <w:tabs>
        <w:tab w:val="left" w:pos="3476"/>
      </w:tabs>
      <w:spacing w:line="400" w:lineRule="exact"/>
      <w:ind w:firstLine="632" w:firstLineChars="200"/>
    </w:pPr>
    <w:rPr>
      <w:rFonts w:ascii="仿宋_GB2312" w:eastAsia="仿宋_GB2312"/>
    </w:rPr>
  </w:style>
  <w:style w:type="paragraph" w:styleId="13">
    <w:name w:val="Normal (Web)"/>
    <w:basedOn w:val="1"/>
    <w:qFormat/>
    <w:uiPriority w:val="99"/>
    <w:pPr>
      <w:spacing w:before="100" w:beforeAutospacing="1" w:after="100" w:afterAutospacing="1"/>
      <w:jc w:val="left"/>
    </w:pPr>
    <w:rPr>
      <w:kern w:val="0"/>
      <w:sz w:val="24"/>
    </w:rPr>
  </w:style>
  <w:style w:type="paragraph" w:styleId="14">
    <w:name w:val="annotation subject"/>
    <w:basedOn w:val="4"/>
    <w:next w:val="4"/>
    <w:link w:val="27"/>
    <w:uiPriority w:val="0"/>
    <w:rPr>
      <w:b/>
      <w:bCs/>
    </w:rPr>
  </w:style>
  <w:style w:type="paragraph" w:styleId="15">
    <w:name w:val="Body Text First Indent 2"/>
    <w:basedOn w:val="6"/>
    <w:link w:val="28"/>
    <w:uiPriority w:val="0"/>
    <w:pPr>
      <w:ind w:firstLine="420" w:firstLineChars="200"/>
    </w:pPr>
  </w:style>
  <w:style w:type="character" w:styleId="18">
    <w:name w:val="page number"/>
    <w:basedOn w:val="17"/>
    <w:uiPriority w:val="0"/>
  </w:style>
  <w:style w:type="character" w:styleId="19">
    <w:name w:val="Hyperlink"/>
    <w:qFormat/>
    <w:uiPriority w:val="0"/>
    <w:rPr>
      <w:color w:val="338DE6"/>
      <w:u w:val="none"/>
    </w:rPr>
  </w:style>
  <w:style w:type="character" w:styleId="20">
    <w:name w:val="annotation reference"/>
    <w:uiPriority w:val="0"/>
    <w:rPr>
      <w:sz w:val="21"/>
      <w:szCs w:val="21"/>
    </w:rPr>
  </w:style>
  <w:style w:type="character" w:customStyle="1" w:styleId="21">
    <w:name w:val="标题 1 Char"/>
    <w:link w:val="2"/>
    <w:uiPriority w:val="0"/>
    <w:rPr>
      <w:rFonts w:eastAsia="方正仿宋_GBK"/>
      <w:b/>
      <w:bCs/>
      <w:kern w:val="44"/>
      <w:sz w:val="44"/>
      <w:szCs w:val="44"/>
    </w:rPr>
  </w:style>
  <w:style w:type="character" w:customStyle="1" w:styleId="22">
    <w:name w:val="标题 4 Char"/>
    <w:link w:val="3"/>
    <w:uiPriority w:val="0"/>
    <w:rPr>
      <w:b/>
      <w:sz w:val="21"/>
      <w:lang w:val="en-US" w:eastAsia="zh-CN" w:bidi="ar-SA"/>
    </w:rPr>
  </w:style>
  <w:style w:type="character" w:customStyle="1" w:styleId="23">
    <w:name w:val="批注文字 Char"/>
    <w:link w:val="4"/>
    <w:uiPriority w:val="0"/>
    <w:rPr>
      <w:rFonts w:eastAsia="方正仿宋_GBK"/>
      <w:kern w:val="2"/>
      <w:sz w:val="32"/>
    </w:rPr>
  </w:style>
  <w:style w:type="character" w:customStyle="1" w:styleId="24">
    <w:name w:val="正文文本 Char"/>
    <w:link w:val="5"/>
    <w:uiPriority w:val="0"/>
    <w:rPr>
      <w:rFonts w:ascii="Calibri" w:hAnsi="Calibri"/>
      <w:kern w:val="2"/>
      <w:sz w:val="21"/>
      <w:szCs w:val="24"/>
    </w:rPr>
  </w:style>
  <w:style w:type="character" w:customStyle="1" w:styleId="25">
    <w:name w:val="正文文本缩进 Char"/>
    <w:link w:val="6"/>
    <w:uiPriority w:val="0"/>
    <w:rPr>
      <w:rFonts w:eastAsia="方正仿宋_GBK"/>
      <w:kern w:val="2"/>
      <w:sz w:val="32"/>
    </w:rPr>
  </w:style>
  <w:style w:type="character" w:customStyle="1" w:styleId="26">
    <w:name w:val="页脚 Char"/>
    <w:link w:val="8"/>
    <w:uiPriority w:val="0"/>
    <w:rPr>
      <w:rFonts w:eastAsia="方正仿宋_GBK"/>
      <w:kern w:val="2"/>
      <w:sz w:val="18"/>
    </w:rPr>
  </w:style>
  <w:style w:type="character" w:customStyle="1" w:styleId="27">
    <w:name w:val="批注主题 Char"/>
    <w:link w:val="14"/>
    <w:uiPriority w:val="0"/>
    <w:rPr>
      <w:rFonts w:eastAsia="方正仿宋_GBK"/>
      <w:b/>
      <w:bCs/>
      <w:kern w:val="2"/>
      <w:sz w:val="32"/>
    </w:rPr>
  </w:style>
  <w:style w:type="character" w:customStyle="1" w:styleId="28">
    <w:name w:val="正文首行缩进 2 Char"/>
    <w:basedOn w:val="25"/>
    <w:link w:val="15"/>
    <w:uiPriority w:val="0"/>
  </w:style>
  <w:style w:type="paragraph" w:customStyle="1" w:styleId="29">
    <w:name w:val="Defaul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character" w:customStyle="1" w:styleId="30">
    <w:name w:val="font81"/>
    <w:qFormat/>
    <w:uiPriority w:val="0"/>
    <w:rPr>
      <w:rFonts w:ascii="Arial" w:hAnsi="Arial" w:cs="Arial"/>
      <w:color w:val="000000"/>
      <w:sz w:val="20"/>
      <w:szCs w:val="20"/>
      <w:u w:val="none"/>
    </w:rPr>
  </w:style>
  <w:style w:type="character" w:customStyle="1" w:styleId="31">
    <w:name w:val="font61"/>
    <w:uiPriority w:val="0"/>
    <w:rPr>
      <w:rFonts w:hint="eastAsia" w:ascii="宋体" w:hAnsi="宋体" w:eastAsia="宋体" w:cs="宋体"/>
      <w:color w:val="000000"/>
      <w:sz w:val="22"/>
      <w:szCs w:val="22"/>
      <w:u w:val="none"/>
    </w:rPr>
  </w:style>
  <w:style w:type="character" w:customStyle="1" w:styleId="32">
    <w:name w:val="font71"/>
    <w:uiPriority w:val="0"/>
    <w:rPr>
      <w:rFonts w:hint="eastAsia" w:ascii="宋体" w:hAnsi="宋体" w:eastAsia="宋体" w:cs="宋体"/>
      <w:color w:val="auto"/>
      <w:sz w:val="20"/>
      <w:szCs w:val="20"/>
      <w:u w:val="none"/>
    </w:rPr>
  </w:style>
  <w:style w:type="character" w:customStyle="1" w:styleId="33">
    <w:name w:val="font91"/>
    <w:uiPriority w:val="0"/>
    <w:rPr>
      <w:rFonts w:hint="eastAsia" w:ascii="宋体" w:hAnsi="宋体" w:eastAsia="宋体" w:cs="宋体"/>
      <w:color w:val="000000"/>
      <w:sz w:val="20"/>
      <w:szCs w:val="20"/>
      <w:u w:val="none"/>
    </w:rPr>
  </w:style>
  <w:style w:type="paragraph" w:customStyle="1" w:styleId="34">
    <w:name w:val="BodyText"/>
    <w:basedOn w:val="1"/>
    <w:qFormat/>
    <w:uiPriority w:val="0"/>
    <w:pPr>
      <w:widowControl/>
      <w:textAlignment w:val="baseline"/>
    </w:pPr>
    <w:rPr>
      <w:szCs w:val="21"/>
    </w:rPr>
  </w:style>
  <w:style w:type="paragraph" w:customStyle="1" w:styleId="35">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727</Words>
  <Characters>4144</Characters>
  <Lines>34</Lines>
  <Paragraphs>9</Paragraphs>
  <TotalTime>0</TotalTime>
  <ScaleCrop>false</ScaleCrop>
  <LinksUpToDate>false</LinksUpToDate>
  <CharactersWithSpaces>4862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2022-04-21T02:02:00Z</dcterms:created>
  <dc:creator>Lenovo User</dc:creator>
  <cp:lastModifiedBy>布谷鸟（刘娅）</cp:lastModifiedBy>
  <cp:lastPrinted>2022-04-19T01:51:00Z</cp:lastPrinted>
  <dcterms:modified xsi:type="dcterms:W3CDTF">2022-04-22T03:27:52Z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38D93F9AF27343308D0CFE752EC2251D</vt:lpwstr>
  </property>
</Properties>
</file>