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92"/>
        </w:tabs>
        <w:spacing w:line="940" w:lineRule="exact"/>
        <w:ind w:right="210" w:rightChars="100"/>
        <w:jc w:val="distribute"/>
        <w:rPr>
          <w:rFonts w:ascii="Times New Roman" w:hAnsi="Times New Roman" w:eastAsia="方正小标宋_GBK"/>
          <w:b/>
          <w:w w:val="53"/>
          <w:sz w:val="28"/>
        </w:rPr>
      </w:pPr>
      <w:r>
        <w:rPr>
          <w:rFonts w:hint="eastAsia" w:ascii="Times New Roman" w:hAnsi="Times New Roman" w:eastAsia="方正小标宋_GBK"/>
          <w:b/>
          <w:bCs/>
          <w:color w:val="FF0000"/>
          <w:w w:val="53"/>
          <w:sz w:val="88"/>
          <w:szCs w:val="100"/>
        </w:rPr>
        <w:t>重庆市黔江区人民政府办公室电子公文</w:t>
      </w:r>
    </w:p>
    <w:p>
      <w:pPr>
        <w:ind w:right="640" w:firstLine="210" w:firstLineChars="100"/>
        <w:rPr>
          <w:rFonts w:hint="eastAsia" w:ascii="Times New Roman" w:hAnsi="Times New Roman"/>
          <w:color w:val="000000"/>
          <w:szCs w:val="32"/>
        </w:rPr>
      </w:pPr>
      <w:r>
        <w:rPr>
          <w:rFonts w:hint="eastAsia" w:ascii="Times New Roman" w:hAnsi="Times New Roman"/>
          <w:color w:val="000000"/>
          <w:szCs w:val="32"/>
        </w:rPr>
        <w:t xml:space="preserve">  </w:t>
      </w:r>
    </w:p>
    <w:p>
      <w:pPr>
        <w:tabs>
          <w:tab w:val="left" w:pos="948"/>
        </w:tabs>
        <w:spacing w:line="560" w:lineRule="exact"/>
        <w:jc w:val="both"/>
        <w:rPr>
          <w:rFonts w:hint="eastAsia" w:ascii="Times New Roman" w:hAnsi="Times New Roman" w:eastAsia="方正仿宋_GBK" w:cs="方正仿宋_GBK"/>
          <w:color w:val="000000"/>
          <w:sz w:val="32"/>
          <w:szCs w:val="32"/>
        </w:rPr>
      </w:pPr>
      <w:r>
        <w:rPr>
          <w:rFonts w:hint="eastAsia" w:eastAsia="方正仿宋_GBK"/>
          <w:sz w:val="32"/>
          <w:szCs w:val="32"/>
          <w:lang w:val="en-US" w:eastAsia="zh-CN"/>
        </w:rPr>
        <w:t xml:space="preserve"> </w:t>
      </w:r>
      <w:r>
        <w:rPr>
          <w:rFonts w:hint="default" w:ascii="Times New Roman" w:hAnsi="Times New Roman" w:eastAsia="方正仿宋_GBK" w:cs="Times New Roman"/>
          <w:sz w:val="32"/>
          <w:szCs w:val="32"/>
        </w:rPr>
        <w:t>黔江府办</w:t>
      </w:r>
      <w:r>
        <w:rPr>
          <w:rFonts w:hint="default"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33</w:t>
      </w:r>
      <w:r>
        <w:rPr>
          <w:rFonts w:hint="default" w:ascii="Times New Roman" w:hAnsi="Times New Roman" w:eastAsia="方正仿宋_GBK" w:cs="Times New Roman"/>
          <w:sz w:val="32"/>
          <w:szCs w:val="32"/>
        </w:rPr>
        <w:t>号</w:t>
      </w:r>
      <w:r>
        <w:rPr>
          <w:rFonts w:hint="eastAsia" w:ascii="Times New Roman" w:hAnsi="Times New Roman" w:eastAsia="方正仿宋_GBK"/>
          <w:sz w:val="32"/>
          <w:szCs w:val="32"/>
          <w:lang w:val="en-US" w:eastAsia="zh-CN"/>
        </w:rPr>
        <w:t xml:space="preserve">   </w:t>
      </w:r>
      <w:r>
        <w:rPr>
          <w:rFonts w:hint="eastAsia"/>
          <w:sz w:val="32"/>
          <w:szCs w:val="32"/>
          <w:lang w:val="en-US" w:eastAsia="zh-CN"/>
        </w:rPr>
        <w:t xml:space="preserve">          </w:t>
      </w:r>
      <w:r>
        <w:rPr>
          <w:rFonts w:hint="eastAsia" w:ascii="Times New Roman" w:hAnsi="Times New Roman" w:eastAsia="方正仿宋_GBK" w:cs="方正仿宋_GBK"/>
          <w:color w:val="000000"/>
          <w:sz w:val="32"/>
          <w:szCs w:val="32"/>
        </w:rPr>
        <w:t>电子公文专用章</w:t>
      </w:r>
    </w:p>
    <w:p>
      <w:pPr>
        <w:spacing w:line="560" w:lineRule="exact"/>
        <w:jc w:val="center"/>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ab/>
      </w:r>
      <w:r>
        <w:rPr>
          <w:rFonts w:hint="eastAsia" w:ascii="Times New Roman" w:hAnsi="Times New Roman" w:eastAsia="方正仿宋_GBK" w:cs="方正仿宋_GBK"/>
          <w:color w:val="000000"/>
          <w:sz w:val="32"/>
          <w:szCs w:val="32"/>
        </w:rPr>
        <w:t xml:space="preserve"> </w:t>
      </w:r>
      <w:r>
        <w:rPr>
          <w:rFonts w:hint="eastAsia" w:ascii="Times New Roman" w:hAnsi="Times New Roman" w:cs="方正仿宋_GBK"/>
          <w:color w:val="000000"/>
          <w:sz w:val="32"/>
          <w:szCs w:val="32"/>
          <w:lang w:val="en-US" w:eastAsia="zh-CN"/>
        </w:rPr>
        <w:t xml:space="preserve">         </w:t>
      </w:r>
      <w:r>
        <w:rPr>
          <w:rFonts w:hint="eastAsia" w:cs="方正仿宋_GBK"/>
          <w:color w:val="000000"/>
          <w:sz w:val="32"/>
          <w:szCs w:val="32"/>
          <w:lang w:val="en-US" w:eastAsia="zh-CN"/>
        </w:rPr>
        <w:t xml:space="preserve">      </w:t>
      </w:r>
      <w:r>
        <w:rPr>
          <w:rFonts w:hint="eastAsia" w:ascii="Times New Roman" w:hAnsi="Times New Roman" w:eastAsia="方正仿宋_GBK" w:cs="方正仿宋_GBK"/>
          <w:color w:val="000000"/>
          <w:sz w:val="32"/>
          <w:szCs w:val="32"/>
        </w:rPr>
        <w:t>核收：</w:t>
      </w:r>
    </w:p>
    <w:p>
      <w:pPr>
        <w:rPr>
          <w:rFonts w:hint="default" w:ascii="Times New Roman" w:hAnsi="Times New Roman" w:cs="Times New Roman"/>
          <w:color w:val="000000"/>
        </w:rPr>
      </w:pPr>
    </w:p>
    <w:p>
      <w:pPr>
        <w:rPr>
          <w:rFonts w:hint="default" w:ascii="Times New Roman" w:hAnsi="Times New Roman" w:cs="Times New Roman"/>
          <w:color w:val="000000"/>
        </w:rPr>
      </w:pPr>
    </w:p>
    <w:p>
      <w:pPr>
        <w:rPr>
          <w:rFonts w:hint="default" w:ascii="Times New Roman" w:hAnsi="Times New Roman" w:cs="Times New Roman"/>
          <w:color w:val="000000"/>
        </w:rPr>
      </w:pPr>
    </w:p>
    <w:p>
      <w:pPr>
        <w:pStyle w:val="2"/>
        <w:rPr>
          <w:rFonts w:hint="default" w:ascii="Times New Roman" w:hAnsi="Times New Roman" w:cs="Times New Roman"/>
          <w:color w:val="000000"/>
        </w:rPr>
      </w:pPr>
    </w:p>
    <w:p>
      <w:pPr>
        <w:rPr>
          <w:rFonts w:hint="default" w:ascii="Times New Roman" w:hAnsi="Times New Roman" w:cs="Times New Roman"/>
          <w:color w:val="000000"/>
        </w:rPr>
      </w:pPr>
    </w:p>
    <w:p>
      <w:pPr>
        <w:spacing w:line="56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重庆市黔江区人民政府办公室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pacing w:val="-23"/>
          <w:sz w:val="44"/>
          <w:szCs w:val="44"/>
        </w:rPr>
        <w:t>关于印发</w:t>
      </w:r>
      <w:r>
        <w:rPr>
          <w:rFonts w:hint="default" w:ascii="Times New Roman" w:hAnsi="Times New Roman" w:eastAsia="方正小标宋_GBK" w:cs="Times New Roman"/>
          <w:spacing w:val="-23"/>
          <w:kern w:val="2"/>
          <w:sz w:val="44"/>
          <w:szCs w:val="44"/>
          <w:lang w:val="en-US" w:eastAsia="zh-CN"/>
        </w:rPr>
        <w:t>黔江区提升全民科学素质行动实施方案</w:t>
      </w:r>
      <w:r>
        <w:rPr>
          <w:rFonts w:hint="default" w:ascii="Times New Roman" w:hAnsi="Times New Roman" w:eastAsia="方正小标宋_GBK" w:cs="Times New Roman"/>
          <w:spacing w:val="-23"/>
          <w:sz w:val="44"/>
          <w:szCs w:val="44"/>
        </w:rPr>
        <w:t>的</w:t>
      </w:r>
      <w:r>
        <w:rPr>
          <w:rFonts w:hint="default" w:ascii="Times New Roman" w:hAnsi="Times New Roman" w:eastAsia="方正小标宋_GBK" w:cs="Times New Roman"/>
          <w:sz w:val="44"/>
          <w:szCs w:val="44"/>
        </w:rPr>
        <w:t>通</w:t>
      </w:r>
      <w:r>
        <w:rPr>
          <w:rFonts w:hint="eastAsia"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知</w:t>
      </w:r>
    </w:p>
    <w:p>
      <w:pPr>
        <w:spacing w:line="560" w:lineRule="exact"/>
        <w:jc w:val="center"/>
        <w:rPr>
          <w:rFonts w:hint="default" w:ascii="Times New Roman" w:hAnsi="Times New Roman" w:eastAsia="方正小标宋_GBK" w:cs="Times New Roman"/>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jc w:val="both"/>
        <w:textAlignment w:val="auto"/>
        <w:rPr>
          <w:rFonts w:hint="eastAsia" w:ascii="Times New Roman" w:hAnsi="Times New Roman" w:eastAsia="方正仿宋_GBK" w:cs="Times New Roman"/>
          <w:color w:val="000000"/>
          <w:kern w:val="2"/>
          <w:sz w:val="32"/>
          <w:szCs w:val="32"/>
          <w:lang w:val="zh-CN" w:eastAsia="zh-CN" w:bidi="ar-SA"/>
        </w:rPr>
      </w:pPr>
      <w:r>
        <w:rPr>
          <w:rFonts w:hint="eastAsia" w:ascii="Times New Roman" w:hAnsi="Times New Roman" w:eastAsia="方正仿宋_GBK" w:cs="Times New Roman"/>
          <w:color w:val="000000"/>
          <w:kern w:val="2"/>
          <w:sz w:val="32"/>
          <w:szCs w:val="32"/>
          <w:lang w:val="zh-CN" w:eastAsia="zh-CN" w:bidi="ar-SA"/>
        </w:rPr>
        <w:t>各乡镇人民政府、街道办事处，区级各部门，有关单位：</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黔江区</w:t>
      </w:r>
      <w:r>
        <w:rPr>
          <w:rFonts w:hint="eastAsia" w:ascii="方正仿宋_GBK" w:hAnsi="方正仿宋_GBK" w:eastAsia="方正仿宋_GBK" w:cs="方正仿宋_GBK"/>
          <w:sz w:val="32"/>
          <w:szCs w:val="32"/>
          <w:lang w:val="en-US" w:eastAsia="zh-CN"/>
        </w:rPr>
        <w:t>提升全民科学素质行动实施方案</w:t>
      </w:r>
      <w:r>
        <w:rPr>
          <w:rFonts w:hint="eastAsia" w:ascii="方正仿宋_GBK" w:hAnsi="方正仿宋_GBK" w:eastAsia="方正仿宋_GBK" w:cs="方正仿宋_GBK"/>
          <w:sz w:val="32"/>
          <w:szCs w:val="32"/>
        </w:rPr>
        <w:t>》已经区政府同意，现印发给你们，请认真贯彻落实。</w:t>
      </w:r>
    </w:p>
    <w:p>
      <w:pPr>
        <w:spacing w:line="560" w:lineRule="exact"/>
        <w:jc w:val="both"/>
        <w:rPr>
          <w:rFonts w:hint="eastAsia" w:ascii="方正仿宋_GBK" w:hAnsi="方正仿宋_GBK" w:eastAsia="方正仿宋_GBK" w:cs="方正仿宋_GBK"/>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jc w:val="both"/>
        <w:textAlignment w:val="auto"/>
        <w:rPr>
          <w:rFonts w:hint="eastAsia" w:ascii="Times New Roman" w:hAnsi="Times New Roman" w:eastAsia="方正仿宋_GBK" w:cs="Times New Roman"/>
          <w:color w:val="000000"/>
          <w:kern w:val="2"/>
          <w:sz w:val="32"/>
          <w:szCs w:val="32"/>
          <w:lang w:val="zh-CN" w:eastAsia="zh-CN" w:bidi="ar-SA"/>
        </w:rPr>
      </w:pPr>
      <w:r>
        <w:rPr>
          <w:rFonts w:hint="eastAsia" w:ascii="方正仿宋_GBK" w:hAnsi="方正仿宋_GBK" w:eastAsia="方正仿宋_GBK" w:cs="方正仿宋_GBK"/>
          <w:kern w:val="0"/>
          <w:sz w:val="32"/>
          <w:szCs w:val="32"/>
        </w:rPr>
        <w:t xml:space="preserve"> </w:t>
      </w:r>
      <w:r>
        <w:rPr>
          <w:rFonts w:hint="eastAsia" w:ascii="Times New Roman" w:hAnsi="Times New Roman" w:eastAsia="方正仿宋_GBK" w:cs="Times New Roman"/>
          <w:color w:val="000000"/>
          <w:kern w:val="2"/>
          <w:sz w:val="32"/>
          <w:szCs w:val="32"/>
          <w:lang w:val="en-US" w:eastAsia="zh-CN" w:bidi="ar-SA"/>
        </w:rPr>
        <w:t xml:space="preserve">                   </w:t>
      </w:r>
      <w:r>
        <w:rPr>
          <w:rFonts w:hint="eastAsia" w:ascii="Times New Roman" w:hAnsi="Times New Roman" w:eastAsia="方正仿宋_GBK" w:cs="Times New Roman"/>
          <w:color w:val="000000"/>
          <w:kern w:val="2"/>
          <w:sz w:val="32"/>
          <w:szCs w:val="32"/>
          <w:lang w:val="zh-CN" w:eastAsia="zh-CN" w:bidi="ar-SA"/>
        </w:rPr>
        <w:t>重庆市黔江区人民政府办公室</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firstLineChars="200"/>
        <w:jc w:val="both"/>
        <w:textAlignment w:val="auto"/>
        <w:rPr>
          <w:rFonts w:hint="eastAsia" w:ascii="方正仿宋_GBK" w:hAnsi="方正仿宋_GBK" w:eastAsia="方正仿宋_GBK" w:cs="方正仿宋_GBK"/>
          <w:kern w:val="0"/>
          <w:sz w:val="32"/>
          <w:szCs w:val="32"/>
          <w:lang w:val="zh-CN"/>
        </w:rPr>
      </w:pPr>
      <w:r>
        <w:rPr>
          <w:rFonts w:hint="eastAsia" w:ascii="Times New Roman" w:hAnsi="Times New Roman" w:eastAsia="方正仿宋_GBK" w:cs="Times New Roman"/>
          <w:color w:val="000000"/>
          <w:kern w:val="2"/>
          <w:sz w:val="32"/>
          <w:szCs w:val="32"/>
          <w:lang w:val="zh-CN" w:eastAsia="zh-CN" w:bidi="ar-SA"/>
        </w:rPr>
        <w:t xml:space="preserve">               </w:t>
      </w:r>
      <w:r>
        <w:rPr>
          <w:rFonts w:hint="eastAsia" w:ascii="Times New Roman" w:hAnsi="Times New Roman" w:eastAsia="方正仿宋_GBK" w:cs="Times New Roman"/>
          <w:color w:val="000000"/>
          <w:kern w:val="2"/>
          <w:sz w:val="32"/>
          <w:szCs w:val="32"/>
          <w:lang w:val="en-US" w:eastAsia="zh-CN" w:bidi="ar-SA"/>
        </w:rPr>
        <w:t xml:space="preserve">       </w:t>
      </w:r>
      <w:r>
        <w:rPr>
          <w:rFonts w:hint="eastAsia" w:ascii="Times New Roman" w:hAnsi="Times New Roman" w:eastAsia="方正仿宋_GBK" w:cs="Times New Roman"/>
          <w:color w:val="000000"/>
          <w:kern w:val="2"/>
          <w:sz w:val="32"/>
          <w:szCs w:val="32"/>
          <w:lang w:val="zh-CN" w:eastAsia="zh-CN" w:bidi="ar-SA"/>
        </w:rPr>
        <w:t xml:space="preserve"> </w:t>
      </w:r>
      <w:r>
        <w:rPr>
          <w:rFonts w:hint="eastAsia" w:ascii="Times New Roman" w:hAnsi="Times New Roman" w:eastAsia="方正仿宋_GBK" w:cs="Times New Roman"/>
          <w:color w:val="000000"/>
          <w:kern w:val="2"/>
          <w:sz w:val="32"/>
          <w:szCs w:val="32"/>
          <w:lang w:val="en-US" w:eastAsia="zh-CN" w:bidi="ar-SA"/>
        </w:rPr>
        <w:t xml:space="preserve">  </w:t>
      </w:r>
      <w:r>
        <w:rPr>
          <w:rFonts w:hint="eastAsia" w:ascii="Times New Roman" w:hAnsi="Times New Roman" w:eastAsia="方正仿宋_GBK" w:cs="Times New Roman"/>
          <w:color w:val="000000"/>
          <w:kern w:val="2"/>
          <w:sz w:val="32"/>
          <w:szCs w:val="32"/>
          <w:lang w:val="zh-CN" w:eastAsia="zh-CN" w:bidi="ar-SA"/>
        </w:rPr>
        <w:t>20</w:t>
      </w:r>
      <w:r>
        <w:rPr>
          <w:rFonts w:hint="eastAsia" w:ascii="Times New Roman" w:hAnsi="Times New Roman" w:eastAsia="方正仿宋_GBK" w:cs="Times New Roman"/>
          <w:color w:val="000000"/>
          <w:kern w:val="2"/>
          <w:sz w:val="32"/>
          <w:szCs w:val="32"/>
          <w:lang w:val="en-US" w:eastAsia="zh-CN" w:bidi="ar-SA"/>
        </w:rPr>
        <w:t>22</w:t>
      </w:r>
      <w:r>
        <w:rPr>
          <w:rFonts w:hint="eastAsia" w:ascii="Times New Roman" w:hAnsi="Times New Roman" w:eastAsia="方正仿宋_GBK" w:cs="Times New Roman"/>
          <w:color w:val="000000"/>
          <w:kern w:val="2"/>
          <w:sz w:val="32"/>
          <w:szCs w:val="32"/>
          <w:lang w:val="zh-CN" w:eastAsia="zh-CN" w:bidi="ar-SA"/>
        </w:rPr>
        <w:t>年</w:t>
      </w:r>
      <w:r>
        <w:rPr>
          <w:rFonts w:hint="eastAsia" w:ascii="Times New Roman" w:hAnsi="Times New Roman" w:eastAsia="方正仿宋_GBK" w:cs="Times New Roman"/>
          <w:color w:val="000000"/>
          <w:kern w:val="2"/>
          <w:sz w:val="32"/>
          <w:szCs w:val="32"/>
          <w:lang w:val="en-US" w:eastAsia="zh-CN" w:bidi="ar-SA"/>
        </w:rPr>
        <w:t>5</w:t>
      </w:r>
      <w:r>
        <w:rPr>
          <w:rFonts w:hint="eastAsia" w:ascii="Times New Roman" w:hAnsi="Times New Roman" w:eastAsia="方正仿宋_GBK" w:cs="Times New Roman"/>
          <w:color w:val="000000"/>
          <w:kern w:val="2"/>
          <w:sz w:val="32"/>
          <w:szCs w:val="32"/>
          <w:lang w:val="zh-CN" w:eastAsia="zh-CN" w:bidi="ar-SA"/>
        </w:rPr>
        <w:t>月</w:t>
      </w:r>
      <w:r>
        <w:rPr>
          <w:rFonts w:hint="eastAsia" w:cs="Times New Roman"/>
          <w:color w:val="000000"/>
          <w:kern w:val="2"/>
          <w:sz w:val="32"/>
          <w:szCs w:val="32"/>
          <w:lang w:val="en-US" w:eastAsia="zh-CN" w:bidi="ar-SA"/>
        </w:rPr>
        <w:t>11</w:t>
      </w:r>
      <w:r>
        <w:rPr>
          <w:rFonts w:hint="eastAsia" w:ascii="Times New Roman" w:hAnsi="Times New Roman" w:eastAsia="方正仿宋_GBK" w:cs="Times New Roman"/>
          <w:color w:val="000000"/>
          <w:kern w:val="2"/>
          <w:sz w:val="32"/>
          <w:szCs w:val="32"/>
          <w:lang w:val="zh-CN" w:eastAsia="zh-CN" w:bidi="ar-SA"/>
        </w:rPr>
        <w:t xml:space="preserve">日 </w:t>
      </w:r>
      <w:r>
        <w:rPr>
          <w:rFonts w:hint="eastAsia" w:ascii="方正仿宋_GBK" w:hAnsi="方正仿宋_GBK" w:eastAsia="方正仿宋_GBK" w:cs="方正仿宋_GBK"/>
          <w:kern w:val="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p>
    <w:p>
      <w:pPr>
        <w:spacing w:line="560" w:lineRule="exact"/>
        <w:ind w:right="640"/>
        <w:rPr>
          <w:rFonts w:hint="eastAsia" w:ascii="方正仿宋_GBK" w:hAnsi="方正仿宋_GBK" w:eastAsia="方正仿宋_GBK" w:cs="方正仿宋_GBK"/>
          <w:kern w:val="0"/>
          <w:sz w:val="32"/>
          <w:szCs w:val="32"/>
        </w:rPr>
        <w:sectPr>
          <w:footerReference r:id="rId3" w:type="default"/>
          <w:pgSz w:w="11906" w:h="16838"/>
          <w:pgMar w:top="2098" w:right="1474" w:bottom="1984" w:left="1587" w:header="851" w:footer="992" w:gutter="0"/>
          <w:pgNumType w:fmt="numberInDash"/>
          <w:cols w:space="425" w:num="1"/>
          <w:docGrid w:type="lines" w:linePitch="312" w:charSpace="0"/>
        </w:sectPr>
      </w:pPr>
      <w:r>
        <w:rPr>
          <w:rFonts w:hint="eastAsia" w:ascii="方正仿宋_GBK" w:hAnsi="方正仿宋_GBK" w:eastAsia="方正仿宋_GBK" w:cs="方正仿宋_GBK"/>
          <w:kern w:val="0"/>
          <w:sz w:val="32"/>
          <w:szCs w:val="32"/>
        </w:rPr>
        <w:t>（此件公开发布）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center"/>
        <w:textAlignment w:val="auto"/>
        <w:outlineLvl w:val="9"/>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lang w:val="en-US" w:eastAsia="zh-CN"/>
        </w:rPr>
        <w:t>黔江区提升全民科学素质行动实施方案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rightChars="0"/>
        <w:jc w:val="center"/>
        <w:textAlignment w:val="auto"/>
        <w:outlineLvl w:val="9"/>
        <w:rPr>
          <w:rFonts w:hint="default" w:ascii="Times New Roman" w:hAnsi="Times New Roman" w:eastAsia="方正小标宋_GBK" w:cs="Times New Roman"/>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为不断提升全区公民科学素质水平，进一步明确“十四五”期间我区全民科学素质工作重点任务和保障措施，根据《中华人民共和国科学技术普及法》《国务院关于印发全民科学素质行动规划纲要（2021—2035年）的通知》（国发〔2021〕9号）《重庆市人民政府办公厅关于印发重庆市全民科学素质行动规划纲要实施方案（2021―2025年）的通知》（渝府办发〔2021〕138</w:t>
      </w:r>
      <w:r>
        <w:rPr>
          <w:rFonts w:hint="eastAsia" w:eastAsia="方正仿宋_GBK" w:cs="Times New Roman"/>
          <w:sz w:val="32"/>
          <w:szCs w:val="32"/>
          <w:lang w:val="en-US" w:eastAsia="zh-CN" w:bidi="ar-SA"/>
        </w:rPr>
        <w:t>），结合全区实际，</w:t>
      </w:r>
      <w:r>
        <w:rPr>
          <w:rFonts w:hint="default" w:ascii="Times New Roman" w:hAnsi="Times New Roman" w:eastAsia="方正仿宋_GBK" w:cs="Times New Roman"/>
          <w:sz w:val="32"/>
          <w:szCs w:val="32"/>
          <w:lang w:val="en-US" w:eastAsia="zh-CN" w:bidi="ar-SA"/>
        </w:rPr>
        <w:t>制定本实施方案。</w:t>
      </w:r>
    </w:p>
    <w:p>
      <w:pPr>
        <w:pStyle w:val="2"/>
        <w:keepNext w:val="0"/>
        <w:keepLines w:val="0"/>
        <w:pageBreakBefore w:val="0"/>
        <w:widowControl w:val="0"/>
        <w:numPr>
          <w:ilvl w:val="0"/>
          <w:numId w:val="0"/>
        </w:numPr>
        <w:kinsoku/>
        <w:wordWrap/>
        <w:overflowPunct/>
        <w:topLinePunct w:val="0"/>
        <w:autoSpaceDE/>
        <w:autoSpaceDN/>
        <w:bidi w:val="0"/>
        <w:adjustRightInd/>
        <w:spacing w:after="0" w:line="594" w:lineRule="exact"/>
        <w:ind w:firstLine="640" w:firstLineChars="200"/>
        <w:textAlignment w:val="auto"/>
        <w:rPr>
          <w:rFonts w:hint="default" w:ascii="Times New Roman" w:hAnsi="Times New Roman" w:eastAsia="方正黑体_GBK" w:cs="Times New Roman"/>
          <w:b w:val="0"/>
          <w:bCs w:val="0"/>
          <w:color w:val="auto"/>
          <w:sz w:val="32"/>
          <w:szCs w:val="32"/>
          <w:lang w:val="en-US" w:eastAsia="zh-CN" w:bidi="ar-SA"/>
        </w:rPr>
      </w:pPr>
      <w:r>
        <w:rPr>
          <w:rFonts w:hint="default" w:ascii="Times New Roman" w:hAnsi="Times New Roman" w:eastAsia="方正黑体_GBK" w:cs="Times New Roman"/>
          <w:b w:val="0"/>
          <w:bCs w:val="0"/>
          <w:color w:val="auto"/>
          <w:sz w:val="32"/>
          <w:szCs w:val="32"/>
          <w:lang w:val="en-US" w:eastAsia="zh-CN" w:bidi="ar-SA"/>
        </w:rPr>
        <w:t>一、指导思想和工作目标</w:t>
      </w:r>
    </w:p>
    <w:p>
      <w:pPr>
        <w:keepNext w:val="0"/>
        <w:keepLines w:val="0"/>
        <w:pageBreakBefore w:val="0"/>
        <w:kinsoku/>
        <w:wordWrap/>
        <w:overflowPunct/>
        <w:topLinePunct w:val="0"/>
        <w:bidi w:val="0"/>
        <w:adjustRightInd w:val="0"/>
        <w:spacing w:line="594" w:lineRule="exact"/>
        <w:ind w:firstLine="643" w:firstLineChars="20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指导思想：</w:t>
      </w:r>
      <w:r>
        <w:rPr>
          <w:rFonts w:hint="default" w:ascii="Times New Roman" w:hAnsi="Times New Roman" w:eastAsia="方正仿宋_GBK" w:cs="Times New Roman"/>
          <w:sz w:val="32"/>
          <w:szCs w:val="32"/>
          <w:lang w:val="en-US" w:eastAsia="zh-CN" w:bidi="ar-SA"/>
        </w:rPr>
        <w:t>以习近平新时代中国特色社会主义思想为指导，深入贯彻落实党的十九大和十九届历次全会精神，坚持党的全面领导，坚持以人民为中心，坚持新发展理念，统筹推进“五位一体”总体布局，协调推进“四个全面”战略布局，全面贯彻习近平总书记关于科普和科学素质建设的重要论述，深入落实市委、市政府和区委、区政府关于科技创新的各项决策部署，以提高全民科学素质服务高质量发展、高品质生活为目标，以践行社会主义核心价值观、弘扬科学精神为主线，以深化科普供给侧</w:t>
      </w:r>
      <w:ins w:id="0" w:author="浪子king" w:date="2022-05-13T17:07:46Z">
        <w:bookmarkStart w:id="0" w:name="_GoBack"/>
        <w:bookmarkEnd w:id="0"/>
        <w:r>
          <w:rPr>
            <w:rFonts w:hint="eastAsia" w:eastAsia="方正仿宋_GBK" w:cs="Times New Roman"/>
            <w:sz w:val="32"/>
            <w:szCs w:val="32"/>
            <w:lang w:val="en-US" w:eastAsia="zh-CN" w:bidi="ar-SA"/>
          </w:rPr>
          <w:t>结构性</w:t>
        </w:r>
      </w:ins>
      <w:r>
        <w:rPr>
          <w:rFonts w:hint="default" w:ascii="Times New Roman" w:hAnsi="Times New Roman" w:eastAsia="方正仿宋_GBK" w:cs="Times New Roman"/>
          <w:sz w:val="32"/>
          <w:szCs w:val="32"/>
          <w:lang w:val="en-US" w:eastAsia="zh-CN" w:bidi="ar-SA"/>
        </w:rPr>
        <w:t>改革为重点，着力打造社会化协同、分众化覆盖、系统化集成、智慧化传播、规范化建设、科学化评价的全域科普新格局，构建良好科学素质建设生态，营造热爱科学、崇尚创新的社会氛围，提升社会文明程度，为加快建成渝东南科技创新中心作出积极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94" w:lineRule="exact"/>
        <w:ind w:left="0" w:leftChars="0" w:right="0" w:rightChars="0" w:firstLine="643"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工作目标：</w:t>
      </w:r>
      <w:r>
        <w:rPr>
          <w:rFonts w:hint="default" w:ascii="Times New Roman" w:hAnsi="Times New Roman" w:eastAsia="方正仿宋_GBK" w:cs="Times New Roman"/>
          <w:kern w:val="2"/>
          <w:sz w:val="32"/>
          <w:szCs w:val="32"/>
          <w:lang w:val="en-US" w:eastAsia="zh-CN" w:bidi="ar-SA"/>
        </w:rPr>
        <w:t>到2025年，全区公民具备科学素质的比例超过12%，各乡镇街道、各人群科学素质发展不均衡明显改善。科普成效显著，科学素质公共服务能力显著提升，区科技馆竣工并正常运行，对外交流合作取得新进展，全域科普工作新格局初步形成，“科学普及与科技创新同等重要”的制度安排基本形成，科学精神在全社会广泛弘扬，创新文化氛围日益浓厚，社会文明程度明显提升。</w:t>
      </w:r>
    </w:p>
    <w:p>
      <w:pPr>
        <w:pStyle w:val="2"/>
        <w:keepNext w:val="0"/>
        <w:keepLines w:val="0"/>
        <w:pageBreakBefore w:val="0"/>
        <w:widowControl w:val="0"/>
        <w:numPr>
          <w:ilvl w:val="0"/>
          <w:numId w:val="0"/>
        </w:numPr>
        <w:kinsoku/>
        <w:wordWrap/>
        <w:overflowPunct/>
        <w:topLinePunct w:val="0"/>
        <w:autoSpaceDE/>
        <w:autoSpaceDN/>
        <w:bidi w:val="0"/>
        <w:adjustRightInd/>
        <w:spacing w:after="0" w:line="594" w:lineRule="exact"/>
        <w:ind w:firstLine="640" w:firstLineChars="200"/>
        <w:textAlignment w:val="auto"/>
        <w:rPr>
          <w:rFonts w:hint="default" w:ascii="Times New Roman" w:hAnsi="Times New Roman" w:eastAsia="方正黑体_GBK" w:cs="Times New Roman"/>
          <w:b w:val="0"/>
          <w:bCs w:val="0"/>
          <w:color w:val="auto"/>
          <w:sz w:val="32"/>
          <w:szCs w:val="32"/>
          <w:lang w:val="en-US" w:eastAsia="zh-CN" w:bidi="ar-SA"/>
        </w:rPr>
      </w:pPr>
      <w:r>
        <w:rPr>
          <w:rFonts w:hint="default" w:ascii="Times New Roman" w:hAnsi="Times New Roman" w:eastAsia="方正黑体_GBK" w:cs="Times New Roman"/>
          <w:b w:val="0"/>
          <w:bCs w:val="0"/>
          <w:color w:val="auto"/>
          <w:sz w:val="32"/>
          <w:szCs w:val="32"/>
          <w:lang w:val="en-US" w:eastAsia="zh-CN" w:bidi="ar-SA"/>
        </w:rPr>
        <w:t>二、重点任务</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根据指导思想和工作目标，“十四五”时期重点开展</w:t>
      </w:r>
      <w:r>
        <w:rPr>
          <w:rFonts w:hint="eastAsia" w:eastAsia="方正仿宋_GBK" w:cs="Times New Roman"/>
          <w:sz w:val="32"/>
          <w:szCs w:val="32"/>
          <w:lang w:val="en-US" w:eastAsia="zh-CN" w:bidi="ar-SA"/>
        </w:rPr>
        <w:t>“五大提升行动”和“五大重点工程”</w:t>
      </w:r>
      <w:r>
        <w:rPr>
          <w:rFonts w:hint="default" w:ascii="Times New Roman" w:hAnsi="Times New Roman" w:eastAsia="方正仿宋_GBK" w:cs="Times New Roman"/>
          <w:sz w:val="32"/>
          <w:szCs w:val="32"/>
          <w:lang w:val="en-US" w:eastAsia="zh-CN" w:bidi="ar-SA"/>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3" w:firstLineChars="200"/>
        <w:jc w:val="both"/>
        <w:textAlignment w:val="auto"/>
        <w:outlineLvl w:val="9"/>
        <w:rPr>
          <w:rFonts w:hint="default" w:ascii="Times New Roman" w:hAnsi="Times New Roman" w:eastAsia="方正楷体_GBK" w:cs="Times New Roman"/>
          <w:b/>
          <w:bCs/>
          <w:color w:val="auto"/>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五大提升行动</w:t>
      </w:r>
      <w:r>
        <w:rPr>
          <w:rFonts w:hint="eastAsia" w:ascii="Times New Roman" w:hAnsi="Times New Roman" w:eastAsia="方正楷体_GBK" w:cs="Times New Roman"/>
          <w:b/>
          <w:bCs/>
          <w:color w:val="auto"/>
          <w:kern w:val="2"/>
          <w:sz w:val="32"/>
          <w:szCs w:val="32"/>
          <w:lang w:val="en-US" w:eastAsia="zh-CN" w:bidi="ar-SA"/>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3"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（一）实施青少年科学素质提升行动。</w:t>
      </w:r>
      <w:r>
        <w:rPr>
          <w:rFonts w:hint="default" w:ascii="Times New Roman" w:hAnsi="Times New Roman" w:eastAsia="方正仿宋_GBK" w:cs="Times New Roman"/>
          <w:kern w:val="2"/>
          <w:sz w:val="32"/>
          <w:szCs w:val="32"/>
          <w:lang w:val="en-US" w:eastAsia="zh-CN" w:bidi="ar-SA"/>
        </w:rPr>
        <w:t>举办科技创新大赛、机器人竞赛、科学素养大赛等各类青少年科技创新实践等活动，让更多的青少年心怀科学梦想、树立创新志向。加强各类青少年科普教育阵地建设，提倡科技馆、博物馆、科普教育基地、高校、科研院所、科技型企业等向青少年开放，开展科技类亲子体验等活动。实施教师科学素质提升工程，加强中小学科学教师和科技辅导员队伍建设，将科学精神纳入教师培养过程。</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3"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（二）实施农民科学素质提升行动。</w:t>
      </w:r>
      <w:r>
        <w:rPr>
          <w:rFonts w:hint="default" w:ascii="Times New Roman" w:hAnsi="Times New Roman" w:eastAsia="方正仿宋_GBK" w:cs="Times New Roman"/>
          <w:kern w:val="2"/>
          <w:sz w:val="32"/>
          <w:szCs w:val="32"/>
          <w:lang w:val="en-US" w:eastAsia="zh-CN" w:bidi="ar-SA"/>
        </w:rPr>
        <w:t>推进农村科普基地、现代农业科技示范基地、科技小院等建设，提升农村科普公共服务供给质量。重点围绕保护生态环境、节约能源资源、绿色生产、防灾减灾、卫生健康、移风易俗等，深入开展文化科技卫生“三下乡”等群众性、基础性、经常性的科普宣传教育活动，引导社会科普资源向农村倾斜。实施高素质农民培育计划。开展农村实用人才培训，举办面向农民的技能大赛、农民科学素质网络竞赛、乡土人才创新创业大赛等。实施农村妇女素质提升计划，大力开展巾帼致富带头人培训。深入实施基层科普行动计划，积极打造特色基地品牌，加强农村科普基地典型培育和推荐工作。</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643"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（三）实施产业工人科学素质提升行动。</w:t>
      </w:r>
      <w:r>
        <w:rPr>
          <w:rFonts w:hint="default" w:ascii="Times New Roman" w:hAnsi="Times New Roman" w:eastAsia="方正仿宋_GBK" w:cs="Times New Roman"/>
          <w:kern w:val="2"/>
          <w:sz w:val="32"/>
          <w:szCs w:val="32"/>
          <w:lang w:val="en-US" w:eastAsia="zh-CN" w:bidi="ar-SA"/>
        </w:rPr>
        <w:t>深入开展“中国梦·劳动美”“最美职工”“最美青工”“最美应急人”“巾帼建功”等活动，大力弘扬劳模精神、劳动精神、工匠精神。组织开展“五小”（小发明、小创造、小革新、小设计、小建议）等群众性技术创新活动，推动大众创业、万众创新。着力开展企业管理创新、技能提升培训。开展安全生产宣传，举办安全生产月、安全生产科技周活动，普及安全生产知识；加强安全生产教育培训，提高职工预防危害和安全避险能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94" w:lineRule="exact"/>
        <w:ind w:right="0" w:rightChars="0" w:firstLine="643"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（四）实施老年人科学素质提升行动。</w:t>
      </w:r>
      <w:r>
        <w:rPr>
          <w:rFonts w:hint="default" w:ascii="Times New Roman" w:hAnsi="Times New Roman" w:eastAsia="方正仿宋_GBK" w:cs="Times New Roman"/>
          <w:kern w:val="2"/>
          <w:sz w:val="32"/>
          <w:szCs w:val="32"/>
          <w:lang w:val="en-US" w:eastAsia="zh-CN" w:bidi="ar-SA"/>
        </w:rPr>
        <w:t>依托老年大学（学校、学习点）、老年科技大学、社区科普大学、养老服务机构等，开展老年人智能技术运用培训活动，切实保障老年人权益，帮助老年人融入智慧社会，享受智慧生活。广泛开展老年人健康科普服务活动，着力提高老年人健康素养。积极发挥老科技工作者作用，发展老科协等组织，不断发展壮大老年人才科技志愿服务组织队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810" w:firstLineChars="252"/>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（五）实施领导干部和公务员科学素质提升行动。</w:t>
      </w:r>
      <w:r>
        <w:rPr>
          <w:rFonts w:hint="default" w:ascii="Times New Roman" w:hAnsi="Times New Roman" w:eastAsia="方正仿宋_GBK" w:cs="Times New Roman"/>
          <w:kern w:val="2"/>
          <w:sz w:val="32"/>
          <w:szCs w:val="32"/>
          <w:lang w:val="en-US" w:eastAsia="zh-CN" w:bidi="ar-SA"/>
        </w:rPr>
        <w:t>把科学素质教育纳入党校（行政学院）教学内容，依托党校打造党政领导干部科技讲堂。加强移动学习端资源共享融合，进一步加大“学习强国”重庆学习平台、重庆干部网络学院、红岩魂智慧党建等平台开设科学素质课程，打造领导干部和公务员提升科学素质的“身边课堂”。优化设置领导干部培训教育内容，举办公民科学素质大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810" w:firstLineChars="252"/>
        <w:jc w:val="both"/>
        <w:textAlignment w:val="auto"/>
        <w:outlineLvl w:val="9"/>
        <w:rPr>
          <w:rFonts w:hint="eastAsia" w:ascii="方正楷体_GBK" w:hAnsi="方正楷体_GBK" w:eastAsia="方正楷体_GBK" w:cs="方正楷体_GBK"/>
          <w:b/>
          <w:bCs/>
          <w:color w:val="auto"/>
          <w:kern w:val="2"/>
          <w:sz w:val="32"/>
          <w:szCs w:val="32"/>
          <w:lang w:val="en-US" w:eastAsia="zh-CN" w:bidi="ar-SA"/>
        </w:rPr>
      </w:pPr>
      <w:r>
        <w:rPr>
          <w:rFonts w:hint="eastAsia" w:ascii="方正楷体_GBK" w:hAnsi="方正楷体_GBK" w:eastAsia="方正楷体_GBK" w:cs="方正楷体_GBK"/>
          <w:b/>
          <w:bCs/>
          <w:sz w:val="32"/>
          <w:szCs w:val="32"/>
          <w:lang w:val="en-US" w:eastAsia="zh-CN" w:bidi="ar-SA"/>
        </w:rPr>
        <w:t>五大重点工程：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rightChars="0" w:firstLine="810" w:firstLineChars="252"/>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w:t>
      </w:r>
      <w:r>
        <w:rPr>
          <w:rFonts w:hint="eastAsia" w:ascii="Times New Roman" w:hAnsi="Times New Roman" w:eastAsia="方正楷体_GBK" w:cs="Times New Roman"/>
          <w:b/>
          <w:bCs/>
          <w:color w:val="auto"/>
          <w:kern w:val="2"/>
          <w:sz w:val="32"/>
          <w:szCs w:val="32"/>
          <w:lang w:val="en-US" w:eastAsia="zh-CN" w:bidi="ar-SA"/>
        </w:rPr>
        <w:t>一</w:t>
      </w:r>
      <w:r>
        <w:rPr>
          <w:rFonts w:hint="default" w:ascii="Times New Roman" w:hAnsi="Times New Roman" w:eastAsia="方正楷体_GBK" w:cs="Times New Roman"/>
          <w:b/>
          <w:bCs/>
          <w:color w:val="auto"/>
          <w:kern w:val="2"/>
          <w:sz w:val="32"/>
          <w:szCs w:val="32"/>
          <w:lang w:val="en-US" w:eastAsia="zh-CN" w:bidi="ar-SA"/>
        </w:rPr>
        <w:t>）实施科技资源科普化工程。</w:t>
      </w:r>
      <w:r>
        <w:rPr>
          <w:rFonts w:hint="default" w:ascii="Times New Roman" w:hAnsi="Times New Roman" w:eastAsia="方正仿宋_GBK" w:cs="Times New Roman"/>
          <w:kern w:val="2"/>
          <w:sz w:val="32"/>
          <w:szCs w:val="32"/>
          <w:lang w:val="en-US" w:eastAsia="zh-CN" w:bidi="ar-SA"/>
        </w:rPr>
        <w:t>支持和指导高校、科研机构、企业等利用科技资源开展科普工作，开发科普资源，加强与传媒、专业科普组织合作，及时普及重大科技成果。拓展科技基础设施科普功能，推动各级重点实验室等已建创新基地面向社会开展科普活动。举办全国科技工作者日等活动，深入开展创新争先行动，举办创新争先奖、青少年科技创新区长奖等评选表彰活动，树立科技工作者的光辉形象。提升科技工作者科普能力，鼓励科技工作者通过宣传教育、能力培训、榜样示范等增强科普能力，针对社会热点、焦点问题，主动、及时、准确发声，营造科学理性的社会氛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94" w:lineRule="exact"/>
        <w:ind w:right="0" w:rightChars="0" w:firstLine="643"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w:t>
      </w:r>
      <w:r>
        <w:rPr>
          <w:rFonts w:hint="eastAsia" w:ascii="Times New Roman" w:hAnsi="Times New Roman" w:eastAsia="方正楷体_GBK" w:cs="Times New Roman"/>
          <w:b/>
          <w:bCs/>
          <w:color w:val="auto"/>
          <w:kern w:val="2"/>
          <w:sz w:val="32"/>
          <w:szCs w:val="32"/>
          <w:lang w:val="en-US" w:eastAsia="zh-CN" w:bidi="ar-SA"/>
        </w:rPr>
        <w:t>二</w:t>
      </w:r>
      <w:r>
        <w:rPr>
          <w:rFonts w:hint="default" w:ascii="Times New Roman" w:hAnsi="Times New Roman" w:eastAsia="方正楷体_GBK" w:cs="Times New Roman"/>
          <w:b/>
          <w:bCs/>
          <w:color w:val="auto"/>
          <w:kern w:val="2"/>
          <w:sz w:val="32"/>
          <w:szCs w:val="32"/>
          <w:lang w:val="en-US" w:eastAsia="zh-CN" w:bidi="ar-SA"/>
        </w:rPr>
        <w:t>）实施科普信息化提升工程。</w:t>
      </w:r>
      <w:r>
        <w:rPr>
          <w:rFonts w:hint="default" w:ascii="Times New Roman" w:hAnsi="Times New Roman" w:eastAsia="方正仿宋_GBK" w:cs="Times New Roman"/>
          <w:kern w:val="2"/>
          <w:sz w:val="32"/>
          <w:szCs w:val="32"/>
          <w:lang w:val="en-US" w:eastAsia="zh-CN" w:bidi="ar-SA"/>
        </w:rPr>
        <w:t>推动传统媒体与新媒体深度融合，鼓励公共交通、户外电子屏、楼宇电视等各类媒介增加科学传播公益广告内容；引导主流媒体加大科技宣传力度，增加科普内容、增设科普专栏。实施“互联网＋科学文化”行动，引导社会力量参与科普传播平台建设。加强科学领域与新闻媒体互动，推动实现优质科学文化资源的跨平台、多渠道良性互动与循环流动。推动“科普中国”黔江区落地并应用。推进科普与大数据、云计算、人工智能、区块链等技术深度融合，推动科普事业与科普产业协同发展。</w:t>
      </w:r>
    </w:p>
    <w:p>
      <w:pPr>
        <w:keepNext w:val="0"/>
        <w:keepLines w:val="0"/>
        <w:pageBreakBefore w:val="0"/>
        <w:widowControl w:val="0"/>
        <w:numPr>
          <w:ilvl w:val="0"/>
          <w:numId w:val="0"/>
        </w:numPr>
        <w:kinsoku/>
        <w:wordWrap/>
        <w:overflowPunct/>
        <w:topLinePunct w:val="0"/>
        <w:autoSpaceDE/>
        <w:autoSpaceDN/>
        <w:bidi w:val="0"/>
        <w:adjustRightInd w:val="0"/>
        <w:snapToGrid/>
        <w:spacing w:line="594" w:lineRule="exact"/>
        <w:ind w:right="0" w:rightChars="0" w:firstLine="643" w:firstLineChars="200"/>
        <w:jc w:val="both"/>
        <w:textAlignment w:val="auto"/>
        <w:outlineLvl w:val="9"/>
        <w:rPr>
          <w:rFonts w:hint="default" w:ascii="Times New Roman" w:hAnsi="Times New Roman" w:eastAsia="方正仿宋_GBK" w:cs="Times New Roman"/>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w:t>
      </w:r>
      <w:r>
        <w:rPr>
          <w:rFonts w:hint="eastAsia" w:eastAsia="方正楷体_GBK" w:cs="Times New Roman"/>
          <w:b/>
          <w:bCs/>
          <w:color w:val="auto"/>
          <w:kern w:val="2"/>
          <w:sz w:val="32"/>
          <w:szCs w:val="32"/>
          <w:lang w:val="en-US" w:eastAsia="zh-CN" w:bidi="ar-SA"/>
        </w:rPr>
        <w:t>三</w:t>
      </w:r>
      <w:r>
        <w:rPr>
          <w:rFonts w:hint="default" w:ascii="Times New Roman" w:hAnsi="Times New Roman" w:eastAsia="方正楷体_GBK" w:cs="Times New Roman"/>
          <w:b/>
          <w:bCs/>
          <w:color w:val="auto"/>
          <w:kern w:val="2"/>
          <w:sz w:val="32"/>
          <w:szCs w:val="32"/>
          <w:lang w:val="en-US" w:eastAsia="zh-CN" w:bidi="ar-SA"/>
        </w:rPr>
        <w:t>）实施科普基础设施工程。</w:t>
      </w:r>
      <w:r>
        <w:rPr>
          <w:rFonts w:hint="default" w:ascii="Times New Roman" w:hAnsi="Times New Roman" w:eastAsia="方正仿宋_GBK" w:cs="Times New Roman"/>
          <w:sz w:val="32"/>
          <w:szCs w:val="32"/>
          <w:lang w:val="en-US" w:eastAsia="zh-CN" w:bidi="ar-SA"/>
        </w:rPr>
        <w:t>加快推进黔江区科技馆建设，提升科技馆服务功能。完善以实体科技馆为依托和基础，科普大篷车、农村中学科技馆为拓展和延伸。推动科技馆与博物馆、文化馆等融合共享。鼓励和支持各行业各部门建立科普教育（继续教育）、研学等基地，提高科普服务能力。推动图书馆、文化馆、博物馆等公共设施开展科普活动，拓展科普服务功能。引导和促进公园、自然保护区、风景名胜区、机场、车站、电影院等公共场所强化科普服务功能。建好社区科普活动室、科普书屋、科普画廊、科普橱窗等传统科普阵地。在城乡社区综合服务设施、社区图书馆等平台拓展科普服务功能。</w:t>
      </w:r>
    </w:p>
    <w:p>
      <w:pPr>
        <w:keepNext w:val="0"/>
        <w:keepLines w:val="0"/>
        <w:pageBreakBefore w:val="0"/>
        <w:widowControl w:val="0"/>
        <w:kinsoku/>
        <w:wordWrap/>
        <w:overflowPunct/>
        <w:topLinePunct w:val="0"/>
        <w:autoSpaceDE/>
        <w:autoSpaceDN/>
        <w:bidi w:val="0"/>
        <w:adjustRightInd w:val="0"/>
        <w:snapToGrid/>
        <w:spacing w:line="594" w:lineRule="exact"/>
        <w:ind w:right="0" w:rightChars="0" w:firstLine="643" w:firstLineChars="200"/>
        <w:jc w:val="both"/>
        <w:textAlignment w:val="auto"/>
        <w:outlineLvl w:val="9"/>
        <w:rPr>
          <w:rFonts w:hint="default" w:ascii="Times New Roman" w:hAnsi="Times New Roman" w:eastAsia="方正仿宋_GBK" w:cs="Times New Roman"/>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w:t>
      </w:r>
      <w:r>
        <w:rPr>
          <w:rFonts w:hint="eastAsia" w:eastAsia="方正楷体_GBK" w:cs="Times New Roman"/>
          <w:b/>
          <w:bCs/>
          <w:color w:val="auto"/>
          <w:kern w:val="2"/>
          <w:sz w:val="32"/>
          <w:szCs w:val="32"/>
          <w:lang w:val="en-US" w:eastAsia="zh-CN" w:bidi="ar-SA"/>
        </w:rPr>
        <w:t>四</w:t>
      </w:r>
      <w:r>
        <w:rPr>
          <w:rFonts w:hint="default" w:ascii="Times New Roman" w:hAnsi="Times New Roman" w:eastAsia="方正楷体_GBK" w:cs="Times New Roman"/>
          <w:b/>
          <w:bCs/>
          <w:color w:val="auto"/>
          <w:kern w:val="2"/>
          <w:sz w:val="32"/>
          <w:szCs w:val="32"/>
          <w:lang w:val="en-US" w:eastAsia="zh-CN" w:bidi="ar-SA"/>
        </w:rPr>
        <w:t>）实施基层科普能力提升工程。</w:t>
      </w:r>
      <w:r>
        <w:rPr>
          <w:rFonts w:hint="default" w:ascii="Times New Roman" w:hAnsi="Times New Roman" w:eastAsia="方正仿宋_GBK" w:cs="Times New Roman"/>
          <w:sz w:val="32"/>
          <w:szCs w:val="32"/>
          <w:lang w:val="en-US" w:eastAsia="zh-CN" w:bidi="ar-SA"/>
        </w:rPr>
        <w:t xml:space="preserve">深入实施基层科普行动计划，开展科普示范乡街镇道（社区）、农村科普示范基地等创建活动。深入开展全国科普日、科技活动周等综合性科普品牌活动，坚持开展防灾减灾日、食品安全宣传周、安全生产月等主题科普活动。搭建应急科普宣教平台，全面推进应急科普知识进企业、进农村、进社区、进学校、进家庭。建立应急科普专家队伍，提升应急管理人员和媒体人员的应急科普能力。健全基层科普服务体系，建立以新时代文明实践中心（所、站）、党群服务中心、社区服务中心（站）等为阵地，以基层科协“三长”（医院院长、学校校长、农技站站长）队伍为骨干力量，以志愿服务为重要手段的科普服务体系，深入实施科技志愿服务“智惠行动”。   </w:t>
      </w:r>
    </w:p>
    <w:p>
      <w:pPr>
        <w:keepNext w:val="0"/>
        <w:keepLines w:val="0"/>
        <w:pageBreakBefore w:val="0"/>
        <w:widowControl w:val="0"/>
        <w:kinsoku/>
        <w:wordWrap/>
        <w:overflowPunct/>
        <w:topLinePunct w:val="0"/>
        <w:autoSpaceDE/>
        <w:autoSpaceDN/>
        <w:bidi w:val="0"/>
        <w:adjustRightInd w:val="0"/>
        <w:snapToGrid/>
        <w:spacing w:line="594" w:lineRule="exact"/>
        <w:ind w:right="0" w:rightChars="0" w:firstLine="643" w:firstLineChars="200"/>
        <w:jc w:val="both"/>
        <w:textAlignment w:val="auto"/>
        <w:outlineLvl w:val="9"/>
        <w:rPr>
          <w:rFonts w:hint="default" w:ascii="Times New Roman" w:hAnsi="Times New Roman" w:eastAsia="方正仿宋_GBK" w:cs="Times New Roman"/>
          <w:i w:val="0"/>
          <w:caps w:val="0"/>
          <w:color w:val="333333"/>
          <w:spacing w:val="0"/>
          <w:sz w:val="32"/>
          <w:szCs w:val="32"/>
          <w:shd w:val="clear" w:color="auto" w:fill="FFFFFF"/>
        </w:rPr>
      </w:pPr>
      <w:r>
        <w:rPr>
          <w:rFonts w:hint="default" w:ascii="Times New Roman" w:hAnsi="Times New Roman" w:eastAsia="方正楷体_GBK" w:cs="Times New Roman"/>
          <w:b/>
          <w:bCs/>
          <w:color w:val="auto"/>
          <w:kern w:val="2"/>
          <w:sz w:val="32"/>
          <w:szCs w:val="32"/>
          <w:lang w:val="en-US" w:eastAsia="zh-CN" w:bidi="ar-SA"/>
        </w:rPr>
        <w:t>（</w:t>
      </w:r>
      <w:r>
        <w:rPr>
          <w:rFonts w:hint="eastAsia" w:eastAsia="方正楷体_GBK" w:cs="Times New Roman"/>
          <w:b/>
          <w:bCs/>
          <w:color w:val="auto"/>
          <w:kern w:val="2"/>
          <w:sz w:val="32"/>
          <w:szCs w:val="32"/>
          <w:lang w:val="en-US" w:eastAsia="zh-CN" w:bidi="ar-SA"/>
        </w:rPr>
        <w:t>五</w:t>
      </w:r>
      <w:r>
        <w:rPr>
          <w:rFonts w:hint="default" w:ascii="Times New Roman" w:hAnsi="Times New Roman" w:eastAsia="方正楷体_GBK" w:cs="Times New Roman"/>
          <w:b/>
          <w:bCs/>
          <w:color w:val="auto"/>
          <w:kern w:val="2"/>
          <w:sz w:val="32"/>
          <w:szCs w:val="32"/>
          <w:lang w:val="en-US" w:eastAsia="zh-CN" w:bidi="ar-SA"/>
        </w:rPr>
        <w:t>）实施科学素质开放合作工程。</w:t>
      </w:r>
      <w:r>
        <w:rPr>
          <w:rFonts w:hint="default" w:ascii="Times New Roman" w:hAnsi="Times New Roman" w:eastAsia="方正仿宋_GBK" w:cs="Times New Roman"/>
          <w:sz w:val="32"/>
          <w:szCs w:val="32"/>
          <w:lang w:val="en-US" w:eastAsia="zh-CN" w:bidi="ar-SA"/>
        </w:rPr>
        <w:t>拓展科学素质建设交流渠道，搭建开放合作平台，丰富交流合作内容，增进文明互鉴，推动价值认同，提升开放交流水平。积极承办市级重大科普活动和国内国际科技人文交流活动，加强青少年、妇女和教育、媒体、文化等领域科技人文交流。推动区内高校、科研院所、社会组织、企业等主体积极开展科学传播国际交流，支持黔江科技馆、黔江民族博物馆等科普场馆参与“一带一路”沿线国家和地区的科学传播交流活动。结合推动成渝地区双城经济圈建设，加快打造优势互补、合作共赢的区域科普共同体。</w:t>
      </w:r>
    </w:p>
    <w:p>
      <w:pPr>
        <w:pStyle w:val="2"/>
        <w:keepNext w:val="0"/>
        <w:keepLines w:val="0"/>
        <w:pageBreakBefore w:val="0"/>
        <w:widowControl w:val="0"/>
        <w:numPr>
          <w:ilvl w:val="0"/>
          <w:numId w:val="0"/>
        </w:numPr>
        <w:kinsoku/>
        <w:wordWrap/>
        <w:overflowPunct/>
        <w:topLinePunct w:val="0"/>
        <w:autoSpaceDE/>
        <w:autoSpaceDN/>
        <w:bidi w:val="0"/>
        <w:adjustRightInd/>
        <w:spacing w:after="0" w:line="594" w:lineRule="exact"/>
        <w:ind w:firstLine="640" w:firstLineChars="200"/>
        <w:textAlignment w:val="auto"/>
        <w:rPr>
          <w:rFonts w:hint="default" w:ascii="Times New Roman" w:hAnsi="Times New Roman" w:eastAsia="方正黑体_GBK" w:cs="Times New Roman"/>
          <w:b w:val="0"/>
          <w:bCs w:val="0"/>
          <w:color w:val="auto"/>
          <w:sz w:val="32"/>
          <w:szCs w:val="32"/>
          <w:lang w:val="en-US" w:eastAsia="zh-CN" w:bidi="ar-SA"/>
        </w:rPr>
      </w:pPr>
      <w:r>
        <w:rPr>
          <w:rFonts w:hint="default" w:ascii="Times New Roman" w:hAnsi="Times New Roman" w:eastAsia="方正黑体_GBK" w:cs="Times New Roman"/>
          <w:b w:val="0"/>
          <w:bCs w:val="0"/>
          <w:color w:val="auto"/>
          <w:sz w:val="32"/>
          <w:szCs w:val="32"/>
          <w:lang w:val="en-US" w:eastAsia="zh-CN" w:bidi="ar-SA"/>
        </w:rPr>
        <w:t>三、组织实施与保障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94" w:lineRule="exact"/>
        <w:ind w:right="0" w:rightChars="0" w:firstLine="643"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（一）强化组织领导。</w:t>
      </w:r>
      <w:r>
        <w:rPr>
          <w:rFonts w:hint="default" w:ascii="Times New Roman" w:hAnsi="Times New Roman" w:eastAsia="方正仿宋_GBK" w:cs="Times New Roman"/>
          <w:kern w:val="2"/>
          <w:sz w:val="32"/>
          <w:szCs w:val="32"/>
          <w:lang w:val="en-US" w:eastAsia="zh-CN" w:bidi="ar-SA"/>
        </w:rPr>
        <w:t>建立完善全民科学素质行动实施协调机制，将公民科学素质发展目标纳入国民经济和社会发展规划，列入年度工作计划，加强对科学素质建设的督促检查。区级有关部门、有关单位将科学素质建设有关任务纳入相关规划和计划，充分履行工作职责。区科协发挥综合协调作用，完善工作机制，会同有关方面共同推进全区科学素质建设。各乡镇街道负责统筹当地全民科学素质行动组织实施工作，把科学素质建设作为地方经济社会发展的重要任务，纳入本乡镇街道总体规划，列入年度工作计划，纳入目标管理考核。区科协牵头实施全民科学素质行动，会同相关部门推进全区科学素质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94" w:lineRule="exact"/>
        <w:ind w:right="0" w:rightChars="0" w:firstLine="643" w:firstLineChars="200"/>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（二）落实经费保障。</w:t>
      </w:r>
      <w:r>
        <w:rPr>
          <w:rFonts w:hint="default" w:ascii="Times New Roman" w:hAnsi="Times New Roman" w:eastAsia="方正仿宋_GBK" w:cs="Times New Roman"/>
          <w:kern w:val="2"/>
          <w:sz w:val="32"/>
          <w:szCs w:val="32"/>
          <w:lang w:val="en-US" w:eastAsia="zh-CN" w:bidi="ar-SA"/>
        </w:rPr>
        <w:t>建立健全多元化的科普投入机制，充分保障科普工作经费。各有关部门要统筹考虑和落实科普经费，各级政府要按照有关规定安排经费支持科普事业发展，各乡镇街道应当把科普经费列入本级财政预算，并逐步增加投入。提倡个人、企业、社会组织等社会力量，采取设立科普基金、资助科普项目等方式，支持科学文化素质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94" w:lineRule="exact"/>
        <w:ind w:right="0" w:rightChars="0" w:firstLine="643"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楷体_GBK" w:cs="Times New Roman"/>
          <w:b/>
          <w:bCs/>
          <w:color w:val="auto"/>
          <w:kern w:val="2"/>
          <w:sz w:val="32"/>
          <w:szCs w:val="32"/>
          <w:lang w:val="en-US" w:eastAsia="zh-CN" w:bidi="ar-SA"/>
        </w:rPr>
        <w:t>（三）开展评估监测</w:t>
      </w:r>
      <w:r>
        <w:rPr>
          <w:rFonts w:hint="eastAsia" w:ascii="Times New Roman" w:hAnsi="Times New Roman" w:eastAsia="方正楷体_GBK" w:cs="Times New Roman"/>
          <w:b/>
          <w:bCs/>
          <w:color w:val="auto"/>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探索开展科学文化素质建设测评实践，依法开展公民科学素质调查、社会科普责任评估，及时发现问题与不足，研究制定改进举措。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94" w:lineRule="exact"/>
        <w:ind w:right="0" w:rightChars="0"/>
        <w:jc w:val="both"/>
        <w:textAlignment w:val="auto"/>
        <w:outlineLvl w:val="9"/>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附件：黔江区提升全民科学素质行动重点任务分工</w:t>
      </w:r>
    </w:p>
    <w:p>
      <w:pPr>
        <w:keepNext w:val="0"/>
        <w:keepLines w:val="0"/>
        <w:pageBreakBefore w:val="0"/>
        <w:kinsoku/>
        <w:wordWrap/>
        <w:overflowPunct/>
        <w:topLinePunct w:val="0"/>
        <w:bidi w:val="0"/>
        <w:adjustRightInd w:val="0"/>
        <w:spacing w:line="594" w:lineRule="exact"/>
        <w:ind w:firstLine="640" w:firstLineChars="200"/>
        <w:textAlignment w:val="auto"/>
        <w:rPr>
          <w:rFonts w:hint="default" w:ascii="Times New Roman" w:hAnsi="Times New Roman" w:eastAsia="方正仿宋_GBK" w:cs="Times New Roman"/>
          <w:b w:val="0"/>
          <w:bCs w:val="0"/>
          <w:color w:val="000000"/>
          <w:kern w:val="2"/>
          <w:sz w:val="32"/>
          <w:szCs w:val="32"/>
          <w:lang w:val="en-US" w:eastAsia="zh-CN"/>
        </w:rPr>
      </w:pPr>
    </w:p>
    <w:p>
      <w:pPr>
        <w:keepNext w:val="0"/>
        <w:keepLines w:val="0"/>
        <w:pageBreakBefore w:val="0"/>
        <w:kinsoku/>
        <w:wordWrap/>
        <w:overflowPunct/>
        <w:topLinePunct w:val="0"/>
        <w:bidi w:val="0"/>
        <w:adjustRightInd w:val="0"/>
        <w:spacing w:line="594" w:lineRule="exact"/>
        <w:ind w:firstLine="640" w:firstLineChars="200"/>
        <w:textAlignment w:val="auto"/>
        <w:rPr>
          <w:rFonts w:hint="default" w:ascii="Times New Roman" w:hAnsi="Times New Roman" w:eastAsia="方正仿宋_GBK" w:cs="Times New Roman"/>
          <w:b w:val="0"/>
          <w:bCs w:val="0"/>
          <w:color w:val="000000"/>
          <w:kern w:val="2"/>
          <w:sz w:val="32"/>
          <w:szCs w:val="32"/>
          <w:lang w:val="en-US" w:eastAsia="zh-CN"/>
        </w:rPr>
        <w:sectPr>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kinsoku/>
        <w:wordWrap/>
        <w:overflowPunct/>
        <w:topLinePunct w:val="0"/>
        <w:bidi w:val="0"/>
        <w:spacing w:line="594"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w:t>
      </w:r>
    </w:p>
    <w:p>
      <w:pPr>
        <w:pStyle w:val="10"/>
        <w:rPr>
          <w:rFonts w:hint="default" w:ascii="Times New Roman" w:hAnsi="Times New Roman" w:cs="Times New Roman"/>
        </w:rPr>
      </w:pPr>
    </w:p>
    <w:p>
      <w:pPr>
        <w:keepNext w:val="0"/>
        <w:keepLines w:val="0"/>
        <w:pageBreakBefore w:val="0"/>
        <w:kinsoku/>
        <w:wordWrap/>
        <w:overflowPunct/>
        <w:topLinePunct w:val="0"/>
        <w:bidi w:val="0"/>
        <w:adjustRightInd w:val="0"/>
        <w:spacing w:line="594" w:lineRule="exact"/>
        <w:ind w:firstLine="720" w:firstLineChars="200"/>
        <w:textAlignment w:val="auto"/>
        <w:rPr>
          <w:rFonts w:hint="default" w:ascii="Times New Roman" w:hAnsi="Times New Roman" w:eastAsia="方正仿宋_GBK" w:cs="Times New Roman"/>
          <w:b w:val="0"/>
          <w:bCs w:val="0"/>
          <w:color w:val="000000"/>
          <w:kern w:val="2"/>
          <w:sz w:val="32"/>
          <w:szCs w:val="32"/>
          <w:lang w:val="en-US" w:eastAsia="zh-CN"/>
        </w:rPr>
      </w:pPr>
      <w:r>
        <w:rPr>
          <w:rFonts w:hint="default" w:ascii="Times New Roman" w:hAnsi="Times New Roman" w:eastAsia="方正小标宋_GBK" w:cs="Times New Roman"/>
          <w:sz w:val="36"/>
          <w:szCs w:val="36"/>
          <w:lang w:eastAsia="zh-CN"/>
        </w:rPr>
        <w:t>黔江区</w:t>
      </w:r>
      <w:r>
        <w:rPr>
          <w:rFonts w:hint="default" w:ascii="Times New Roman" w:hAnsi="Times New Roman" w:eastAsia="方正小标宋_GBK" w:cs="Times New Roman"/>
          <w:sz w:val="36"/>
          <w:szCs w:val="36"/>
          <w:lang w:val="en-US" w:eastAsia="zh-CN"/>
        </w:rPr>
        <w:t>提升</w:t>
      </w:r>
      <w:r>
        <w:rPr>
          <w:rFonts w:hint="default" w:ascii="Times New Roman" w:hAnsi="Times New Roman" w:eastAsia="方正小标宋_GBK" w:cs="Times New Roman"/>
          <w:sz w:val="36"/>
          <w:szCs w:val="36"/>
        </w:rPr>
        <w:t>全民科学素质</w:t>
      </w:r>
      <w:r>
        <w:rPr>
          <w:rFonts w:hint="default" w:ascii="Times New Roman" w:hAnsi="Times New Roman" w:eastAsia="方正小标宋_GBK" w:cs="Times New Roman"/>
          <w:sz w:val="36"/>
          <w:szCs w:val="36"/>
          <w:lang w:val="en-US" w:eastAsia="zh-CN"/>
        </w:rPr>
        <w:t>行动重点任务分工</w:t>
      </w:r>
    </w:p>
    <w:tbl>
      <w:tblPr>
        <w:tblStyle w:val="8"/>
        <w:tblW w:w="8958"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57" w:type="dxa"/>
          <w:left w:w="108" w:type="dxa"/>
          <w:bottom w:w="57" w:type="dxa"/>
          <w:right w:w="108" w:type="dxa"/>
        </w:tblCellMar>
      </w:tblPr>
      <w:tblGrid>
        <w:gridCol w:w="734"/>
        <w:gridCol w:w="1344"/>
        <w:gridCol w:w="1408"/>
        <w:gridCol w:w="5472"/>
      </w:tblGrid>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454" w:hRule="atLeast"/>
          <w:tblHeader/>
          <w:jc w:val="center"/>
        </w:trPr>
        <w:tc>
          <w:tcPr>
            <w:tcW w:w="734" w:type="dxa"/>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类别</w:t>
            </w:r>
          </w:p>
        </w:tc>
        <w:tc>
          <w:tcPr>
            <w:tcW w:w="1344" w:type="dxa"/>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任务内容</w:t>
            </w:r>
          </w:p>
        </w:tc>
        <w:tc>
          <w:tcPr>
            <w:tcW w:w="1408" w:type="dxa"/>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牵头部门</w:t>
            </w:r>
          </w:p>
        </w:tc>
        <w:tc>
          <w:tcPr>
            <w:tcW w:w="5472" w:type="dxa"/>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黑体_GBK" w:cs="Times New Roman"/>
                <w:color w:val="000000"/>
                <w:sz w:val="28"/>
                <w:szCs w:val="28"/>
              </w:rPr>
            </w:pPr>
            <w:r>
              <w:rPr>
                <w:rFonts w:hint="default" w:ascii="Times New Roman" w:hAnsi="Times New Roman" w:eastAsia="方正黑体_GBK" w:cs="Times New Roman"/>
                <w:color w:val="000000"/>
                <w:sz w:val="28"/>
                <w:szCs w:val="28"/>
              </w:rPr>
              <w:t>责 任 部 门</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3296" w:hRule="atLeast"/>
          <w:jc w:val="center"/>
        </w:trPr>
        <w:tc>
          <w:tcPr>
            <w:tcW w:w="734" w:type="dxa"/>
            <w:vMerge w:val="restart"/>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bCs/>
                <w:color w:val="000000"/>
                <w:sz w:val="28"/>
                <w:szCs w:val="28"/>
              </w:rPr>
              <w:t>提升行动</w:t>
            </w:r>
          </w:p>
        </w:tc>
        <w:tc>
          <w:tcPr>
            <w:tcW w:w="1344"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rPr>
              <w:t>1．实施青少年科学素质提升行动</w:t>
            </w:r>
          </w:p>
        </w:tc>
        <w:tc>
          <w:tcPr>
            <w:tcW w:w="1408"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教委、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科协</w:t>
            </w:r>
          </w:p>
        </w:tc>
        <w:tc>
          <w:tcPr>
            <w:tcW w:w="547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委宣传部、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委网信办、</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科技局、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经济信息委、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民族宗教委、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民政局、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人力社保局、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规划自然资源局、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生态环境局、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城市管理局、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文化旅游委、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卫生健康委、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应急局、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市场监管局、团</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妇联、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社科联、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气象局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3296" w:hRule="atLeast"/>
          <w:jc w:val="center"/>
        </w:trPr>
        <w:tc>
          <w:tcPr>
            <w:tcW w:w="734" w:type="dxa"/>
            <w:vMerge w:val="continue"/>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仿宋_GBK" w:cs="Times New Roman"/>
                <w:b w:val="0"/>
                <w:bCs w:val="0"/>
                <w:color w:val="000000"/>
                <w:sz w:val="24"/>
                <w:szCs w:val="24"/>
              </w:rPr>
            </w:pPr>
          </w:p>
        </w:tc>
        <w:tc>
          <w:tcPr>
            <w:tcW w:w="1344"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rPr>
              <w:t>2．实施农民科学素质提升行动</w:t>
            </w:r>
          </w:p>
        </w:tc>
        <w:tc>
          <w:tcPr>
            <w:tcW w:w="1408"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农业农村委、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科协</w:t>
            </w:r>
          </w:p>
        </w:tc>
        <w:tc>
          <w:tcPr>
            <w:tcW w:w="547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委宣传部、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委网信办、</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教委、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科技局、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民族宗教委、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民政局、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人力社保局、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规划自然资源局、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生态环境局、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文化旅游委、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卫生健康委、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应急局、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市场监管局、</w:t>
            </w:r>
            <w:r>
              <w:rPr>
                <w:rFonts w:hint="default" w:ascii="Times New Roman" w:hAnsi="Times New Roman" w:eastAsia="方正仿宋_GBK" w:cs="Times New Roman"/>
                <w:b w:val="0"/>
                <w:bCs w:val="0"/>
                <w:color w:val="000000"/>
                <w:sz w:val="24"/>
                <w:szCs w:val="24"/>
                <w:lang w:eastAsia="zh-CN"/>
              </w:rPr>
              <w:t>区乡村振兴局、区</w:t>
            </w:r>
            <w:r>
              <w:rPr>
                <w:rFonts w:hint="default" w:ascii="Times New Roman" w:hAnsi="Times New Roman" w:eastAsia="方正仿宋_GBK" w:cs="Times New Roman"/>
                <w:b w:val="0"/>
                <w:bCs w:val="0"/>
                <w:color w:val="000000"/>
                <w:sz w:val="24"/>
                <w:szCs w:val="24"/>
              </w:rPr>
              <w:t>总工会、团</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妇联、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气象局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3021" w:hRule="atLeast"/>
          <w:jc w:val="center"/>
        </w:trPr>
        <w:tc>
          <w:tcPr>
            <w:tcW w:w="734" w:type="dxa"/>
            <w:vMerge w:val="continue"/>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仿宋_GBK" w:cs="Times New Roman"/>
                <w:b w:val="0"/>
                <w:bCs w:val="0"/>
                <w:color w:val="000000"/>
                <w:sz w:val="24"/>
                <w:szCs w:val="24"/>
              </w:rPr>
            </w:pPr>
          </w:p>
        </w:tc>
        <w:tc>
          <w:tcPr>
            <w:tcW w:w="1344"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rPr>
              <w:t>3．实施产业工人科学素质提升行动</w:t>
            </w:r>
          </w:p>
        </w:tc>
        <w:tc>
          <w:tcPr>
            <w:tcW w:w="1408"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总工会、</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人力社保局、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经济信息委、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应急局</w:t>
            </w:r>
          </w:p>
        </w:tc>
        <w:tc>
          <w:tcPr>
            <w:tcW w:w="547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委宣传部、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教委、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科技局、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规划自然资源局、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生态环境局、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农业农村委、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商务委、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文化旅游委、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卫生健康委、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市场监管局、团</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妇联、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科协、</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气象局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909" w:hRule="atLeast"/>
          <w:jc w:val="center"/>
        </w:trPr>
        <w:tc>
          <w:tcPr>
            <w:tcW w:w="734" w:type="dxa"/>
            <w:vMerge w:val="continue"/>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仿宋_GBK" w:cs="Times New Roman"/>
                <w:b w:val="0"/>
                <w:bCs w:val="0"/>
                <w:color w:val="000000"/>
                <w:sz w:val="24"/>
                <w:szCs w:val="24"/>
              </w:rPr>
            </w:pPr>
          </w:p>
        </w:tc>
        <w:tc>
          <w:tcPr>
            <w:tcW w:w="1344"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rPr>
              <w:t>4．实施老年人科学素质提升行动</w:t>
            </w:r>
          </w:p>
        </w:tc>
        <w:tc>
          <w:tcPr>
            <w:tcW w:w="1408"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科协、</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卫生健康委、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委网信办</w:t>
            </w:r>
          </w:p>
        </w:tc>
        <w:tc>
          <w:tcPr>
            <w:tcW w:w="547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委宣传部、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委直属机关工委、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委老</w:t>
            </w:r>
            <w:ins w:id="1" w:author="浪子king" w:date="2022-05-13T17:07:31Z">
              <w:r>
                <w:rPr>
                  <w:rFonts w:hint="eastAsia" w:eastAsia="方正仿宋_GBK" w:cs="Times New Roman"/>
                  <w:b w:val="0"/>
                  <w:bCs w:val="0"/>
                  <w:color w:val="000000"/>
                  <w:sz w:val="24"/>
                  <w:szCs w:val="24"/>
                  <w:lang w:val="en-US" w:eastAsia="zh-CN"/>
                </w:rPr>
                <w:t>干部</w:t>
              </w:r>
            </w:ins>
            <w:del w:id="2" w:author="浪子king" w:date="2022-05-13T17:07:29Z">
              <w:r>
                <w:rPr>
                  <w:rFonts w:hint="default" w:ascii="Times New Roman" w:hAnsi="Times New Roman" w:eastAsia="方正仿宋_GBK" w:cs="Times New Roman"/>
                  <w:b w:val="0"/>
                  <w:bCs w:val="0"/>
                  <w:color w:val="000000"/>
                  <w:sz w:val="24"/>
                  <w:szCs w:val="24"/>
                </w:rPr>
                <w:delText>干</w:delText>
              </w:r>
            </w:del>
            <w:r>
              <w:rPr>
                <w:rFonts w:hint="default" w:ascii="Times New Roman" w:hAnsi="Times New Roman" w:eastAsia="方正仿宋_GBK" w:cs="Times New Roman"/>
                <w:b w:val="0"/>
                <w:bCs w:val="0"/>
                <w:color w:val="000000"/>
                <w:sz w:val="24"/>
                <w:szCs w:val="24"/>
              </w:rPr>
              <w:t>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教委、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科技局、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经济信息委、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民族宗教委、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民政局、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人力社保局、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规划自然资源局、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生态环境局、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文化旅游委、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应急局、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市场监管局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总工会、</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妇联、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气象局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2825" w:hRule="atLeast"/>
          <w:jc w:val="center"/>
        </w:trPr>
        <w:tc>
          <w:tcPr>
            <w:tcW w:w="734" w:type="dxa"/>
            <w:vMerge w:val="continue"/>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仿宋_GBK" w:cs="Times New Roman"/>
                <w:b w:val="0"/>
                <w:bCs w:val="0"/>
                <w:color w:val="000000"/>
                <w:sz w:val="24"/>
                <w:szCs w:val="24"/>
              </w:rPr>
            </w:pPr>
          </w:p>
        </w:tc>
        <w:tc>
          <w:tcPr>
            <w:tcW w:w="1344"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rPr>
              <w:t>5．实施领导干部和公务员科学素质提升行动</w:t>
            </w:r>
          </w:p>
        </w:tc>
        <w:tc>
          <w:tcPr>
            <w:tcW w:w="1408"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委组织部、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人力社保局、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科协</w:t>
            </w:r>
          </w:p>
        </w:tc>
        <w:tc>
          <w:tcPr>
            <w:tcW w:w="547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pacing w:val="-4"/>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4"/>
                <w:sz w:val="24"/>
                <w:szCs w:val="24"/>
              </w:rPr>
              <w:t>委宣传部、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4"/>
                <w:sz w:val="24"/>
                <w:szCs w:val="24"/>
              </w:rPr>
              <w:t>委直属机关工委、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4"/>
                <w:sz w:val="24"/>
                <w:szCs w:val="24"/>
              </w:rPr>
              <w:t>科技局、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4"/>
                <w:sz w:val="24"/>
                <w:szCs w:val="24"/>
              </w:rPr>
              <w:t>规划自然资源局、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4"/>
                <w:sz w:val="24"/>
                <w:szCs w:val="24"/>
              </w:rPr>
              <w:t>生态环境局、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4"/>
                <w:sz w:val="24"/>
                <w:szCs w:val="24"/>
              </w:rPr>
              <w:t>文化旅游委、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4"/>
                <w:sz w:val="24"/>
                <w:szCs w:val="24"/>
              </w:rPr>
              <w:t>卫生健康委、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4"/>
                <w:sz w:val="24"/>
                <w:szCs w:val="24"/>
              </w:rPr>
              <w:t>应急局、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4"/>
                <w:sz w:val="24"/>
                <w:szCs w:val="24"/>
              </w:rPr>
              <w:t>市场监管局、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4"/>
                <w:sz w:val="24"/>
                <w:szCs w:val="24"/>
              </w:rPr>
              <w:t>总工会、</w:t>
            </w:r>
            <w:r>
              <w:rPr>
                <w:rFonts w:hint="default" w:ascii="Times New Roman" w:hAnsi="Times New Roman" w:eastAsia="方正仿宋_GBK" w:cs="Times New Roman"/>
                <w:b w:val="0"/>
                <w:bCs w:val="0"/>
                <w:color w:val="000000"/>
                <w:spacing w:val="-8"/>
                <w:sz w:val="24"/>
                <w:szCs w:val="24"/>
              </w:rPr>
              <w:t>团</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8"/>
                <w:sz w:val="24"/>
                <w:szCs w:val="24"/>
              </w:rPr>
              <w:t>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8"/>
                <w:sz w:val="24"/>
                <w:szCs w:val="24"/>
              </w:rPr>
              <w:t>妇联、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8"/>
                <w:sz w:val="24"/>
                <w:szCs w:val="24"/>
              </w:rPr>
              <w:t>社科联、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8"/>
                <w:sz w:val="24"/>
                <w:szCs w:val="24"/>
              </w:rPr>
              <w:t>委党校（重庆行政学院）</w:t>
            </w:r>
            <w:r>
              <w:rPr>
                <w:rFonts w:hint="default" w:ascii="Times New Roman" w:hAnsi="Times New Roman" w:eastAsia="方正仿宋_GBK" w:cs="Times New Roman"/>
                <w:b w:val="0"/>
                <w:bCs w:val="0"/>
                <w:color w:val="000000"/>
                <w:spacing w:val="-4"/>
                <w:sz w:val="24"/>
                <w:szCs w:val="24"/>
              </w:rPr>
              <w:t>、</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4"/>
                <w:sz w:val="24"/>
                <w:szCs w:val="24"/>
              </w:rPr>
              <w:t>气象局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3275" w:hRule="atLeast"/>
          <w:jc w:val="center"/>
        </w:trPr>
        <w:tc>
          <w:tcPr>
            <w:tcW w:w="734" w:type="dxa"/>
            <w:vMerge w:val="restart"/>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bCs/>
                <w:color w:val="000000"/>
                <w:sz w:val="28"/>
                <w:szCs w:val="28"/>
              </w:rPr>
              <w:t>重点工程</w:t>
            </w:r>
          </w:p>
        </w:tc>
        <w:tc>
          <w:tcPr>
            <w:tcW w:w="1344"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rPr>
              <w:t>1．实施科技资源科普化工程</w:t>
            </w:r>
          </w:p>
        </w:tc>
        <w:tc>
          <w:tcPr>
            <w:tcW w:w="1408"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科技局、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科协</w:t>
            </w:r>
          </w:p>
        </w:tc>
        <w:tc>
          <w:tcPr>
            <w:tcW w:w="547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委组织部、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委宣传部、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发展改革委、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教委、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经济信息委、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民政局、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财政局、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人力社保局、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规划自然资源局、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生态环境局、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住房城乡建委、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城市管理局、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农业农村委、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文化旅游委、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卫生健康委、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应急局、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市场监管局、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总工会、团</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妇联、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社科联、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气象局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34" w:type="dxa"/>
            <w:vMerge w:val="continue"/>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仿宋_GBK" w:cs="Times New Roman"/>
                <w:b w:val="0"/>
                <w:bCs w:val="0"/>
                <w:color w:val="000000"/>
                <w:sz w:val="24"/>
                <w:szCs w:val="24"/>
              </w:rPr>
            </w:pPr>
          </w:p>
        </w:tc>
        <w:tc>
          <w:tcPr>
            <w:tcW w:w="1344"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rPr>
              <w:t>2．实施科普信息化提升工程</w:t>
            </w:r>
          </w:p>
        </w:tc>
        <w:tc>
          <w:tcPr>
            <w:tcW w:w="1408"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pacing w:val="-8"/>
                <w:sz w:val="24"/>
                <w:szCs w:val="24"/>
              </w:rPr>
              <w:t>委宣传部、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科协、</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经济信息委</w:t>
            </w:r>
          </w:p>
        </w:tc>
        <w:tc>
          <w:tcPr>
            <w:tcW w:w="547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委网信办、</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发展改革委、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科技局、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财政局、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规划自然资源局、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生态环境局、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文化旅游委、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卫生健康委、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应急局、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市场监管局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社科联、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文联</w:t>
            </w:r>
            <w:r>
              <w:rPr>
                <w:rFonts w:hint="eastAsia" w:eastAsia="方正仿宋_GBK" w:cs="Times New Roman"/>
                <w:b w:val="0"/>
                <w:bCs w:val="0"/>
                <w:color w:val="000000"/>
                <w:sz w:val="24"/>
                <w:szCs w:val="24"/>
                <w:lang w:eastAsia="zh-CN"/>
              </w:rPr>
              <w:t>（</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作协</w:t>
            </w:r>
            <w:r>
              <w:rPr>
                <w:rFonts w:hint="eastAsia" w:eastAsia="方正仿宋_GBK" w:cs="Times New Roman"/>
                <w:b w:val="0"/>
                <w:bCs w:val="0"/>
                <w:color w:val="000000"/>
                <w:sz w:val="24"/>
                <w:szCs w:val="24"/>
                <w:lang w:eastAsia="zh-CN"/>
              </w:rPr>
              <w:t>）</w:t>
            </w:r>
            <w:r>
              <w:rPr>
                <w:rFonts w:hint="default" w:ascii="Times New Roman" w:hAnsi="Times New Roman" w:eastAsia="方正仿宋_GBK" w:cs="Times New Roman"/>
                <w:b w:val="0"/>
                <w:bCs w:val="0"/>
                <w:color w:val="000000"/>
                <w:sz w:val="24"/>
                <w:szCs w:val="24"/>
              </w:rPr>
              <w:t>、</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气象局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34" w:type="dxa"/>
            <w:vMerge w:val="continue"/>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仿宋_GBK" w:cs="Times New Roman"/>
                <w:b w:val="0"/>
                <w:bCs w:val="0"/>
                <w:color w:val="000000"/>
                <w:sz w:val="24"/>
                <w:szCs w:val="24"/>
              </w:rPr>
            </w:pPr>
          </w:p>
        </w:tc>
        <w:tc>
          <w:tcPr>
            <w:tcW w:w="1344"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rPr>
              <w:t>3．实施科普基础设施工程</w:t>
            </w:r>
          </w:p>
        </w:tc>
        <w:tc>
          <w:tcPr>
            <w:tcW w:w="1408"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科技局、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科协</w:t>
            </w:r>
          </w:p>
        </w:tc>
        <w:tc>
          <w:tcPr>
            <w:tcW w:w="547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委宣传部、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发展改革委、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教委、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经济信息委、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民政局、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财政局、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规划自然资源局、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生态环境局、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住房城乡建委、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城市管理局、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交通局、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水利局、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农业农村委、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文化旅游委、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卫生健康委、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市场监管局、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应急局、团</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妇联、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社科联、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气象局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34" w:type="dxa"/>
            <w:vMerge w:val="continue"/>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仿宋_GBK" w:cs="Times New Roman"/>
                <w:b w:val="0"/>
                <w:bCs w:val="0"/>
                <w:color w:val="000000"/>
                <w:sz w:val="24"/>
                <w:szCs w:val="24"/>
              </w:rPr>
            </w:pPr>
          </w:p>
        </w:tc>
        <w:tc>
          <w:tcPr>
            <w:tcW w:w="1344"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rPr>
              <w:t>4．实施基层科普能力提升工程</w:t>
            </w:r>
          </w:p>
        </w:tc>
        <w:tc>
          <w:tcPr>
            <w:tcW w:w="1408"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科协、</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应急局、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科技局、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卫生健康委</w:t>
            </w:r>
          </w:p>
        </w:tc>
        <w:tc>
          <w:tcPr>
            <w:tcW w:w="547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委宣传部、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委网信办、</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教委、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民政局、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财政局、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人力社保局、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规划自然资源局、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生态环境局、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文化旅游委、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市场监管局、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总工会、团</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妇联、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社科联、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文联</w:t>
            </w:r>
            <w:r>
              <w:rPr>
                <w:rFonts w:hint="eastAsia" w:ascii="Times New Roman" w:hAnsi="Times New Roman" w:eastAsia="方正仿宋_GBK" w:cs="Times New Roman"/>
                <w:b w:val="0"/>
                <w:bCs w:val="0"/>
                <w:color w:val="000000"/>
                <w:sz w:val="24"/>
                <w:szCs w:val="24"/>
                <w:lang w:eastAsia="zh-CN"/>
              </w:rPr>
              <w:t>（</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作协</w:t>
            </w:r>
            <w:r>
              <w:rPr>
                <w:rFonts w:hint="eastAsia" w:ascii="Times New Roman" w:hAnsi="Times New Roman" w:eastAsia="方正仿宋_GBK" w:cs="Times New Roman"/>
                <w:b w:val="0"/>
                <w:bCs w:val="0"/>
                <w:color w:val="000000"/>
                <w:sz w:val="24"/>
                <w:szCs w:val="24"/>
                <w:lang w:eastAsia="zh-CN"/>
              </w:rPr>
              <w:t>）</w:t>
            </w:r>
            <w:r>
              <w:rPr>
                <w:rFonts w:hint="default" w:ascii="Times New Roman" w:hAnsi="Times New Roman" w:eastAsia="方正仿宋_GBK" w:cs="Times New Roman"/>
                <w:b w:val="0"/>
                <w:bCs w:val="0"/>
                <w:color w:val="000000"/>
                <w:sz w:val="24"/>
                <w:szCs w:val="24"/>
              </w:rPr>
              <w:t>、</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气象局</w:t>
            </w:r>
          </w:p>
        </w:tc>
      </w:tr>
      <w:tr>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734" w:type="dxa"/>
            <w:vMerge w:val="continue"/>
            <w:tcMar>
              <w:left w:w="57" w:type="dxa"/>
              <w:right w:w="57" w:type="dxa"/>
            </w:tcMar>
            <w:vAlign w:val="center"/>
          </w:tcPr>
          <w:p>
            <w:pPr>
              <w:keepNext w:val="0"/>
              <w:keepLines w:val="0"/>
              <w:pageBreakBefore w:val="0"/>
              <w:kinsoku/>
              <w:wordWrap/>
              <w:overflowPunct/>
              <w:topLinePunct w:val="0"/>
              <w:bidi w:val="0"/>
              <w:adjustRightInd w:val="0"/>
              <w:snapToGrid w:val="0"/>
              <w:spacing w:line="594" w:lineRule="exact"/>
              <w:jc w:val="center"/>
              <w:textAlignment w:val="auto"/>
              <w:rPr>
                <w:rFonts w:hint="default" w:ascii="Times New Roman" w:hAnsi="Times New Roman" w:eastAsia="方正仿宋_GBK" w:cs="Times New Roman"/>
                <w:b w:val="0"/>
                <w:bCs w:val="0"/>
                <w:color w:val="000000"/>
                <w:sz w:val="24"/>
                <w:szCs w:val="24"/>
              </w:rPr>
            </w:pPr>
          </w:p>
        </w:tc>
        <w:tc>
          <w:tcPr>
            <w:tcW w:w="1344"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rPr>
              <w:t>5．实施科学素质开放合作工程</w:t>
            </w:r>
          </w:p>
        </w:tc>
        <w:tc>
          <w:tcPr>
            <w:tcW w:w="1408"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科协、</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科技局</w:t>
            </w:r>
          </w:p>
        </w:tc>
        <w:tc>
          <w:tcPr>
            <w:tcW w:w="5472" w:type="dxa"/>
            <w:tcMar>
              <w:left w:w="57" w:type="dxa"/>
              <w:right w:w="57" w:type="dxa"/>
            </w:tcMar>
            <w:vAlign w:val="center"/>
          </w:tcPr>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9"/>
              <w:rPr>
                <w:rFonts w:hint="default" w:ascii="Times New Roman" w:hAnsi="Times New Roman" w:eastAsia="方正仿宋_GBK" w:cs="Times New Roman"/>
                <w:b w:val="0"/>
                <w:bCs w:val="0"/>
                <w:color w:val="000000"/>
                <w:sz w:val="24"/>
                <w:szCs w:val="24"/>
              </w:rPr>
            </w:pPr>
            <w:r>
              <w:rPr>
                <w:rFonts w:hint="eastAsia" w:eastAsia="方正仿宋_GBK" w:cs="Times New Roman"/>
                <w:b w:val="0"/>
                <w:bCs w:val="0"/>
                <w:color w:val="000000"/>
                <w:sz w:val="24"/>
                <w:szCs w:val="24"/>
                <w:lang w:val="en-US" w:eastAsia="zh-CN"/>
              </w:rPr>
              <w:t>区政府办公室、</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委组织部、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委宣传部、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委统战部、</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教委、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经济信息委、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民政局、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人力社保局、</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文化旅游委、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总工会、团</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妇联、</w:t>
            </w:r>
            <w:r>
              <w:rPr>
                <w:rFonts w:hint="default" w:ascii="Times New Roman" w:hAnsi="Times New Roman" w:eastAsia="方正仿宋_GBK" w:cs="Times New Roman"/>
                <w:b w:val="0"/>
                <w:bCs w:val="0"/>
                <w:color w:val="000000"/>
                <w:sz w:val="24"/>
                <w:szCs w:val="24"/>
                <w:lang w:eastAsia="zh-CN"/>
              </w:rPr>
              <w:t>区</w:t>
            </w:r>
            <w:r>
              <w:rPr>
                <w:rFonts w:hint="default" w:ascii="Times New Roman" w:hAnsi="Times New Roman" w:eastAsia="方正仿宋_GBK" w:cs="Times New Roman"/>
                <w:b w:val="0"/>
                <w:bCs w:val="0"/>
                <w:color w:val="000000"/>
                <w:sz w:val="24"/>
                <w:szCs w:val="24"/>
              </w:rPr>
              <w:t>气象局</w:t>
            </w:r>
          </w:p>
        </w:tc>
      </w:tr>
    </w:tbl>
    <w:p>
      <w:pPr>
        <w:keepNext w:val="0"/>
        <w:keepLines w:val="0"/>
        <w:pageBreakBefore w:val="0"/>
        <w:widowControl/>
        <w:shd w:val="clear" w:color="auto" w:fill="FFFFFF"/>
        <w:kinsoku/>
        <w:wordWrap/>
        <w:overflowPunct/>
        <w:topLinePunct w:val="0"/>
        <w:bidi w:val="0"/>
        <w:spacing w:line="594" w:lineRule="exact"/>
        <w:jc w:val="left"/>
        <w:textAlignment w:val="auto"/>
        <w:rPr>
          <w:rFonts w:hint="default" w:ascii="Times New Roman" w:hAnsi="Times New Roman" w:cs="Times New Roman"/>
        </w:rPr>
      </w:pPr>
    </w:p>
    <w:p>
      <w:pPr>
        <w:pStyle w:val="2"/>
        <w:rPr>
          <w:rFonts w:hint="default" w:ascii="Times New Roman" w:hAnsi="Times New Roman" w:cs="Times New Roman"/>
        </w:rPr>
        <w:sectPr>
          <w:pgSz w:w="11906" w:h="16838"/>
          <w:pgMar w:top="2098" w:right="1474" w:bottom="1984" w:left="1587" w:header="851" w:footer="992" w:gutter="0"/>
          <w:pgNumType w:fmt="numberInDash"/>
          <w:cols w:space="425" w:num="1"/>
          <w:docGrid w:type="lines" w:linePitch="312" w:charSpace="0"/>
        </w:sectPr>
      </w:pPr>
    </w:p>
    <w:p>
      <w:pPr>
        <w:rPr>
          <w:rFonts w:hint="default"/>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kern w:val="0"/>
          <w:sz w:val="32"/>
          <w:szCs w:val="32"/>
          <w:shd w:val="clear" w:color="auto" w:fill="FFFFFF"/>
          <w:lang w:bidi="ar"/>
        </w:rPr>
      </w:pPr>
    </w:p>
    <w:p>
      <w:pPr>
        <w:pStyle w:val="2"/>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default" w:ascii="Times New Roman" w:hAnsi="Times New Roman" w:eastAsia="方正仿宋_GBK" w:cs="Times New Roman"/>
          <w:color w:val="000000"/>
          <w:kern w:val="0"/>
          <w:sz w:val="32"/>
          <w:szCs w:val="32"/>
          <w:shd w:val="clear" w:color="auto" w:fill="FFFFFF"/>
          <w:lang w:bidi="ar"/>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kern w:val="0"/>
          <w:sz w:val="32"/>
          <w:szCs w:val="32"/>
          <w:shd w:val="clear" w:color="auto" w:fill="FFFFFF"/>
          <w:lang w:bidi="ar"/>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default" w:ascii="Times New Roman" w:hAnsi="Times New Roman" w:eastAsia="方正仿宋_GBK" w:cs="Times New Roman"/>
          <w:color w:val="000000"/>
          <w:kern w:val="0"/>
          <w:sz w:val="32"/>
          <w:szCs w:val="32"/>
          <w:shd w:val="clear" w:color="auto" w:fill="FFFFFF"/>
          <w:lang w:bidi="ar"/>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kern w:val="0"/>
          <w:sz w:val="32"/>
          <w:szCs w:val="32"/>
          <w:shd w:val="clear" w:color="auto" w:fill="FFFFFF"/>
          <w:lang w:bidi="ar"/>
        </w:rPr>
      </w:pPr>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方正仿宋_GBK" w:cs="Times New Roman"/>
          <w:color w:val="000000"/>
          <w:kern w:val="0"/>
          <w:sz w:val="32"/>
          <w:szCs w:val="32"/>
          <w:shd w:val="clear" w:color="auto" w:fill="FFFFFF"/>
          <w:lang w:bidi="ar"/>
        </w:rPr>
      </w:pPr>
    </w:p>
    <w:p>
      <w:pPr>
        <w:ind w:firstLine="280" w:firstLineChars="100"/>
        <w:rPr>
          <w:rFonts w:hint="default"/>
        </w:rPr>
      </w:pPr>
      <w:r>
        <w:rPr>
          <w:rFonts w:hint="eastAsia" w:ascii="方正仿宋_GBK" w:hAnsi="方正仿宋_GBK" w:eastAsia="方正仿宋_GBK" w:cs="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354965</wp:posOffset>
                </wp:positionV>
                <wp:extent cx="56521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5213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7.95pt;height:0pt;width:445.05pt;z-index:251660288;mso-width-relative:page;mso-height-relative:page;" filled="f" stroked="t" coordsize="21600,21600" o:gfxdata="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F2mCdUAAAAGAQAADwAAAAAAAAABACAAAAAiAAAAZHJzL2Rvd25yZXYueG1s&#10;UEsBAhQAFAAAAAgAh07iQEyhT377AQAA8wMAAA4AAAAAAAAAAQAgAAAAJAEAAGRycy9lMm9Eb2Mu&#10;eG1sUEsFBgAAAAAGAAYAWQEAAJEFAAAAAA==&#10;">
                <v:fill on="f" focussize="0,0"/>
                <v:stroke weight="1.25pt" color="#000000" joinstyle="round"/>
                <v:imagedata o:title=""/>
                <o:lock v:ext="edit" aspectratio="f"/>
              </v:line>
            </w:pict>
          </mc:Fallback>
        </mc:AlternateContent>
      </w:r>
      <w:r>
        <w:rPr>
          <w:rFonts w:hint="eastAsia" w:ascii="方正仿宋_GBK" w:hAnsi="方正仿宋_GBK" w:eastAsia="方正仿宋_GBK" w:cs="方正仿宋_GBK"/>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8255</wp:posOffset>
                </wp:positionV>
                <wp:extent cx="565213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52135"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65pt;height:0pt;width:445.05pt;z-index:251661312;mso-width-relative:page;mso-height-relative:page;" filled="f" stroked="t" coordsize="21600,21600" o:gfxdata="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YlA6tMAAAAEAQAADwAAAAAAAAABACAAAAAiAAAAZHJzL2Rvd25yZXYueG1sUEsB&#10;AhQAFAAAAAgAh07iQAGMhDj6AQAA8wMAAA4AAAAAAAAAAQAgAAAAIgEAAGRycy9lMm9Eb2MueG1s&#10;UEsFBgAAAAAGAAYAWQEAAI4FAAAAAA==&#10;">
                <v:fill on="f" focussize="0,0"/>
                <v:stroke weight="1.25pt" color="#000000" joinstyle="round"/>
                <v:imagedata o:title=""/>
                <o:lock v:ext="edit" aspectratio="f"/>
              </v:line>
            </w:pict>
          </mc:Fallback>
        </mc:AlternateContent>
      </w:r>
      <w:r>
        <w:rPr>
          <w:rFonts w:hint="eastAsia" w:ascii="方正仿宋_GBK" w:hAnsi="方正仿宋_GBK" w:eastAsia="方正仿宋_GBK" w:cs="方正仿宋_GBK"/>
          <w:sz w:val="28"/>
          <w:szCs w:val="28"/>
        </w:rPr>
        <w:t xml:space="preserve">重庆市黔江区人民政府办公室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cs="方正仿宋_GBK"/>
          <w:sz w:val="28"/>
          <w:szCs w:val="28"/>
          <w:lang w:val="en-US" w:eastAsia="zh-CN"/>
        </w:rPr>
        <w:t xml:space="preserve"> </w:t>
      </w:r>
      <w:r>
        <w:rPr>
          <w:rFonts w:hint="eastAsia" w:ascii="Times New Roman" w:hAnsi="Times New Roman" w:eastAsia="方正仿宋_GBK" w:cs="Times New Roman"/>
          <w:sz w:val="28"/>
          <w:szCs w:val="28"/>
        </w:rPr>
        <w:t>20</w:t>
      </w:r>
      <w:r>
        <w:rPr>
          <w:rFonts w:hint="eastAsia" w:ascii="Times New Roman" w:hAnsi="Times New Roman" w:eastAsia="方正仿宋_GBK" w:cs="Times New Roman"/>
          <w:sz w:val="28"/>
          <w:szCs w:val="28"/>
          <w:lang w:val="en-US" w:eastAsia="zh-CN"/>
        </w:rPr>
        <w:t>22</w:t>
      </w:r>
      <w:r>
        <w:rPr>
          <w:rFonts w:hint="eastAsia"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5</w:t>
      </w:r>
      <w:r>
        <w:rPr>
          <w:rFonts w:hint="eastAsia" w:ascii="Times New Roman" w:hAnsi="Times New Roman" w:eastAsia="方正仿宋_GBK" w:cs="Times New Roman"/>
          <w:sz w:val="28"/>
          <w:szCs w:val="28"/>
        </w:rPr>
        <w:t>月</w:t>
      </w:r>
      <w:r>
        <w:rPr>
          <w:rFonts w:hint="eastAsia" w:eastAsia="方正仿宋_GBK" w:cs="Times New Roman"/>
          <w:sz w:val="28"/>
          <w:szCs w:val="28"/>
          <w:lang w:val="en-US" w:eastAsia="zh-CN"/>
        </w:rPr>
        <w:t>11</w:t>
      </w:r>
      <w:r>
        <w:rPr>
          <w:rFonts w:hint="eastAsia" w:ascii="Times New Roman" w:hAnsi="Times New Roman" w:eastAsia="方正仿宋_GBK" w:cs="Times New Roman"/>
          <w:sz w:val="28"/>
          <w:szCs w:val="28"/>
        </w:rPr>
        <w:t>日印发</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浪子king">
    <w15:presenceInfo w15:providerId="WPS Office" w15:userId="2013269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OGQ1ZTkxYmM3Zjk4MGIyMTg2YzVkNjI3ODRkNDcifQ=="/>
  </w:docVars>
  <w:rsids>
    <w:rsidRoot w:val="604A50B1"/>
    <w:rsid w:val="096E77EE"/>
    <w:rsid w:val="14D818E7"/>
    <w:rsid w:val="16A31492"/>
    <w:rsid w:val="1A420DB2"/>
    <w:rsid w:val="29467E52"/>
    <w:rsid w:val="2AB72A69"/>
    <w:rsid w:val="2BB71794"/>
    <w:rsid w:val="2C163C9B"/>
    <w:rsid w:val="2EC95D56"/>
    <w:rsid w:val="2F760B61"/>
    <w:rsid w:val="33B0459C"/>
    <w:rsid w:val="385C6B9F"/>
    <w:rsid w:val="39B02878"/>
    <w:rsid w:val="39D83CB4"/>
    <w:rsid w:val="3AC00CFC"/>
    <w:rsid w:val="3C4D262E"/>
    <w:rsid w:val="40865231"/>
    <w:rsid w:val="40E344E2"/>
    <w:rsid w:val="41DF550E"/>
    <w:rsid w:val="48A626A4"/>
    <w:rsid w:val="4C4E69B7"/>
    <w:rsid w:val="58F97A3A"/>
    <w:rsid w:val="5CAC6E3A"/>
    <w:rsid w:val="5D8D2818"/>
    <w:rsid w:val="5ECB6857"/>
    <w:rsid w:val="604A50B1"/>
    <w:rsid w:val="610B54AA"/>
    <w:rsid w:val="6AC940B2"/>
    <w:rsid w:val="6C501864"/>
    <w:rsid w:val="70DE565C"/>
    <w:rsid w:val="7E497495"/>
    <w:rsid w:val="7E57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6"/>
    <w:pPr>
      <w:spacing w:after="120"/>
    </w:pPr>
    <w:rPr>
      <w:kern w:val="1"/>
    </w:rPr>
  </w:style>
  <w:style w:type="paragraph" w:styleId="3">
    <w:name w:val="toc 5"/>
    <w:basedOn w:val="1"/>
    <w:next w:val="1"/>
    <w:qFormat/>
    <w:uiPriority w:val="0"/>
    <w:pPr>
      <w:widowControl w:val="0"/>
      <w:ind w:left="1680" w:leftChars="800"/>
      <w:jc w:val="both"/>
    </w:pPr>
    <w:rPr>
      <w:rFonts w:eastAsia="方正仿宋_GBK"/>
      <w:kern w:val="2"/>
      <w:sz w:val="32"/>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宋体" w:hAnsi="宋体" w:eastAsia="微软雅黑"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2022-05-09T07:27:00Z</dcterms:created>
  <dc:creator>唔</dc:creator>
  <cp:lastModifiedBy>浪子king</cp:lastModifiedBy>
  <cp:lastPrinted>2022-05-10T06:43:00Z</cp:lastPrinted>
  <dcterms:modified xsi:type="dcterms:W3CDTF">2022-05-13T09:07:57Z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99CA999C747648E3AB4CCFD763BFB600</vt:lpwstr>
  </property>
</Properties>
</file>