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仿宋_GBK"/>
          <w:szCs w:val="32"/>
        </w:rPr>
      </w:pPr>
    </w:p>
    <w:p>
      <w:pPr>
        <w:spacing w:line="560" w:lineRule="exact"/>
        <w:jc w:val="center"/>
        <w:rPr>
          <w:rFonts w:hint="eastAsia" w:ascii="方正仿宋_GBK"/>
          <w:szCs w:val="32"/>
        </w:rPr>
      </w:pPr>
      <w:r>
        <w:rPr>
          <w:rFonts w:hint="eastAsia" w:ascii="方正仿宋_GBK"/>
          <w:szCs w:val="32"/>
        </w:rPr>
        <w:t>黔江府办发〔20</w:t>
      </w:r>
      <w:r>
        <w:rPr>
          <w:rFonts w:hint="default" w:ascii="方正仿宋_GBK"/>
          <w:szCs w:val="32"/>
          <w:lang w:val="en-US"/>
        </w:rPr>
        <w:t>22</w:t>
      </w:r>
      <w:r>
        <w:rPr>
          <w:rFonts w:hint="eastAsia" w:ascii="方正仿宋_GBK"/>
          <w:szCs w:val="32"/>
        </w:rPr>
        <w:t>〕</w:t>
      </w:r>
      <w:r>
        <w:rPr>
          <w:rFonts w:hint="default" w:ascii="方正仿宋_GBK"/>
          <w:szCs w:val="32"/>
          <w:lang w:val="en-US"/>
        </w:rPr>
        <w:t>41</w:t>
      </w:r>
      <w:r>
        <w:rPr>
          <w:rFonts w:hint="eastAsia" w:ascii="方正仿宋_GBK"/>
          <w:szCs w:val="32"/>
        </w:rPr>
        <w:t>号</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重庆市黔江区人民政府办公室</w:t>
      </w: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hint="eastAsia" w:ascii="方正小标宋_GBK" w:hAnsi="方正小标宋_GBK" w:eastAsia="方正小标宋_GBK" w:cs="方正小标宋_GBK"/>
          <w:spacing w:val="-6"/>
          <w:sz w:val="44"/>
          <w:szCs w:val="44"/>
          <w:lang w:eastAsia="zh-CN"/>
        </w:rPr>
      </w:pPr>
      <w:r>
        <w:rPr>
          <w:rFonts w:hint="eastAsia" w:ascii="方正小标宋_GBK" w:hAnsi="方正小标宋_GBK" w:eastAsia="方正小标宋_GBK" w:cs="方正小标宋_GBK"/>
          <w:spacing w:val="-6"/>
          <w:sz w:val="44"/>
          <w:szCs w:val="44"/>
          <w:lang w:eastAsia="zh-CN"/>
        </w:rPr>
        <w:t>关于印发黔江区贯彻落实国务院办公厅</w:t>
      </w:r>
      <w:r>
        <w:rPr>
          <w:rFonts w:hint="eastAsia" w:ascii="Times New Roman" w:hAnsi="Times New Roman" w:eastAsia="方正小标宋_GBK" w:cs="方正小标宋_GBK"/>
          <w:spacing w:val="-6"/>
          <w:sz w:val="44"/>
          <w:szCs w:val="44"/>
          <w:lang w:eastAsia="zh-CN"/>
        </w:rPr>
        <w:t>2022</w:t>
      </w:r>
      <w:r>
        <w:rPr>
          <w:rFonts w:hint="eastAsia" w:ascii="方正小标宋_GBK" w:hAnsi="方正小标宋_GBK" w:eastAsia="方正小标宋_GBK" w:cs="方正小标宋_GBK"/>
          <w:spacing w:val="-6"/>
          <w:sz w:val="44"/>
          <w:szCs w:val="44"/>
          <w:lang w:eastAsia="zh-CN"/>
        </w:rPr>
        <w:t>年</w:t>
      </w: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政务公开工作要点任务分解表的通知</w:t>
      </w:r>
    </w:p>
    <w:p>
      <w:pPr>
        <w:keepNext w:val="0"/>
        <w:keepLines w:val="0"/>
        <w:pageBreakBefore w:val="0"/>
        <w:widowControl w:val="0"/>
        <w:kinsoku/>
        <w:overflowPunct/>
        <w:topLinePunct w:val="0"/>
        <w:autoSpaceDE/>
        <w:autoSpaceDN/>
        <w:bidi w:val="0"/>
        <w:adjustRightInd/>
        <w:snapToGrid w:val="0"/>
        <w:spacing w:line="579" w:lineRule="exact"/>
        <w:textAlignment w:val="auto"/>
        <w:rPr>
          <w:rFonts w:hint="eastAsia" w:ascii="方正仿宋_GBK" w:hAnsi="方正仿宋_GBK" w:eastAsia="方正仿宋_GBK" w:cs="方正仿宋_GBK"/>
          <w:szCs w:val="2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default" w:ascii="方正仿宋_GBK" w:hAnsi="方正仿宋_GBK" w:eastAsia="方正仿宋_GBK" w:cs="方正仿宋_GBK"/>
          <w:szCs w:val="22"/>
          <w:lang w:val="en-US" w:eastAsia="zh-CN"/>
        </w:rPr>
      </w:pPr>
      <w:r>
        <w:rPr>
          <w:rFonts w:hint="default" w:ascii="Times New Roman" w:hAnsi="Times New Roman" w:eastAsia="方正仿宋_GBK" w:cs="Times New Roman"/>
          <w:spacing w:val="0"/>
          <w:sz w:val="32"/>
          <w:szCs w:val="32"/>
        </w:rPr>
        <w:t>各乡、镇人民政府，各街道办事处，区政府各部门，各有关单位：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cs="方正仿宋_GBK"/>
          <w:szCs w:val="32"/>
        </w:rPr>
      </w:pPr>
      <w:r>
        <w:rPr>
          <w:rFonts w:hint="eastAsia" w:ascii="方正仿宋_GBK" w:hAnsi="方正仿宋_GBK" w:eastAsia="方正仿宋_GBK" w:cs="方正仿宋_GBK"/>
          <w:szCs w:val="22"/>
        </w:rPr>
        <w:t>为贯彻落实《国务院办公厅关于印发</w:t>
      </w:r>
      <w:r>
        <w:rPr>
          <w:rFonts w:hint="eastAsia" w:ascii="Times New Roman" w:hAnsi="Times New Roman" w:eastAsia="方正仿宋_GBK" w:cs="方正仿宋_GBK"/>
          <w:szCs w:val="22"/>
        </w:rPr>
        <w:t>2022</w:t>
      </w:r>
      <w:r>
        <w:rPr>
          <w:rFonts w:hint="eastAsia" w:ascii="方正仿宋_GBK" w:hAnsi="方正仿宋_GBK" w:eastAsia="方正仿宋_GBK" w:cs="方正仿宋_GBK"/>
          <w:szCs w:val="22"/>
        </w:rPr>
        <w:t>年政务公开工作要点的通知》（国办发〔</w:t>
      </w:r>
      <w:r>
        <w:rPr>
          <w:rFonts w:hint="eastAsia" w:ascii="Times New Roman" w:hAnsi="Times New Roman" w:eastAsia="方正仿宋_GBK" w:cs="方正仿宋_GBK"/>
          <w:szCs w:val="22"/>
        </w:rPr>
        <w:t>2022</w:t>
      </w:r>
      <w:r>
        <w:rPr>
          <w:rFonts w:hint="eastAsia" w:ascii="方正仿宋_GBK" w:hAnsi="方正仿宋_GBK" w:eastAsia="方正仿宋_GBK" w:cs="方正仿宋_GBK"/>
          <w:szCs w:val="22"/>
        </w:rPr>
        <w:t>〕</w:t>
      </w:r>
      <w:r>
        <w:rPr>
          <w:rFonts w:hint="eastAsia" w:ascii="Times New Roman" w:hAnsi="Times New Roman" w:eastAsia="方正仿宋_GBK" w:cs="方正仿宋_GBK"/>
          <w:szCs w:val="22"/>
        </w:rPr>
        <w:t>8</w:t>
      </w:r>
      <w:r>
        <w:rPr>
          <w:rFonts w:hint="eastAsia" w:ascii="方正仿宋_GBK" w:hAnsi="方正仿宋_GBK" w:eastAsia="方正仿宋_GBK" w:cs="方正仿宋_GBK"/>
          <w:szCs w:val="22"/>
        </w:rPr>
        <w:t>号）</w:t>
      </w:r>
      <w:r>
        <w:rPr>
          <w:rFonts w:hint="eastAsia" w:ascii="方正仿宋_GBK" w:hAnsi="方正仿宋_GBK" w:eastAsia="方正仿宋_GBK" w:cs="方正仿宋_GBK"/>
          <w:szCs w:val="22"/>
          <w:lang w:eastAsia="zh-CN"/>
        </w:rPr>
        <w:t>和《重庆市人民政府办公厅关于印发贯彻落实国务院办公厅</w:t>
      </w:r>
      <w:r>
        <w:rPr>
          <w:rFonts w:hint="eastAsia" w:ascii="Times New Roman" w:hAnsi="Times New Roman" w:eastAsia="方正仿宋_GBK" w:cs="方正仿宋_GBK"/>
          <w:szCs w:val="22"/>
          <w:lang w:eastAsia="zh-CN"/>
        </w:rPr>
        <w:t>2022</w:t>
      </w:r>
      <w:r>
        <w:rPr>
          <w:rFonts w:hint="eastAsia" w:ascii="方正仿宋_GBK" w:hAnsi="方正仿宋_GBK" w:eastAsia="方正仿宋_GBK" w:cs="方正仿宋_GBK"/>
          <w:szCs w:val="22"/>
          <w:lang w:eastAsia="zh-CN"/>
        </w:rPr>
        <w:t>年政务公开工作要点任务分工的通知》（渝府办发〔</w:t>
      </w:r>
      <w:r>
        <w:rPr>
          <w:rFonts w:hint="eastAsia" w:ascii="Times New Roman" w:hAnsi="Times New Roman" w:eastAsia="方正仿宋_GBK" w:cs="方正仿宋_GBK"/>
          <w:szCs w:val="22"/>
          <w:lang w:eastAsia="zh-CN"/>
        </w:rPr>
        <w:t>2022</w:t>
      </w:r>
      <w:r>
        <w:rPr>
          <w:rFonts w:hint="eastAsia" w:ascii="方正仿宋_GBK" w:hAnsi="方正仿宋_GBK" w:eastAsia="方正仿宋_GBK" w:cs="方正仿宋_GBK"/>
          <w:szCs w:val="22"/>
          <w:lang w:eastAsia="zh-CN"/>
        </w:rPr>
        <w:t>〕</w:t>
      </w:r>
      <w:r>
        <w:rPr>
          <w:rFonts w:hint="eastAsia" w:ascii="Times New Roman" w:hAnsi="Times New Roman" w:eastAsia="方正仿宋_GBK" w:cs="方正仿宋_GBK"/>
          <w:szCs w:val="22"/>
          <w:lang w:eastAsia="zh-CN"/>
        </w:rPr>
        <w:t>59</w:t>
      </w:r>
      <w:r>
        <w:rPr>
          <w:rFonts w:hint="eastAsia" w:ascii="方正仿宋_GBK" w:hAnsi="方正仿宋_GBK" w:eastAsia="方正仿宋_GBK" w:cs="方正仿宋_GBK"/>
          <w:szCs w:val="22"/>
          <w:lang w:eastAsia="zh-CN"/>
        </w:rPr>
        <w:t>号）精神</w:t>
      </w:r>
      <w:r>
        <w:rPr>
          <w:rFonts w:hint="eastAsia" w:ascii="方正仿宋_GBK" w:hAnsi="方正仿宋_GBK" w:eastAsia="方正仿宋_GBK" w:cs="方正仿宋_GBK"/>
          <w:szCs w:val="22"/>
        </w:rPr>
        <w:t>，</w:t>
      </w:r>
      <w:r>
        <w:rPr>
          <w:rFonts w:hint="eastAsia" w:ascii="方正仿宋_GBK" w:hAnsi="方正仿宋_GBK" w:cs="方正仿宋_GBK"/>
          <w:szCs w:val="32"/>
        </w:rPr>
        <w:t>经区政府同意，</w:t>
      </w:r>
      <w:r>
        <w:rPr>
          <w:rFonts w:ascii="方正仿宋_GBK" w:hAnsi="方正仿宋_GBK" w:cs="方正仿宋_GBK"/>
          <w:szCs w:val="32"/>
        </w:rPr>
        <w:t>现将《</w:t>
      </w:r>
      <w:r>
        <w:rPr>
          <w:rFonts w:hint="eastAsia" w:ascii="方正仿宋_GBK" w:hAnsi="方正仿宋_GBK" w:cs="方正仿宋_GBK"/>
          <w:szCs w:val="32"/>
          <w:lang w:eastAsia="zh-CN"/>
        </w:rPr>
        <w:t>黔江区贯彻落实国务院办公厅2022年政务公开工作要点任务分解表</w:t>
      </w:r>
      <w:r>
        <w:rPr>
          <w:rFonts w:ascii="方正仿宋_GBK" w:hAnsi="方正仿宋_GBK" w:cs="方正仿宋_GBK"/>
          <w:szCs w:val="32"/>
        </w:rPr>
        <w:t>》</w:t>
      </w:r>
      <w:r>
        <w:rPr>
          <w:rFonts w:hint="eastAsia" w:ascii="方正仿宋_GBK" w:hAnsi="方正仿宋_GBK" w:cs="方正仿宋_GBK"/>
          <w:szCs w:val="32"/>
        </w:rPr>
        <w:t>（以下简称《任务</w:t>
      </w:r>
      <w:r>
        <w:rPr>
          <w:rFonts w:hint="eastAsia" w:ascii="方正仿宋_GBK" w:hAnsi="方正仿宋_GBK" w:cs="方正仿宋_GBK"/>
          <w:szCs w:val="32"/>
          <w:lang w:eastAsia="zh-CN"/>
        </w:rPr>
        <w:t>分解表</w:t>
      </w:r>
      <w:r>
        <w:rPr>
          <w:rFonts w:hint="eastAsia" w:ascii="方正仿宋_GBK" w:hAnsi="方正仿宋_GBK" w:cs="方正仿宋_GBK"/>
          <w:szCs w:val="32"/>
        </w:rPr>
        <w:t>》）</w:t>
      </w:r>
      <w:r>
        <w:rPr>
          <w:rFonts w:ascii="方正仿宋_GBK" w:hAnsi="方正仿宋_GBK" w:cs="方正仿宋_GBK"/>
          <w:szCs w:val="32"/>
        </w:rPr>
        <w:t>印发给你们，并提出如下工作要求，请认真贯彻执行。</w:t>
      </w:r>
    </w:p>
    <w:p>
      <w:pPr>
        <w:keepNext w:val="0"/>
        <w:keepLines w:val="0"/>
        <w:pageBreakBefore w:val="0"/>
        <w:widowControl w:val="0"/>
        <w:kinsoku/>
        <w:overflowPunct/>
        <w:topLinePunct w:val="0"/>
        <w:autoSpaceDE/>
        <w:autoSpaceDN/>
        <w:bidi w:val="0"/>
        <w:adjustRightInd/>
        <w:snapToGrid w:val="0"/>
        <w:spacing w:line="579" w:lineRule="exact"/>
        <w:ind w:firstLine="640" w:firstLineChars="200"/>
        <w:textAlignment w:val="auto"/>
        <w:rPr>
          <w:rFonts w:hint="eastAsia" w:ascii="方正黑体_GBK" w:hAnsi="方正黑体_GBK" w:eastAsia="方正黑体_GBK" w:cs="方正黑体_GBK"/>
          <w:szCs w:val="32"/>
          <w:lang w:val="en-US" w:eastAsia="zh-CN"/>
        </w:rPr>
      </w:pPr>
      <w:r>
        <w:rPr>
          <w:rFonts w:hint="eastAsia" w:ascii="方正黑体_GBK" w:hAnsi="方正黑体_GBK" w:eastAsia="方正黑体_GBK" w:cs="方正黑体_GBK"/>
          <w:szCs w:val="32"/>
          <w:lang w:val="en-US" w:eastAsia="zh-CN"/>
        </w:rPr>
        <w:t>一、强化组织保障，落实主体责任</w:t>
      </w:r>
    </w:p>
    <w:p>
      <w:pPr>
        <w:pStyle w:val="2"/>
        <w:ind w:left="0" w:leftChars="0" w:firstLine="640" w:firstLineChars="200"/>
        <w:rPr>
          <w:rFonts w:hint="eastAsia"/>
          <w:lang w:val="en-US" w:eastAsia="zh-CN"/>
        </w:rPr>
      </w:pPr>
      <w:r>
        <w:rPr>
          <w:rFonts w:hint="eastAsia"/>
          <w:lang w:val="en-US" w:eastAsia="zh-CN"/>
        </w:rPr>
        <w:t>各乡镇街道、区政府各部门和有关单位要坚持“以公开为常态，不公开为例外”原则，深刻认识政务公开工作的规律性，把准政务公开工作方向，认真学习文件，吃透精神，把握内涵，理解到位。要切实加强组织领导，</w:t>
      </w:r>
      <w:r>
        <w:rPr>
          <w:rFonts w:hint="eastAsia" w:ascii="方正仿宋_GBK" w:hAnsi="方正仿宋_GBK" w:cs="方正仿宋_GBK"/>
          <w:szCs w:val="32"/>
          <w:lang w:eastAsia="zh-CN"/>
        </w:rPr>
        <w:t>强化政务公开经费保障和人员梯队建设，保持政务公开工作队伍的稳定，</w:t>
      </w:r>
      <w:r>
        <w:rPr>
          <w:rFonts w:hint="eastAsia"/>
          <w:lang w:val="en-US" w:eastAsia="zh-CN"/>
        </w:rPr>
        <w:t>压紧压实工作责任，不折不扣将</w:t>
      </w:r>
      <w:r>
        <w:rPr>
          <w:rFonts w:hint="eastAsia" w:ascii="方正仿宋_GBK" w:hAnsi="方正仿宋_GBK" w:cs="方正仿宋_GBK"/>
          <w:szCs w:val="32"/>
        </w:rPr>
        <w:t>《任务</w:t>
      </w:r>
      <w:r>
        <w:rPr>
          <w:rFonts w:hint="eastAsia" w:ascii="方正仿宋_GBK" w:hAnsi="方正仿宋_GBK" w:cs="方正仿宋_GBK"/>
          <w:szCs w:val="32"/>
          <w:lang w:eastAsia="zh-CN"/>
        </w:rPr>
        <w:t>分解表</w:t>
      </w:r>
      <w:r>
        <w:rPr>
          <w:rFonts w:hint="eastAsia" w:ascii="方正仿宋_GBK" w:hAnsi="方正仿宋_GBK" w:cs="方正仿宋_GBK"/>
          <w:szCs w:val="32"/>
        </w:rPr>
        <w:t>》</w:t>
      </w:r>
      <w:r>
        <w:rPr>
          <w:rFonts w:hint="eastAsia"/>
          <w:lang w:val="en-US" w:eastAsia="zh-CN"/>
        </w:rPr>
        <w:t>各项贯彻措施落到实处。</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rPr>
          <w:rFonts w:hint="eastAsia" w:ascii="方正仿宋_GBK" w:hAnsi="方正仿宋_GBK" w:eastAsia="方正仿宋_GBK" w:cs="方正仿宋_GBK"/>
          <w:szCs w:val="32"/>
          <w:lang w:eastAsia="zh-CN"/>
        </w:rPr>
      </w:pPr>
      <w:r>
        <w:rPr>
          <w:rFonts w:hint="eastAsia" w:ascii="方正黑体_GBK" w:hAnsi="方正黑体_GBK" w:eastAsia="方正黑体_GBK" w:cs="方正黑体_GBK"/>
          <w:szCs w:val="32"/>
          <w:lang w:eastAsia="zh-CN"/>
        </w:rPr>
        <w:t>二、强化培训指导，夯实薄弱环节</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rPr>
          <w:rFonts w:hint="eastAsia" w:ascii="方正仿宋_GBK" w:hAnsi="方正仿宋_GBK" w:cs="方正仿宋_GBK"/>
          <w:szCs w:val="32"/>
          <w:lang w:eastAsia="zh-CN"/>
        </w:rPr>
      </w:pPr>
      <w:r>
        <w:rPr>
          <w:rFonts w:hint="eastAsia"/>
          <w:lang w:val="en-US" w:eastAsia="zh-CN"/>
        </w:rPr>
        <w:t>各乡镇街道、区政府各部门和有关单位要聚焦本单位政务公开的重点、难点和</w:t>
      </w:r>
      <w:r>
        <w:rPr>
          <w:rFonts w:hint="eastAsia" w:ascii="方正仿宋_GBK" w:hAnsi="方正仿宋_GBK" w:cs="方正仿宋_GBK"/>
          <w:szCs w:val="32"/>
          <w:lang w:eastAsia="zh-CN"/>
        </w:rPr>
        <w:t>薄弱环节，坚持政务公开和业务工作同步部署、同步推进、同步落实，建立本单位政务公开业务知识与工作技能全员培训工作机制。区政府各部门要切实履行行业主管部门职责，加强对乡镇街道试点领域基层政务公开的督促指导力度，提升弱项补齐短板，着力提升相关信息公开的及时性、准确性。</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rPr>
          <w:rFonts w:hint="eastAsia" w:eastAsia="方正仿宋_GBK"/>
          <w:lang w:eastAsia="zh-CN"/>
        </w:rPr>
      </w:pPr>
      <w:r>
        <w:rPr>
          <w:rFonts w:hint="eastAsia" w:ascii="方正黑体_GBK" w:hAnsi="方正黑体_GBK" w:eastAsia="方正黑体_GBK" w:cs="方正黑体_GBK"/>
          <w:lang w:eastAsia="zh-CN"/>
        </w:rPr>
        <w:t>三、强化跟踪问效，抓实公开质效</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rPr>
          <w:rFonts w:hint="eastAsia" w:ascii="方正仿宋_GBK" w:hAnsi="方正仿宋_GBK" w:cs="方正仿宋_GBK"/>
          <w:szCs w:val="32"/>
          <w:lang w:eastAsia="zh-CN"/>
        </w:rPr>
      </w:pPr>
      <w:r>
        <w:rPr>
          <w:rFonts w:hint="eastAsia" w:ascii="方正仿宋_GBK" w:hAnsi="方正仿宋_GBK" w:cs="方正仿宋_GBK"/>
          <w:szCs w:val="32"/>
          <w:lang w:eastAsia="zh-CN"/>
        </w:rPr>
        <w:t>各乡镇街道、区政府各部门和有关单位要严格对照</w:t>
      </w:r>
      <w:r>
        <w:rPr>
          <w:rFonts w:hint="eastAsia" w:ascii="方正仿宋_GBK" w:hAnsi="方正仿宋_GBK" w:cs="方正仿宋_GBK"/>
          <w:szCs w:val="32"/>
        </w:rPr>
        <w:t>《任务</w:t>
      </w:r>
      <w:r>
        <w:rPr>
          <w:rFonts w:hint="eastAsia" w:ascii="方正仿宋_GBK" w:hAnsi="方正仿宋_GBK" w:cs="方正仿宋_GBK"/>
          <w:szCs w:val="32"/>
          <w:lang w:eastAsia="zh-CN"/>
        </w:rPr>
        <w:t>分解表</w:t>
      </w:r>
      <w:r>
        <w:rPr>
          <w:rFonts w:hint="eastAsia" w:ascii="方正仿宋_GBK" w:hAnsi="方正仿宋_GBK" w:cs="方正仿宋_GBK"/>
          <w:szCs w:val="32"/>
        </w:rPr>
        <w:t>》</w:t>
      </w:r>
      <w:r>
        <w:rPr>
          <w:rFonts w:hint="eastAsia" w:ascii="方正仿宋_GBK" w:hAnsi="方正仿宋_GBK" w:cs="方正仿宋_GBK"/>
          <w:szCs w:val="32"/>
          <w:lang w:eastAsia="zh-CN"/>
        </w:rPr>
        <w:t>，建立完善政务公开长效工作机制。各牵头单位要加强统筹协调，</w:t>
      </w:r>
      <w:r>
        <w:rPr>
          <w:rFonts w:ascii="仿宋" w:hAnsi="仿宋" w:eastAsia="仿宋" w:cs="仿宋"/>
          <w:i w:val="0"/>
          <w:caps w:val="0"/>
          <w:color w:val="000000"/>
          <w:spacing w:val="0"/>
          <w:sz w:val="31"/>
          <w:szCs w:val="31"/>
          <w:shd w:val="clear" w:fill="FFFFFF"/>
        </w:rPr>
        <w:t>有计划、有步骤推进</w:t>
      </w:r>
      <w:r>
        <w:rPr>
          <w:rFonts w:hint="eastAsia" w:ascii="仿宋" w:hAnsi="仿宋" w:eastAsia="仿宋" w:cs="仿宋"/>
          <w:i w:val="0"/>
          <w:caps w:val="0"/>
          <w:color w:val="000000"/>
          <w:spacing w:val="0"/>
          <w:sz w:val="31"/>
          <w:szCs w:val="31"/>
          <w:shd w:val="clear" w:fill="FFFFFF"/>
          <w:lang w:eastAsia="zh-CN"/>
        </w:rPr>
        <w:t>落实</w:t>
      </w:r>
      <w:r>
        <w:rPr>
          <w:rFonts w:ascii="仿宋" w:hAnsi="仿宋" w:eastAsia="仿宋" w:cs="仿宋"/>
          <w:i w:val="0"/>
          <w:caps w:val="0"/>
          <w:color w:val="000000"/>
          <w:spacing w:val="0"/>
          <w:sz w:val="31"/>
          <w:szCs w:val="31"/>
          <w:shd w:val="clear" w:fill="FFFFFF"/>
        </w:rPr>
        <w:t>各项重点</w:t>
      </w:r>
      <w:r>
        <w:rPr>
          <w:rFonts w:hint="eastAsia" w:ascii="仿宋" w:hAnsi="仿宋" w:eastAsia="仿宋" w:cs="仿宋"/>
          <w:i w:val="0"/>
          <w:caps w:val="0"/>
          <w:color w:val="000000"/>
          <w:spacing w:val="0"/>
          <w:sz w:val="31"/>
          <w:szCs w:val="31"/>
          <w:shd w:val="clear" w:fill="FFFFFF"/>
          <w:lang w:eastAsia="zh-CN"/>
        </w:rPr>
        <w:t>任务。</w:t>
      </w:r>
      <w:r>
        <w:rPr>
          <w:rFonts w:hint="eastAsia" w:ascii="方正仿宋_GBK" w:hAnsi="方正仿宋_GBK" w:cs="方正仿宋_GBK"/>
          <w:szCs w:val="32"/>
          <w:lang w:eastAsia="zh-CN"/>
        </w:rPr>
        <w:t>区政府办公室要进一步加强督导检查、季度通报、考核应用等制度建设，强化对工作开展不积极、推诿扯皮等突出问题单位的通报和跟踪督促力度，确保各项工作落细落实。</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rPr>
          <w:rFonts w:hint="eastAsia" w:ascii="方正仿宋_GBK" w:hAnsi="方正仿宋_GBK" w:cs="方正仿宋_GBK"/>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79" w:lineRule="exact"/>
        <w:ind w:firstLine="3840" w:firstLineChars="1200"/>
        <w:jc w:val="left"/>
        <w:textAlignment w:val="auto"/>
        <w:rPr>
          <w:rFonts w:hint="default"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rPr>
        <w:t>重庆市</w:t>
      </w:r>
      <w:r>
        <w:rPr>
          <w:rFonts w:hint="eastAsia" w:ascii="方正仿宋_GBK" w:hAnsi="方正仿宋_GBK" w:cs="方正仿宋_GBK"/>
          <w:szCs w:val="32"/>
          <w:lang w:eastAsia="zh-CN"/>
        </w:rPr>
        <w:t>黔江区</w:t>
      </w:r>
      <w:r>
        <w:rPr>
          <w:rFonts w:hint="eastAsia" w:ascii="方正仿宋_GBK" w:hAnsi="方正仿宋_GBK" w:eastAsia="方正仿宋_GBK" w:cs="方正仿宋_GBK"/>
          <w:szCs w:val="32"/>
        </w:rPr>
        <w:t>人民政府办公</w:t>
      </w:r>
      <w:r>
        <w:rPr>
          <w:rFonts w:hint="eastAsia" w:ascii="方正仿宋_GBK" w:hAnsi="方正仿宋_GBK" w:cs="方正仿宋_GBK"/>
          <w:szCs w:val="32"/>
          <w:lang w:eastAsia="zh-CN"/>
        </w:rPr>
        <w:t>室</w:t>
      </w:r>
      <w:r>
        <w:rPr>
          <w:rFonts w:hint="eastAsia" w:ascii="方正仿宋_GBK" w:hAnsi="方正仿宋_GBK" w:cs="方正仿宋_GBK"/>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right="1280" w:rightChars="400"/>
        <w:jc w:val="right"/>
        <w:textAlignment w:val="auto"/>
        <w:rPr>
          <w:rFonts w:hint="eastAsia" w:ascii="方正仿宋_GBK" w:hAnsi="方正仿宋_GBK" w:eastAsia="方正仿宋_GBK" w:cs="方正仿宋_GBK"/>
          <w:szCs w:val="32"/>
        </w:rPr>
      </w:pPr>
      <w:r>
        <w:rPr>
          <w:rFonts w:hint="eastAsia" w:ascii="Times New Roman" w:hAnsi="Times New Roman" w:eastAsia="方正仿宋_GBK" w:cs="方正仿宋_GBK"/>
          <w:szCs w:val="32"/>
        </w:rPr>
        <w:t>2022</w:t>
      </w:r>
      <w:r>
        <w:rPr>
          <w:rFonts w:hint="eastAsia" w:ascii="方正仿宋_GBK" w:hAnsi="方正仿宋_GBK" w:eastAsia="方正仿宋_GBK" w:cs="方正仿宋_GBK"/>
          <w:szCs w:val="32"/>
        </w:rPr>
        <w:t>年</w:t>
      </w:r>
      <w:r>
        <w:rPr>
          <w:rFonts w:hint="eastAsia" w:cs="方正仿宋_GBK"/>
          <w:szCs w:val="32"/>
          <w:lang w:val="en-US" w:eastAsia="zh-CN"/>
        </w:rPr>
        <w:t>6</w:t>
      </w:r>
      <w:r>
        <w:rPr>
          <w:rFonts w:hint="eastAsia" w:ascii="方正仿宋_GBK" w:hAnsi="方正仿宋_GBK" w:eastAsia="方正仿宋_GBK" w:cs="方正仿宋_GBK"/>
          <w:szCs w:val="32"/>
        </w:rPr>
        <w:t>月</w:t>
      </w:r>
      <w:r>
        <w:rPr>
          <w:rFonts w:hint="eastAsia" w:ascii="方正仿宋_GBK" w:hAnsi="方正仿宋_GBK" w:cs="方正仿宋_GBK"/>
          <w:szCs w:val="32"/>
          <w:lang w:val="en-US" w:eastAsia="zh-CN"/>
        </w:rPr>
        <w:t>21</w:t>
      </w:r>
      <w:r>
        <w:rPr>
          <w:rFonts w:hint="eastAsia" w:ascii="方正仿宋_GBK" w:hAnsi="方正仿宋_GBK" w:eastAsia="方正仿宋_GBK" w:cs="方正仿宋_GBK"/>
          <w:szCs w:val="32"/>
        </w:rPr>
        <w:t>日</w:t>
      </w:r>
    </w:p>
    <w:p>
      <w:pPr>
        <w:keepNext w:val="0"/>
        <w:keepLines w:val="0"/>
        <w:pageBreakBefore w:val="0"/>
        <w:widowControl w:val="0"/>
        <w:kinsoku/>
        <w:overflowPunct/>
        <w:topLinePunct w:val="0"/>
        <w:autoSpaceDE/>
        <w:autoSpaceDN/>
        <w:bidi w:val="0"/>
        <w:adjustRightInd/>
        <w:snapToGrid w:val="0"/>
        <w:spacing w:line="579" w:lineRule="exact"/>
        <w:ind w:firstLine="640" w:firstLineChars="200"/>
        <w:textAlignment w:val="auto"/>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（此件公开</w:t>
      </w:r>
      <w:r>
        <w:rPr>
          <w:rFonts w:hint="eastAsia" w:ascii="方正仿宋_GBK" w:hAnsi="方正仿宋_GBK" w:cs="方正仿宋_GBK"/>
          <w:szCs w:val="32"/>
          <w:lang w:val="en-US" w:eastAsia="zh-CN"/>
        </w:rPr>
        <w:t>发布</w:t>
      </w:r>
      <w:r>
        <w:rPr>
          <w:rFonts w:hint="eastAsia" w:ascii="方正仿宋_GBK" w:hAnsi="方正仿宋_GBK" w:eastAsia="方正仿宋_GBK" w:cs="方正仿宋_GBK"/>
          <w:szCs w:val="32"/>
          <w:lang w:val="en-US" w:eastAsia="zh-CN"/>
        </w:rPr>
        <w:t>）</w:t>
      </w:r>
    </w:p>
    <w:p>
      <w:pPr>
        <w:keepNext w:val="0"/>
        <w:keepLines w:val="0"/>
        <w:pageBreakBefore w:val="0"/>
        <w:widowControl w:val="0"/>
        <w:kinsoku/>
        <w:overflowPunct/>
        <w:topLinePunct w:val="0"/>
        <w:autoSpaceDE/>
        <w:autoSpaceDN/>
        <w:bidi w:val="0"/>
        <w:adjustRightInd/>
        <w:snapToGrid w:val="0"/>
        <w:spacing w:line="579" w:lineRule="exact"/>
        <w:textAlignment w:val="auto"/>
        <w:rPr>
          <w:rFonts w:hint="eastAsia" w:ascii="方正仿宋_GBK" w:hAnsi="方正仿宋_GBK" w:eastAsia="方正仿宋_GBK" w:cs="方正仿宋_GBK"/>
          <w:szCs w:val="32"/>
          <w:lang w:val="en-US" w:eastAsia="zh-CN"/>
        </w:rPr>
      </w:pPr>
    </w:p>
    <w:p>
      <w:pPr>
        <w:keepNext w:val="0"/>
        <w:keepLines w:val="0"/>
        <w:pageBreakBefore w:val="0"/>
        <w:widowControl w:val="0"/>
        <w:kinsoku/>
        <w:overflowPunct/>
        <w:topLinePunct w:val="0"/>
        <w:autoSpaceDE/>
        <w:autoSpaceDN/>
        <w:bidi w:val="0"/>
        <w:adjustRightInd/>
        <w:snapToGrid w:val="0"/>
        <w:spacing w:line="579" w:lineRule="exact"/>
        <w:textAlignment w:val="auto"/>
        <w:rPr>
          <w:rFonts w:hint="eastAsia" w:ascii="方正仿宋_GBK" w:hAnsi="方正仿宋_GBK" w:eastAsia="方正仿宋_GBK" w:cs="方正仿宋_GBK"/>
          <w:szCs w:val="32"/>
          <w:lang w:val="en-US" w:eastAsia="zh-CN"/>
        </w:rPr>
      </w:pPr>
    </w:p>
    <w:p>
      <w:pPr>
        <w:keepNext w:val="0"/>
        <w:keepLines w:val="0"/>
        <w:pageBreakBefore w:val="0"/>
        <w:widowControl w:val="0"/>
        <w:kinsoku/>
        <w:overflowPunct/>
        <w:topLinePunct w:val="0"/>
        <w:autoSpaceDE/>
        <w:autoSpaceDN/>
        <w:bidi w:val="0"/>
        <w:adjustRightInd/>
        <w:snapToGrid w:val="0"/>
        <w:spacing w:line="579" w:lineRule="exact"/>
        <w:textAlignment w:val="auto"/>
        <w:rPr>
          <w:rFonts w:hint="eastAsia" w:ascii="方正仿宋_GBK" w:hAnsi="方正仿宋_GBK" w:eastAsia="方正仿宋_GBK" w:cs="方正仿宋_GBK"/>
          <w:szCs w:val="32"/>
          <w:lang w:val="en-US" w:eastAsia="zh-CN"/>
        </w:rPr>
      </w:pPr>
    </w:p>
    <w:p>
      <w:pPr>
        <w:keepNext w:val="0"/>
        <w:keepLines w:val="0"/>
        <w:pageBreakBefore w:val="0"/>
        <w:widowControl w:val="0"/>
        <w:kinsoku/>
        <w:wordWrap/>
        <w:overflowPunct/>
        <w:topLinePunct w:val="0"/>
        <w:autoSpaceDE w:val="0"/>
        <w:autoSpaceDN/>
        <w:bidi w:val="0"/>
        <w:adjustRightInd/>
        <w:snapToGrid w:val="0"/>
        <w:spacing w:line="579" w:lineRule="exact"/>
        <w:jc w:val="both"/>
        <w:textAlignment w:val="auto"/>
        <w:rPr>
          <w:rFonts w:hint="eastAsia" w:ascii="方正黑体_GBK" w:hAnsi="方正黑体_GBK" w:eastAsia="方正黑体_GBK" w:cs="方正黑体_GBK"/>
          <w:sz w:val="32"/>
          <w:szCs w:val="32"/>
          <w:lang w:eastAsia="zh-CN"/>
        </w:rPr>
      </w:pPr>
      <w:bookmarkStart w:id="0" w:name="_GoBack"/>
      <w:bookmarkEnd w:id="0"/>
      <w:r>
        <w:rPr>
          <w:rFonts w:hint="eastAsia" w:ascii="方正黑体_GBK" w:hAnsi="方正黑体_GBK" w:eastAsia="方正黑体_GBK" w:cs="方正黑体_GBK"/>
          <w:sz w:val="32"/>
          <w:szCs w:val="32"/>
          <w:lang w:eastAsia="zh-CN"/>
        </w:rPr>
        <w:t>附件</w:t>
      </w:r>
    </w:p>
    <w:p>
      <w:pPr>
        <w:keepNext w:val="0"/>
        <w:keepLines w:val="0"/>
        <w:pageBreakBefore w:val="0"/>
        <w:widowControl w:val="0"/>
        <w:kinsoku/>
        <w:wordWrap/>
        <w:overflowPunct/>
        <w:topLinePunct w:val="0"/>
        <w:autoSpaceDE w:val="0"/>
        <w:autoSpaceDN/>
        <w:bidi w:val="0"/>
        <w:adjustRightInd/>
        <w:snapToGrid w:val="0"/>
        <w:spacing w:line="579" w:lineRule="exact"/>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val="0"/>
        <w:autoSpaceDN/>
        <w:bidi w:val="0"/>
        <w:adjustRightInd/>
        <w:snapToGrid w:val="0"/>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黔江区</w:t>
      </w:r>
      <w:r>
        <w:rPr>
          <w:rFonts w:hint="eastAsia" w:ascii="方正小标宋_GBK" w:hAnsi="方正小标宋_GBK" w:eastAsia="方正小标宋_GBK" w:cs="方正小标宋_GBK"/>
          <w:sz w:val="44"/>
          <w:szCs w:val="44"/>
        </w:rPr>
        <w:t>贯彻落实国务院办公厅</w:t>
      </w:r>
    </w:p>
    <w:p>
      <w:pPr>
        <w:keepNext w:val="0"/>
        <w:keepLines w:val="0"/>
        <w:pageBreakBefore w:val="0"/>
        <w:widowControl w:val="0"/>
        <w:kinsoku/>
        <w:wordWrap/>
        <w:overflowPunct/>
        <w:topLinePunct w:val="0"/>
        <w:autoSpaceDE w:val="0"/>
        <w:autoSpaceDN/>
        <w:bidi w:val="0"/>
        <w:adjustRightInd/>
        <w:snapToGrid w:val="0"/>
        <w:spacing w:line="579" w:lineRule="exact"/>
        <w:jc w:val="center"/>
        <w:textAlignment w:val="auto"/>
        <w:rPr>
          <w:rFonts w:hint="eastAsia" w:ascii="方正小标宋_GBK" w:hAnsi="方正小标宋_GBK" w:eastAsia="方正小标宋_GBK" w:cs="方正小标宋_GBK"/>
          <w:sz w:val="44"/>
          <w:szCs w:val="44"/>
          <w:lang w:eastAsia="zh-CN"/>
        </w:rPr>
      </w:pPr>
      <w:r>
        <w:rPr>
          <w:rFonts w:hint="eastAsia" w:ascii="Times New Roman" w:hAnsi="Times New Roman" w:eastAsia="方正小标宋_GBK" w:cs="方正小标宋_GBK"/>
          <w:sz w:val="44"/>
          <w:szCs w:val="44"/>
        </w:rPr>
        <w:t>2022</w:t>
      </w:r>
      <w:r>
        <w:rPr>
          <w:rFonts w:hint="eastAsia" w:ascii="方正小标宋_GBK" w:hAnsi="方正小标宋_GBK" w:eastAsia="方正小标宋_GBK" w:cs="方正小标宋_GBK"/>
          <w:sz w:val="44"/>
          <w:szCs w:val="44"/>
        </w:rPr>
        <w:t>年政务公开工作要点任务</w:t>
      </w:r>
      <w:r>
        <w:rPr>
          <w:rFonts w:hint="eastAsia" w:ascii="方正小标宋_GBK" w:hAnsi="方正小标宋_GBK" w:eastAsia="方正小标宋_GBK" w:cs="方正小标宋_GBK"/>
          <w:sz w:val="44"/>
          <w:szCs w:val="44"/>
          <w:lang w:eastAsia="zh-CN"/>
        </w:rPr>
        <w:t>分解表</w:t>
      </w:r>
    </w:p>
    <w:p>
      <w:pPr>
        <w:keepNext w:val="0"/>
        <w:keepLines w:val="0"/>
        <w:pageBreakBefore w:val="0"/>
        <w:widowControl w:val="0"/>
        <w:kinsoku/>
        <w:wordWrap/>
        <w:overflowPunct/>
        <w:topLinePunct w:val="0"/>
        <w:autoSpaceDE w:val="0"/>
        <w:autoSpaceDN/>
        <w:bidi w:val="0"/>
        <w:adjustRightInd/>
        <w:snapToGrid w:val="0"/>
        <w:spacing w:line="579" w:lineRule="exact"/>
        <w:jc w:val="center"/>
        <w:textAlignment w:val="auto"/>
        <w:rPr>
          <w:rFonts w:hint="eastAsia" w:ascii="方正小标宋_GBK" w:hAnsi="方正小标宋_GBK" w:eastAsia="方正小标宋_GBK" w:cs="方正小标宋_GBK"/>
          <w:sz w:val="44"/>
          <w:szCs w:val="44"/>
          <w:lang w:eastAsia="zh-CN"/>
        </w:rPr>
      </w:pPr>
    </w:p>
    <w:tbl>
      <w:tblPr>
        <w:tblStyle w:val="8"/>
        <w:tblW w:w="9964"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822"/>
        <w:gridCol w:w="1325"/>
        <w:gridCol w:w="4619"/>
        <w:gridCol w:w="1488"/>
        <w:gridCol w:w="171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tblHeader/>
          <w:jc w:val="center"/>
        </w:trPr>
        <w:tc>
          <w:tcPr>
            <w:tcW w:w="2147" w:type="dxa"/>
            <w:gridSpan w:val="2"/>
            <w:tcBorders>
              <w:top w:val="single" w:color="auto" w:sz="6" w:space="0"/>
              <w:left w:val="single" w:color="auto" w:sz="6" w:space="0"/>
              <w:bottom w:val="single" w:color="auto" w:sz="2" w:space="0"/>
              <w:right w:val="single" w:color="auto" w:sz="2" w:space="0"/>
            </w:tcBorders>
            <w:tcMar>
              <w:top w:w="57" w:type="dxa"/>
              <w:left w:w="85" w:type="dxa"/>
              <w:bottom w:w="57" w:type="dxa"/>
              <w:right w:w="85" w:type="dxa"/>
            </w:tcMar>
            <w:vAlign w:val="center"/>
          </w:tcPr>
          <w:p>
            <w:pPr>
              <w:jc w:val="center"/>
              <w:rPr>
                <w:rFonts w:hint="eastAsia" w:eastAsia="方正黑体_GBK"/>
                <w:color w:val="auto"/>
                <w:sz w:val="21"/>
                <w:szCs w:val="21"/>
              </w:rPr>
            </w:pPr>
            <w:r>
              <w:rPr>
                <w:rFonts w:hint="eastAsia" w:eastAsia="方正黑体_GBK"/>
                <w:color w:val="auto"/>
                <w:sz w:val="21"/>
                <w:szCs w:val="21"/>
              </w:rPr>
              <w:t>工作任务</w:t>
            </w:r>
          </w:p>
        </w:tc>
        <w:tc>
          <w:tcPr>
            <w:tcW w:w="4619" w:type="dxa"/>
            <w:tcBorders>
              <w:top w:val="single" w:color="auto" w:sz="6"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jc w:val="center"/>
              <w:rPr>
                <w:rFonts w:hint="eastAsia" w:eastAsia="方正黑体_GBK"/>
                <w:color w:val="auto"/>
                <w:sz w:val="21"/>
                <w:szCs w:val="21"/>
              </w:rPr>
            </w:pPr>
            <w:r>
              <w:rPr>
                <w:rFonts w:hint="eastAsia" w:eastAsia="方正黑体_GBK"/>
                <w:color w:val="auto"/>
                <w:sz w:val="21"/>
                <w:szCs w:val="21"/>
              </w:rPr>
              <w:t>贯    彻    举    措</w:t>
            </w:r>
          </w:p>
        </w:tc>
        <w:tc>
          <w:tcPr>
            <w:tcW w:w="1488" w:type="dxa"/>
            <w:tcBorders>
              <w:top w:val="single" w:color="auto" w:sz="6" w:space="0"/>
              <w:left w:val="single" w:color="auto" w:sz="2" w:space="0"/>
              <w:bottom w:val="single" w:color="auto" w:sz="2" w:space="0"/>
              <w:right w:val="single" w:color="auto" w:sz="2" w:space="0"/>
            </w:tcBorders>
            <w:tcMar>
              <w:top w:w="57" w:type="dxa"/>
              <w:left w:w="85" w:type="dxa"/>
              <w:bottom w:w="57" w:type="dxa"/>
              <w:right w:w="85" w:type="dxa"/>
            </w:tcMar>
            <w:vAlign w:val="center"/>
          </w:tcPr>
          <w:p>
            <w:pPr>
              <w:jc w:val="center"/>
              <w:rPr>
                <w:rFonts w:hint="eastAsia" w:eastAsia="方正黑体_GBK"/>
                <w:color w:val="auto"/>
                <w:sz w:val="21"/>
                <w:szCs w:val="21"/>
              </w:rPr>
            </w:pPr>
            <w:r>
              <w:rPr>
                <w:rFonts w:hint="eastAsia" w:eastAsia="方正黑体_GBK"/>
                <w:color w:val="auto"/>
                <w:sz w:val="21"/>
                <w:szCs w:val="21"/>
              </w:rPr>
              <w:t>牵头单位</w:t>
            </w:r>
          </w:p>
        </w:tc>
        <w:tc>
          <w:tcPr>
            <w:tcW w:w="1710" w:type="dxa"/>
            <w:tcBorders>
              <w:top w:val="single" w:color="auto" w:sz="6" w:space="0"/>
              <w:left w:val="single" w:color="auto" w:sz="2" w:space="0"/>
              <w:bottom w:val="single" w:color="auto" w:sz="2" w:space="0"/>
              <w:right w:val="single" w:color="auto" w:sz="6" w:space="0"/>
            </w:tcBorders>
            <w:tcMar>
              <w:top w:w="57" w:type="dxa"/>
              <w:left w:w="85" w:type="dxa"/>
              <w:bottom w:w="57" w:type="dxa"/>
              <w:right w:w="85" w:type="dxa"/>
            </w:tcMar>
            <w:vAlign w:val="center"/>
          </w:tcPr>
          <w:p>
            <w:pPr>
              <w:jc w:val="center"/>
              <w:rPr>
                <w:rFonts w:hint="eastAsia" w:eastAsia="方正黑体_GBK"/>
                <w:color w:val="auto"/>
                <w:sz w:val="21"/>
                <w:szCs w:val="21"/>
              </w:rPr>
            </w:pPr>
            <w:r>
              <w:rPr>
                <w:rFonts w:hint="eastAsia" w:eastAsia="方正黑体_GBK"/>
                <w:color w:val="auto"/>
                <w:sz w:val="21"/>
                <w:szCs w:val="21"/>
              </w:rPr>
              <w:t>责任单位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19" w:hRule="atLeast"/>
          <w:jc w:val="center"/>
        </w:trPr>
        <w:tc>
          <w:tcPr>
            <w:tcW w:w="822" w:type="dxa"/>
            <w:vMerge w:val="restart"/>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rPr>
                <w:rFonts w:hint="eastAsia"/>
                <w:color w:val="auto"/>
                <w:sz w:val="21"/>
                <w:szCs w:val="21"/>
              </w:rPr>
            </w:pPr>
            <w:r>
              <w:rPr>
                <w:color w:val="auto"/>
                <w:sz w:val="21"/>
                <w:szCs w:val="21"/>
              </w:rPr>
              <w:t>一、以公开助力经济平稳健康发展</w:t>
            </w:r>
          </w:p>
        </w:tc>
        <w:tc>
          <w:tcPr>
            <w:tcW w:w="1325" w:type="dxa"/>
            <w:vMerge w:val="restart"/>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rPr>
                <w:color w:val="auto"/>
                <w:sz w:val="21"/>
                <w:szCs w:val="21"/>
              </w:rPr>
            </w:pPr>
            <w:r>
              <w:rPr>
                <w:color w:val="auto"/>
                <w:sz w:val="21"/>
                <w:szCs w:val="21"/>
              </w:rPr>
              <w:t>（一）加强涉及市场主体的信息公开。</w:t>
            </w: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9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1</w:t>
            </w:r>
            <w:r>
              <w:rPr>
                <w:rFonts w:hint="eastAsia"/>
                <w:color w:val="auto"/>
                <w:sz w:val="21"/>
                <w:szCs w:val="21"/>
                <w:lang w:val="en-US" w:eastAsia="zh-CN"/>
              </w:rPr>
              <w:t>．</w:t>
            </w:r>
            <w:r>
              <w:rPr>
                <w:color w:val="auto"/>
                <w:sz w:val="21"/>
                <w:szCs w:val="21"/>
              </w:rPr>
              <w:t>切实做好政策性文件公开征求意见、政策解读、关切回应等工作，增强政策制定实施的透明度和可预期性，提振市场主体信心。</w:t>
            </w:r>
          </w:p>
        </w:tc>
        <w:tc>
          <w:tcPr>
            <w:tcW w:w="1488"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90" w:lineRule="exact"/>
              <w:jc w:val="center"/>
              <w:textAlignment w:val="auto"/>
              <w:rPr>
                <w:rFonts w:hint="eastAsia" w:eastAsia="方正仿宋_GBK"/>
                <w:color w:val="auto"/>
                <w:sz w:val="21"/>
                <w:szCs w:val="21"/>
                <w:lang w:eastAsia="zh-CN"/>
              </w:rPr>
            </w:pPr>
            <w:r>
              <w:rPr>
                <w:rFonts w:hint="eastAsia"/>
                <w:color w:val="auto"/>
                <w:sz w:val="21"/>
                <w:szCs w:val="21"/>
                <w:lang w:eastAsia="zh-CN"/>
              </w:rPr>
              <w:t>区政府办公室</w:t>
            </w:r>
          </w:p>
        </w:tc>
        <w:tc>
          <w:tcPr>
            <w:tcW w:w="1710"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90" w:lineRule="exact"/>
              <w:jc w:val="center"/>
              <w:textAlignment w:val="auto"/>
              <w:rPr>
                <w:color w:val="auto"/>
                <w:sz w:val="21"/>
                <w:szCs w:val="21"/>
              </w:rPr>
            </w:pPr>
            <w:r>
              <w:rPr>
                <w:color w:val="auto"/>
                <w:sz w:val="21"/>
                <w:szCs w:val="21"/>
              </w:rPr>
              <w:t>各</w:t>
            </w:r>
            <w:r>
              <w:rPr>
                <w:rFonts w:hint="eastAsia"/>
                <w:color w:val="auto"/>
                <w:sz w:val="21"/>
                <w:szCs w:val="21"/>
                <w:lang w:eastAsia="zh-CN"/>
              </w:rPr>
              <w:t>乡镇街道</w:t>
            </w:r>
            <w:r>
              <w:rPr>
                <w:color w:val="auto"/>
                <w:sz w:val="21"/>
                <w:szCs w:val="21"/>
              </w:rPr>
              <w:t>、</w:t>
            </w:r>
            <w:r>
              <w:rPr>
                <w:rFonts w:hint="eastAsia"/>
                <w:color w:val="auto"/>
                <w:sz w:val="21"/>
                <w:szCs w:val="21"/>
                <w:lang w:eastAsia="zh-CN"/>
              </w:rPr>
              <w:t>区级</w:t>
            </w:r>
            <w:r>
              <w:rPr>
                <w:color w:val="auto"/>
                <w:sz w:val="21"/>
                <w:szCs w:val="21"/>
              </w:rPr>
              <w:t>各</w:t>
            </w:r>
            <w:r>
              <w:rPr>
                <w:rFonts w:hint="eastAsia"/>
                <w:color w:val="auto"/>
                <w:sz w:val="21"/>
                <w:szCs w:val="21"/>
                <w:lang w:eastAsia="zh-CN"/>
              </w:rPr>
              <w:t>有关</w:t>
            </w:r>
            <w:r>
              <w:rPr>
                <w:color w:val="auto"/>
                <w:sz w:val="21"/>
                <w:szCs w:val="21"/>
              </w:rPr>
              <w:t>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color w:val="auto"/>
                <w:sz w:val="21"/>
                <w:szCs w:val="21"/>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90" w:lineRule="exact"/>
              <w:ind w:firstLine="0" w:firstLineChars="0"/>
              <w:textAlignment w:val="auto"/>
              <w:rPr>
                <w:rFonts w:hint="eastAsia" w:eastAsia="方正仿宋_GBK"/>
                <w:color w:val="auto"/>
                <w:sz w:val="21"/>
                <w:szCs w:val="21"/>
                <w:lang w:eastAsia="zh-CN"/>
              </w:rPr>
            </w:pPr>
            <w:r>
              <w:rPr>
                <w:rFonts w:hint="eastAsia" w:ascii="Times New Roman" w:hAnsi="Times New Roman"/>
                <w:color w:val="auto"/>
                <w:sz w:val="21"/>
                <w:szCs w:val="21"/>
                <w:lang w:val="en-US" w:eastAsia="zh-CN"/>
              </w:rPr>
              <w:t>2</w:t>
            </w:r>
            <w:r>
              <w:rPr>
                <w:rFonts w:hint="eastAsia"/>
                <w:color w:val="auto"/>
                <w:sz w:val="21"/>
                <w:szCs w:val="21"/>
                <w:lang w:val="en-US" w:eastAsia="zh-CN"/>
              </w:rPr>
              <w:t>．</w:t>
            </w:r>
            <w:r>
              <w:rPr>
                <w:color w:val="auto"/>
                <w:sz w:val="21"/>
                <w:szCs w:val="21"/>
              </w:rPr>
              <w:t>落实重大行政决策预公开制度，及时公开</w:t>
            </w:r>
            <w:r>
              <w:rPr>
                <w:rFonts w:ascii="Times New Roman" w:hAnsi="Times New Roman"/>
                <w:color w:val="auto"/>
                <w:sz w:val="21"/>
                <w:szCs w:val="21"/>
              </w:rPr>
              <w:t>2022</w:t>
            </w:r>
            <w:r>
              <w:rPr>
                <w:rFonts w:ascii="方正书宋_GBK" w:hAnsi="方正书宋_GBK"/>
                <w:color w:val="auto"/>
                <w:sz w:val="21"/>
                <w:szCs w:val="21"/>
              </w:rPr>
              <w:t>年度重大行政决策事项目录，明确决策事项公众参与方式。重大行政决策向社会公开征求意见的，要及时公布决策草案及其说明等材料，明确提出意见的方式和期限，公布意见收集和采纳情况</w:t>
            </w:r>
            <w:r>
              <w:rPr>
                <w:rFonts w:hint="eastAsia" w:ascii="方正书宋_GBK" w:hAnsi="方正书宋_GBK"/>
                <w:color w:val="auto"/>
                <w:sz w:val="21"/>
                <w:szCs w:val="21"/>
                <w:lang w:eastAsia="zh-CN"/>
              </w:rPr>
              <w:t>。</w:t>
            </w:r>
          </w:p>
        </w:tc>
        <w:tc>
          <w:tcPr>
            <w:tcW w:w="1488"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90" w:lineRule="exact"/>
              <w:jc w:val="center"/>
              <w:textAlignment w:val="auto"/>
              <w:rPr>
                <w:color w:val="auto"/>
                <w:sz w:val="21"/>
                <w:szCs w:val="21"/>
              </w:rPr>
            </w:pPr>
            <w:r>
              <w:rPr>
                <w:rFonts w:hint="eastAsia"/>
                <w:color w:val="auto"/>
                <w:sz w:val="21"/>
                <w:szCs w:val="21"/>
                <w:lang w:eastAsia="zh-CN"/>
              </w:rPr>
              <w:t>区政府办公室</w:t>
            </w:r>
            <w:r>
              <w:rPr>
                <w:color w:val="auto"/>
                <w:sz w:val="21"/>
                <w:szCs w:val="21"/>
              </w:rPr>
              <w:t>、</w:t>
            </w:r>
            <w:r>
              <w:rPr>
                <w:rFonts w:hint="eastAsia"/>
                <w:color w:val="auto"/>
                <w:sz w:val="21"/>
                <w:szCs w:val="21"/>
                <w:lang w:eastAsia="zh-CN"/>
              </w:rPr>
              <w:t>区</w:t>
            </w:r>
            <w:r>
              <w:rPr>
                <w:color w:val="auto"/>
                <w:sz w:val="21"/>
                <w:szCs w:val="21"/>
              </w:rPr>
              <w:t>司法局</w:t>
            </w:r>
          </w:p>
        </w:tc>
        <w:tc>
          <w:tcPr>
            <w:tcW w:w="1710" w:type="dxa"/>
            <w:tcBorders>
              <w:top w:val="single" w:color="auto" w:sz="2" w:space="0"/>
              <w:left w:val="single" w:color="auto" w:sz="2" w:space="0"/>
              <w:bottom w:val="single" w:color="auto" w:sz="2" w:space="0"/>
              <w:right w:val="single" w:color="auto" w:sz="6" w:space="0"/>
            </w:tcBorders>
            <w:vAlign w:val="center"/>
          </w:tcPr>
          <w:p>
            <w:pPr>
              <w:keepNext w:val="0"/>
              <w:keepLines w:val="0"/>
              <w:pageBreakBefore w:val="0"/>
              <w:widowControl/>
              <w:kinsoku/>
              <w:wordWrap/>
              <w:overflowPunct/>
              <w:topLinePunct w:val="0"/>
              <w:autoSpaceDN/>
              <w:bidi w:val="0"/>
              <w:adjustRightInd/>
              <w:snapToGrid/>
              <w:spacing w:line="290" w:lineRule="exact"/>
              <w:jc w:val="center"/>
              <w:textAlignment w:val="auto"/>
              <w:rPr>
                <w:color w:val="auto"/>
                <w:sz w:val="21"/>
                <w:szCs w:val="21"/>
              </w:rPr>
            </w:pPr>
            <w:r>
              <w:rPr>
                <w:color w:val="auto"/>
                <w:sz w:val="21"/>
                <w:szCs w:val="21"/>
              </w:rPr>
              <w:t>各</w:t>
            </w:r>
            <w:r>
              <w:rPr>
                <w:rFonts w:hint="eastAsia"/>
                <w:color w:val="auto"/>
                <w:sz w:val="21"/>
                <w:szCs w:val="21"/>
                <w:lang w:eastAsia="zh-CN"/>
              </w:rPr>
              <w:t>乡镇街道</w:t>
            </w:r>
            <w:r>
              <w:rPr>
                <w:color w:val="auto"/>
                <w:sz w:val="21"/>
                <w:szCs w:val="21"/>
              </w:rPr>
              <w:t>、</w:t>
            </w:r>
            <w:r>
              <w:rPr>
                <w:rFonts w:hint="eastAsia"/>
                <w:color w:val="auto"/>
                <w:sz w:val="21"/>
                <w:szCs w:val="21"/>
                <w:lang w:eastAsia="zh-CN"/>
              </w:rPr>
              <w:t>区级</w:t>
            </w:r>
            <w:r>
              <w:rPr>
                <w:color w:val="auto"/>
                <w:sz w:val="21"/>
                <w:szCs w:val="21"/>
              </w:rPr>
              <w:t>各</w:t>
            </w:r>
            <w:r>
              <w:rPr>
                <w:rFonts w:hint="eastAsia"/>
                <w:color w:val="auto"/>
                <w:sz w:val="21"/>
                <w:szCs w:val="21"/>
                <w:lang w:eastAsia="zh-CN"/>
              </w:rPr>
              <w:t>有关</w:t>
            </w:r>
            <w:r>
              <w:rPr>
                <w:color w:val="auto"/>
                <w:sz w:val="21"/>
                <w:szCs w:val="21"/>
              </w:rPr>
              <w:t>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53"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color w:val="auto"/>
                <w:sz w:val="21"/>
                <w:szCs w:val="21"/>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9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3</w:t>
            </w:r>
            <w:r>
              <w:rPr>
                <w:rFonts w:hint="eastAsia"/>
                <w:color w:val="auto"/>
                <w:sz w:val="21"/>
                <w:szCs w:val="21"/>
                <w:lang w:val="en-US" w:eastAsia="zh-CN"/>
              </w:rPr>
              <w:t>．</w:t>
            </w:r>
            <w:r>
              <w:rPr>
                <w:color w:val="auto"/>
                <w:sz w:val="21"/>
                <w:szCs w:val="21"/>
              </w:rPr>
              <w:t>公开关于</w:t>
            </w:r>
            <w:r>
              <w:rPr>
                <w:rFonts w:ascii="Times New Roman" w:hAnsi="Times New Roman"/>
                <w:color w:val="auto"/>
                <w:sz w:val="21"/>
                <w:szCs w:val="21"/>
              </w:rPr>
              <w:t>2022</w:t>
            </w:r>
            <w:r>
              <w:rPr>
                <w:rFonts w:ascii="方正书宋_GBK" w:hAnsi="方正书宋_GBK"/>
                <w:color w:val="auto"/>
                <w:sz w:val="21"/>
                <w:szCs w:val="21"/>
              </w:rPr>
              <w:t>年国民经济和社会发展计划执行情况及</w:t>
            </w:r>
            <w:r>
              <w:rPr>
                <w:rFonts w:ascii="Times New Roman" w:hAnsi="Times New Roman"/>
                <w:color w:val="auto"/>
                <w:sz w:val="21"/>
                <w:szCs w:val="21"/>
              </w:rPr>
              <w:t>2023</w:t>
            </w:r>
            <w:r>
              <w:rPr>
                <w:rFonts w:ascii="方正书宋_GBK" w:hAnsi="方正书宋_GBK"/>
                <w:color w:val="auto"/>
                <w:sz w:val="21"/>
                <w:szCs w:val="21"/>
              </w:rPr>
              <w:t>年计划草案的报告</w:t>
            </w:r>
            <w:r>
              <w:rPr>
                <w:rFonts w:hint="eastAsia" w:ascii="方正书宋_GBK" w:hAnsi="方正书宋_GBK"/>
                <w:color w:val="auto"/>
                <w:sz w:val="21"/>
                <w:szCs w:val="21"/>
                <w:lang w:eastAsia="zh-CN"/>
              </w:rPr>
              <w:t>。</w:t>
            </w:r>
          </w:p>
        </w:tc>
        <w:tc>
          <w:tcPr>
            <w:tcW w:w="1488" w:type="dxa"/>
            <w:tcBorders>
              <w:top w:val="single" w:color="auto" w:sz="2" w:space="0"/>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90" w:lineRule="exact"/>
              <w:jc w:val="center"/>
              <w:textAlignment w:val="auto"/>
              <w:rPr>
                <w:color w:val="auto"/>
                <w:sz w:val="21"/>
                <w:szCs w:val="21"/>
              </w:rPr>
            </w:pPr>
            <w:r>
              <w:rPr>
                <w:rFonts w:hint="eastAsia"/>
                <w:color w:val="auto"/>
                <w:sz w:val="21"/>
                <w:szCs w:val="21"/>
                <w:lang w:eastAsia="zh-CN"/>
              </w:rPr>
              <w:t>区</w:t>
            </w:r>
            <w:r>
              <w:rPr>
                <w:color w:val="auto"/>
                <w:sz w:val="21"/>
                <w:szCs w:val="21"/>
              </w:rPr>
              <w:t>发展改革委</w:t>
            </w:r>
          </w:p>
        </w:tc>
        <w:tc>
          <w:tcPr>
            <w:tcW w:w="1710" w:type="dxa"/>
            <w:tcBorders>
              <w:top w:val="single" w:color="auto" w:sz="2" w:space="0"/>
              <w:left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90" w:lineRule="exact"/>
              <w:jc w:val="center"/>
              <w:textAlignment w:val="auto"/>
              <w:rPr>
                <w:rFonts w:hint="eastAsia" w:eastAsia="方正仿宋_GBK"/>
                <w:color w:val="auto"/>
                <w:sz w:val="21"/>
                <w:szCs w:val="21"/>
                <w:lang w:eastAsia="zh-CN"/>
              </w:rPr>
            </w:pPr>
            <w:r>
              <w:rPr>
                <w:rFonts w:hint="eastAsia"/>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58" w:hRule="atLeast"/>
          <w:jc w:val="center"/>
        </w:trPr>
        <w:tc>
          <w:tcPr>
            <w:tcW w:w="822" w:type="dxa"/>
            <w:vMerge w:val="continue"/>
            <w:tcBorders>
              <w:left w:val="single" w:color="auto" w:sz="6"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color w:val="auto"/>
              </w:rPr>
            </w:pPr>
          </w:p>
        </w:tc>
        <w:tc>
          <w:tcPr>
            <w:tcW w:w="1325" w:type="dxa"/>
            <w:vMerge w:val="continue"/>
            <w:tcBorders>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color w:val="auto"/>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9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4</w:t>
            </w:r>
            <w:r>
              <w:rPr>
                <w:rFonts w:hint="eastAsia"/>
                <w:color w:val="auto"/>
                <w:sz w:val="21"/>
                <w:szCs w:val="21"/>
                <w:lang w:val="en-US" w:eastAsia="zh-CN"/>
              </w:rPr>
              <w:t>．</w:t>
            </w:r>
            <w:r>
              <w:rPr>
                <w:color w:val="auto"/>
                <w:sz w:val="21"/>
                <w:szCs w:val="21"/>
              </w:rPr>
              <w:t>公开优化营商环境、利企便民政策及其解读信息，持续打造市场化法治化国际化营商环境。</w:t>
            </w:r>
          </w:p>
        </w:tc>
        <w:tc>
          <w:tcPr>
            <w:tcW w:w="1488" w:type="dxa"/>
            <w:tcBorders>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90" w:lineRule="exact"/>
              <w:ind w:firstLine="0" w:firstLineChars="0"/>
              <w:jc w:val="center"/>
              <w:textAlignment w:val="auto"/>
              <w:rPr>
                <w:color w:val="auto"/>
                <w:sz w:val="21"/>
                <w:szCs w:val="21"/>
              </w:rPr>
            </w:pPr>
            <w:r>
              <w:rPr>
                <w:rFonts w:hint="eastAsia"/>
                <w:color w:val="auto"/>
                <w:sz w:val="21"/>
                <w:szCs w:val="21"/>
                <w:lang w:eastAsia="zh-CN"/>
              </w:rPr>
              <w:t>区</w:t>
            </w:r>
            <w:r>
              <w:rPr>
                <w:color w:val="auto"/>
                <w:sz w:val="21"/>
                <w:szCs w:val="21"/>
              </w:rPr>
              <w:t>发展改革委</w:t>
            </w:r>
          </w:p>
        </w:tc>
        <w:tc>
          <w:tcPr>
            <w:tcW w:w="1710" w:type="dxa"/>
            <w:tcBorders>
              <w:left w:val="single" w:color="auto" w:sz="2" w:space="0"/>
              <w:bottom w:val="single" w:color="auto" w:sz="2" w:space="0"/>
              <w:right w:val="single" w:color="auto" w:sz="6"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90" w:lineRule="exact"/>
              <w:ind w:firstLine="0" w:firstLineChars="0"/>
              <w:jc w:val="center"/>
              <w:textAlignment w:val="auto"/>
              <w:rPr>
                <w:color w:val="auto"/>
                <w:sz w:val="21"/>
                <w:szCs w:val="21"/>
              </w:rPr>
            </w:pPr>
            <w:r>
              <w:rPr>
                <w:rFonts w:hint="eastAsia"/>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color w:val="auto"/>
                <w:sz w:val="21"/>
                <w:szCs w:val="21"/>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9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5</w:t>
            </w:r>
            <w:r>
              <w:rPr>
                <w:rFonts w:hint="eastAsia"/>
                <w:color w:val="auto"/>
                <w:sz w:val="21"/>
                <w:szCs w:val="21"/>
                <w:lang w:val="en-US" w:eastAsia="zh-CN"/>
              </w:rPr>
              <w:t>．</w:t>
            </w:r>
            <w:r>
              <w:rPr>
                <w:color w:val="auto"/>
                <w:sz w:val="21"/>
                <w:szCs w:val="21"/>
              </w:rPr>
              <w:t>加大受疫情影响重的餐饮、住宿、零售、文化、旅游、客运等行业帮扶政策的公开力度，促进稳就业和消费恢复</w:t>
            </w:r>
            <w:r>
              <w:rPr>
                <w:rFonts w:hint="eastAsia"/>
                <w:color w:val="auto"/>
                <w:sz w:val="21"/>
                <w:szCs w:val="21"/>
                <w:lang w:eastAsia="zh-CN"/>
              </w:rPr>
              <w:t>。</w:t>
            </w:r>
          </w:p>
        </w:tc>
        <w:tc>
          <w:tcPr>
            <w:tcW w:w="148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N/>
              <w:bidi w:val="0"/>
              <w:adjustRightInd/>
              <w:snapToGrid/>
              <w:spacing w:line="290" w:lineRule="exact"/>
              <w:jc w:val="center"/>
              <w:textAlignment w:val="auto"/>
              <w:rPr>
                <w:color w:val="auto"/>
                <w:sz w:val="21"/>
                <w:szCs w:val="21"/>
              </w:rPr>
            </w:pPr>
            <w:r>
              <w:rPr>
                <w:rFonts w:hint="eastAsia"/>
                <w:color w:val="auto"/>
                <w:sz w:val="21"/>
                <w:szCs w:val="21"/>
                <w:lang w:eastAsia="zh-CN"/>
              </w:rPr>
              <w:t>区</w:t>
            </w:r>
            <w:r>
              <w:rPr>
                <w:color w:val="auto"/>
                <w:sz w:val="21"/>
                <w:szCs w:val="21"/>
              </w:rPr>
              <w:t>发展改革委</w:t>
            </w:r>
          </w:p>
        </w:tc>
        <w:tc>
          <w:tcPr>
            <w:tcW w:w="1710"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90" w:lineRule="exact"/>
              <w:jc w:val="center"/>
              <w:textAlignment w:val="auto"/>
              <w:rPr>
                <w:color w:val="auto"/>
                <w:sz w:val="21"/>
                <w:szCs w:val="21"/>
              </w:rPr>
            </w:pPr>
            <w:r>
              <w:rPr>
                <w:rFonts w:hint="eastAsia"/>
                <w:color w:val="auto"/>
                <w:sz w:val="21"/>
                <w:szCs w:val="21"/>
                <w:lang w:eastAsia="zh-CN"/>
              </w:rPr>
              <w:t>区</w:t>
            </w:r>
            <w:r>
              <w:rPr>
                <w:color w:val="auto"/>
                <w:sz w:val="21"/>
                <w:szCs w:val="21"/>
              </w:rPr>
              <w:t>商务委、</w:t>
            </w:r>
            <w:r>
              <w:rPr>
                <w:rFonts w:hint="eastAsia"/>
                <w:color w:val="auto"/>
                <w:sz w:val="21"/>
                <w:szCs w:val="21"/>
                <w:lang w:eastAsia="zh-CN"/>
              </w:rPr>
              <w:t>区</w:t>
            </w:r>
            <w:r>
              <w:rPr>
                <w:color w:val="auto"/>
                <w:sz w:val="21"/>
                <w:szCs w:val="21"/>
              </w:rPr>
              <w:t>文化旅游委、</w:t>
            </w:r>
            <w:r>
              <w:rPr>
                <w:rFonts w:hint="eastAsia"/>
                <w:color w:val="auto"/>
                <w:sz w:val="21"/>
                <w:szCs w:val="21"/>
                <w:lang w:eastAsia="zh-CN"/>
              </w:rPr>
              <w:t>区</w:t>
            </w:r>
            <w:r>
              <w:rPr>
                <w:color w:val="auto"/>
                <w:sz w:val="21"/>
                <w:szCs w:val="21"/>
              </w:rPr>
              <w:t>交通局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color w:val="auto"/>
                <w:sz w:val="21"/>
                <w:szCs w:val="21"/>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6</w:t>
            </w:r>
            <w:r>
              <w:rPr>
                <w:rFonts w:hint="eastAsia"/>
                <w:color w:val="auto"/>
                <w:sz w:val="21"/>
                <w:szCs w:val="21"/>
                <w:lang w:val="en-US" w:eastAsia="zh-CN"/>
              </w:rPr>
              <w:t>．</w:t>
            </w:r>
            <w:r>
              <w:rPr>
                <w:color w:val="auto"/>
                <w:sz w:val="21"/>
                <w:szCs w:val="21"/>
              </w:rPr>
              <w:t>依托现有政民互动渠道，建立市场主体反映投资和工程建设项目审批问题的办理和反馈机制，及时回应和解决</w:t>
            </w:r>
            <w:r>
              <w:rPr>
                <w:rFonts w:hint="eastAsia" w:ascii="方正仿宋_GBK" w:hAnsi="方正仿宋_GBK" w:eastAsia="方正仿宋_GBK" w:cs="方正仿宋_GBK"/>
                <w:color w:val="auto"/>
                <w:sz w:val="21"/>
                <w:szCs w:val="21"/>
              </w:rPr>
              <w:t>“堵点”</w:t>
            </w:r>
            <w:r>
              <w:rPr>
                <w:color w:val="auto"/>
                <w:sz w:val="21"/>
                <w:szCs w:val="21"/>
              </w:rPr>
              <w:t>问题，优化投资和建设环境。</w:t>
            </w:r>
          </w:p>
        </w:tc>
        <w:tc>
          <w:tcPr>
            <w:tcW w:w="1488"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jc w:val="center"/>
              <w:rPr>
                <w:color w:val="auto"/>
                <w:sz w:val="21"/>
                <w:szCs w:val="21"/>
              </w:rPr>
            </w:pPr>
            <w:r>
              <w:rPr>
                <w:rFonts w:hint="eastAsia"/>
                <w:color w:val="auto"/>
                <w:sz w:val="21"/>
                <w:szCs w:val="21"/>
                <w:lang w:eastAsia="zh-CN"/>
              </w:rPr>
              <w:t>区</w:t>
            </w:r>
            <w:r>
              <w:rPr>
                <w:color w:val="auto"/>
                <w:sz w:val="21"/>
                <w:szCs w:val="21"/>
              </w:rPr>
              <w:t>发展改革委、</w:t>
            </w:r>
            <w:r>
              <w:rPr>
                <w:rFonts w:hint="eastAsia"/>
                <w:color w:val="auto"/>
                <w:sz w:val="21"/>
                <w:szCs w:val="21"/>
                <w:lang w:eastAsia="zh-CN"/>
              </w:rPr>
              <w:t>区</w:t>
            </w:r>
            <w:r>
              <w:rPr>
                <w:color w:val="auto"/>
                <w:sz w:val="21"/>
                <w:szCs w:val="21"/>
              </w:rPr>
              <w:t>住房城乡建委</w:t>
            </w:r>
          </w:p>
        </w:tc>
        <w:tc>
          <w:tcPr>
            <w:tcW w:w="1710"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jc w:val="center"/>
              <w:rPr>
                <w:color w:val="auto"/>
                <w:sz w:val="21"/>
                <w:szCs w:val="21"/>
              </w:rPr>
            </w:pPr>
            <w:r>
              <w:rPr>
                <w:rFonts w:hint="eastAsia"/>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color w:val="auto"/>
                <w:sz w:val="21"/>
                <w:szCs w:val="21"/>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9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7</w:t>
            </w:r>
            <w:r>
              <w:rPr>
                <w:rFonts w:hint="eastAsia"/>
                <w:color w:val="auto"/>
                <w:sz w:val="21"/>
                <w:szCs w:val="21"/>
                <w:lang w:val="en-US" w:eastAsia="zh-CN"/>
              </w:rPr>
              <w:t>．</w:t>
            </w:r>
            <w:r>
              <w:rPr>
                <w:color w:val="auto"/>
                <w:sz w:val="21"/>
                <w:szCs w:val="21"/>
              </w:rPr>
              <w:t>公开修订后的《重庆市反不正当竞争条例》以及反垄断和反不正当竞争政策性文件</w:t>
            </w:r>
            <w:r>
              <w:rPr>
                <w:rFonts w:hint="eastAsia"/>
                <w:color w:val="auto"/>
                <w:sz w:val="21"/>
                <w:szCs w:val="21"/>
                <w:lang w:eastAsia="zh-CN"/>
              </w:rPr>
              <w:t>、公开不正当</w:t>
            </w:r>
            <w:r>
              <w:rPr>
                <w:color w:val="auto"/>
                <w:sz w:val="21"/>
                <w:szCs w:val="21"/>
              </w:rPr>
              <w:t>竞争行为的查处情况，为各类市场主体规范健康发展营造诚信守法、公平竞争的市场环境</w:t>
            </w:r>
            <w:r>
              <w:rPr>
                <w:rFonts w:hint="eastAsia"/>
                <w:color w:val="auto"/>
                <w:sz w:val="21"/>
                <w:szCs w:val="21"/>
                <w:lang w:eastAsia="zh-CN"/>
              </w:rPr>
              <w:t>。</w:t>
            </w:r>
          </w:p>
        </w:tc>
        <w:tc>
          <w:tcPr>
            <w:tcW w:w="1488"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jc w:val="center"/>
              <w:rPr>
                <w:color w:val="auto"/>
                <w:sz w:val="21"/>
                <w:szCs w:val="21"/>
              </w:rPr>
            </w:pPr>
            <w:r>
              <w:rPr>
                <w:rFonts w:hint="eastAsia"/>
                <w:color w:val="auto"/>
                <w:sz w:val="21"/>
                <w:szCs w:val="21"/>
                <w:lang w:eastAsia="zh-CN"/>
              </w:rPr>
              <w:t>区</w:t>
            </w:r>
            <w:r>
              <w:rPr>
                <w:color w:val="auto"/>
                <w:sz w:val="21"/>
                <w:szCs w:val="21"/>
              </w:rPr>
              <w:t>市场监管局</w:t>
            </w:r>
          </w:p>
        </w:tc>
        <w:tc>
          <w:tcPr>
            <w:tcW w:w="1710"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jc w:val="center"/>
              <w:rPr>
                <w:color w:val="auto"/>
                <w:sz w:val="21"/>
                <w:szCs w:val="21"/>
              </w:rPr>
            </w:pPr>
            <w:r>
              <w:rPr>
                <w:rFonts w:hint="eastAsia"/>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restart"/>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rPr>
                <w:color w:val="auto"/>
                <w:sz w:val="21"/>
                <w:szCs w:val="21"/>
              </w:rPr>
            </w:pPr>
            <w:r>
              <w:rPr>
                <w:color w:val="auto"/>
                <w:sz w:val="21"/>
                <w:szCs w:val="21"/>
              </w:rPr>
              <w:t>（二）加强涉及减税降费的信息公开。</w:t>
            </w: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9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8</w:t>
            </w:r>
            <w:r>
              <w:rPr>
                <w:rFonts w:hint="eastAsia"/>
                <w:color w:val="auto"/>
                <w:sz w:val="21"/>
                <w:szCs w:val="21"/>
                <w:lang w:val="en-US" w:eastAsia="zh-CN"/>
              </w:rPr>
              <w:t>．</w:t>
            </w:r>
            <w:r>
              <w:rPr>
                <w:color w:val="auto"/>
                <w:spacing w:val="-3"/>
                <w:sz w:val="21"/>
                <w:szCs w:val="21"/>
              </w:rPr>
              <w:t>在区政府门户网站首页设置</w:t>
            </w:r>
            <w:r>
              <w:rPr>
                <w:rFonts w:hint="eastAsia" w:ascii="方正仿宋_GBK" w:hAnsi="方正仿宋_GBK" w:eastAsia="方正仿宋_GBK" w:cs="方正仿宋_GBK"/>
                <w:color w:val="auto"/>
                <w:spacing w:val="-3"/>
                <w:sz w:val="21"/>
                <w:szCs w:val="21"/>
              </w:rPr>
              <w:t>“减税降费”</w:t>
            </w:r>
            <w:r>
              <w:rPr>
                <w:color w:val="auto"/>
                <w:spacing w:val="-3"/>
                <w:sz w:val="21"/>
                <w:szCs w:val="21"/>
              </w:rPr>
              <w:t>栏目，</w:t>
            </w:r>
            <w:r>
              <w:rPr>
                <w:rFonts w:hint="eastAsia"/>
                <w:color w:val="auto"/>
                <w:spacing w:val="-3"/>
                <w:sz w:val="21"/>
                <w:szCs w:val="21"/>
                <w:lang w:eastAsia="zh-CN"/>
              </w:rPr>
              <w:t>通过</w:t>
            </w:r>
            <w:r>
              <w:rPr>
                <w:color w:val="auto"/>
                <w:spacing w:val="-3"/>
                <w:sz w:val="21"/>
                <w:szCs w:val="21"/>
              </w:rPr>
              <w:t>链接重庆市税务局网站</w:t>
            </w:r>
            <w:r>
              <w:rPr>
                <w:rFonts w:hint="eastAsia" w:ascii="方正仿宋_GBK" w:hAnsi="方正仿宋_GBK" w:eastAsia="方正仿宋_GBK" w:cs="方正仿宋_GBK"/>
                <w:color w:val="auto"/>
                <w:spacing w:val="-3"/>
                <w:sz w:val="21"/>
                <w:szCs w:val="21"/>
              </w:rPr>
              <w:t>“组合式税费支持政策”</w:t>
            </w:r>
            <w:r>
              <w:rPr>
                <w:color w:val="auto"/>
                <w:spacing w:val="-3"/>
                <w:sz w:val="21"/>
                <w:szCs w:val="21"/>
              </w:rPr>
              <w:t>等栏目，加强减税降费信息公开。</w:t>
            </w:r>
          </w:p>
        </w:tc>
        <w:tc>
          <w:tcPr>
            <w:tcW w:w="1488"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jc w:val="center"/>
              <w:rPr>
                <w:color w:val="auto"/>
                <w:sz w:val="21"/>
                <w:szCs w:val="21"/>
              </w:rPr>
            </w:pPr>
            <w:r>
              <w:rPr>
                <w:rFonts w:hint="eastAsia"/>
                <w:color w:val="auto"/>
                <w:sz w:val="21"/>
                <w:szCs w:val="21"/>
                <w:lang w:eastAsia="zh-CN"/>
              </w:rPr>
              <w:t>区行政服务中心</w:t>
            </w:r>
          </w:p>
        </w:tc>
        <w:tc>
          <w:tcPr>
            <w:tcW w:w="1710"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jc w:val="center"/>
              <w:rPr>
                <w:rFonts w:hint="eastAsia" w:eastAsia="方正仿宋_GBK"/>
                <w:color w:val="auto"/>
                <w:sz w:val="21"/>
                <w:szCs w:val="21"/>
                <w:lang w:eastAsia="zh-CN"/>
              </w:rPr>
            </w:pPr>
            <w:r>
              <w:rPr>
                <w:rFonts w:hint="eastAsia"/>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color w:val="auto"/>
                <w:sz w:val="21"/>
                <w:szCs w:val="21"/>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90" w:lineRule="exact"/>
              <w:ind w:firstLine="0" w:firstLineChars="0"/>
              <w:textAlignment w:val="auto"/>
              <w:rPr>
                <w:color w:val="auto"/>
                <w:sz w:val="21"/>
                <w:szCs w:val="21"/>
              </w:rPr>
            </w:pPr>
            <w:r>
              <w:rPr>
                <w:rFonts w:hint="eastAsia" w:ascii="Times New Roman" w:hAnsi="Times New Roman"/>
                <w:color w:val="auto"/>
                <w:spacing w:val="-3"/>
                <w:sz w:val="21"/>
                <w:szCs w:val="21"/>
                <w:lang w:val="en-US" w:eastAsia="zh-CN"/>
              </w:rPr>
              <w:t>9</w:t>
            </w:r>
            <w:r>
              <w:rPr>
                <w:rFonts w:hint="eastAsia"/>
                <w:color w:val="auto"/>
                <w:spacing w:val="-3"/>
                <w:sz w:val="21"/>
                <w:szCs w:val="21"/>
                <w:lang w:val="en-US" w:eastAsia="zh-CN"/>
              </w:rPr>
              <w:t>．</w:t>
            </w:r>
            <w:r>
              <w:rPr>
                <w:color w:val="auto"/>
                <w:sz w:val="21"/>
                <w:szCs w:val="21"/>
              </w:rPr>
              <w:t>公开</w:t>
            </w:r>
            <w:r>
              <w:rPr>
                <w:rFonts w:ascii="Times New Roman" w:hAnsi="Times New Roman"/>
                <w:color w:val="auto"/>
                <w:sz w:val="21"/>
                <w:szCs w:val="21"/>
              </w:rPr>
              <w:t>2022</w:t>
            </w:r>
            <w:r>
              <w:rPr>
                <w:rFonts w:ascii="方正书宋_GBK" w:hAnsi="方正书宋_GBK"/>
                <w:color w:val="auto"/>
                <w:sz w:val="21"/>
                <w:szCs w:val="21"/>
              </w:rPr>
              <w:t>年度税费政策优惠指南。</w:t>
            </w:r>
          </w:p>
        </w:tc>
        <w:tc>
          <w:tcPr>
            <w:tcW w:w="1488"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eastAsia="方正仿宋_GBK"/>
                <w:color w:val="auto"/>
                <w:sz w:val="21"/>
                <w:szCs w:val="21"/>
                <w:lang w:eastAsia="zh-CN"/>
              </w:rPr>
            </w:pPr>
            <w:r>
              <w:rPr>
                <w:rFonts w:hint="eastAsia"/>
                <w:color w:val="auto"/>
                <w:sz w:val="21"/>
                <w:szCs w:val="21"/>
                <w:lang w:eastAsia="zh-CN"/>
              </w:rPr>
              <w:t>区</w:t>
            </w:r>
            <w:r>
              <w:rPr>
                <w:color w:val="auto"/>
                <w:sz w:val="21"/>
                <w:szCs w:val="21"/>
              </w:rPr>
              <w:t>财政局</w:t>
            </w:r>
          </w:p>
        </w:tc>
        <w:tc>
          <w:tcPr>
            <w:tcW w:w="1710"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jc w:val="center"/>
              <w:rPr>
                <w:rFonts w:hint="eastAsia" w:eastAsia="方正仿宋_GBK"/>
                <w:color w:val="auto"/>
                <w:sz w:val="21"/>
                <w:szCs w:val="21"/>
                <w:lang w:eastAsia="zh-CN"/>
              </w:rPr>
            </w:pPr>
            <w:r>
              <w:rPr>
                <w:rFonts w:hint="eastAsia"/>
                <w:color w:val="auto"/>
                <w:sz w:val="21"/>
                <w:szCs w:val="21"/>
                <w:lang w:eastAsia="zh-CN"/>
              </w:rPr>
              <w:t>黔江区税务局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wAfter w:w="0" w:type="auto"/>
          <w:trHeight w:val="946"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restart"/>
            <w:tcBorders>
              <w:top w:val="single" w:color="auto" w:sz="2" w:space="0"/>
              <w:left w:val="single" w:color="auto" w:sz="2" w:space="0"/>
              <w:right w:val="single" w:color="auto" w:sz="2" w:space="0"/>
            </w:tcBorders>
            <w:tcMar>
              <w:top w:w="57" w:type="dxa"/>
              <w:left w:w="85" w:type="dxa"/>
              <w:bottom w:w="57" w:type="dxa"/>
              <w:right w:w="85" w:type="dxa"/>
            </w:tcMar>
            <w:vAlign w:val="center"/>
          </w:tcPr>
          <w:p>
            <w:pPr>
              <w:rPr>
                <w:color w:val="auto"/>
                <w:sz w:val="21"/>
                <w:szCs w:val="21"/>
              </w:rPr>
            </w:pPr>
            <w:r>
              <w:rPr>
                <w:color w:val="auto"/>
                <w:sz w:val="21"/>
                <w:szCs w:val="21"/>
              </w:rPr>
              <w:t>（三）加强涉及扩大有效投资的信息公开。</w:t>
            </w: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lang w:val="en-US" w:eastAsia="zh-CN"/>
              </w:rPr>
              <w:t>0</w:t>
            </w:r>
            <w:r>
              <w:rPr>
                <w:rFonts w:ascii="方正书宋_GBK" w:hAnsi="方正书宋_GBK"/>
                <w:color w:val="auto"/>
                <w:sz w:val="21"/>
                <w:szCs w:val="21"/>
              </w:rPr>
              <w:t>．</w:t>
            </w:r>
            <w:r>
              <w:rPr>
                <w:color w:val="auto"/>
                <w:sz w:val="21"/>
                <w:szCs w:val="21"/>
              </w:rPr>
              <w:t>认真贯彻落实中央经济工作会议精神和《政府工作报告》要求，依法依规公开扩大有效投资相关规划。</w:t>
            </w:r>
          </w:p>
        </w:tc>
        <w:tc>
          <w:tcPr>
            <w:tcW w:w="1488" w:type="dxa"/>
            <w:tcBorders>
              <w:top w:val="single" w:color="auto" w:sz="2" w:space="0"/>
              <w:left w:val="single" w:color="auto" w:sz="2" w:space="0"/>
              <w:right w:val="single" w:color="auto" w:sz="2" w:space="0"/>
            </w:tcBorders>
            <w:tcMar>
              <w:top w:w="57" w:type="dxa"/>
              <w:left w:w="85" w:type="dxa"/>
              <w:bottom w:w="57" w:type="dxa"/>
              <w:right w:w="85" w:type="dxa"/>
            </w:tcMar>
            <w:vAlign w:val="center"/>
          </w:tcPr>
          <w:p>
            <w:pPr>
              <w:jc w:val="center"/>
              <w:rPr>
                <w:color w:val="auto"/>
                <w:sz w:val="21"/>
                <w:szCs w:val="21"/>
              </w:rPr>
            </w:pPr>
            <w:r>
              <w:rPr>
                <w:rFonts w:hint="eastAsia"/>
                <w:color w:val="auto"/>
                <w:sz w:val="21"/>
                <w:szCs w:val="21"/>
                <w:lang w:eastAsia="zh-CN"/>
              </w:rPr>
              <w:t>区</w:t>
            </w:r>
            <w:r>
              <w:rPr>
                <w:color w:val="auto"/>
                <w:sz w:val="21"/>
                <w:szCs w:val="21"/>
              </w:rPr>
              <w:t>发展改革委</w:t>
            </w:r>
          </w:p>
        </w:tc>
        <w:tc>
          <w:tcPr>
            <w:tcW w:w="1710" w:type="dxa"/>
            <w:tcBorders>
              <w:top w:val="single" w:color="auto" w:sz="2" w:space="0"/>
              <w:left w:val="single" w:color="auto" w:sz="2" w:space="0"/>
              <w:right w:val="single" w:color="auto" w:sz="6" w:space="0"/>
            </w:tcBorders>
            <w:tcMar>
              <w:top w:w="57" w:type="dxa"/>
              <w:left w:w="85" w:type="dxa"/>
              <w:bottom w:w="57" w:type="dxa"/>
              <w:right w:w="85" w:type="dxa"/>
            </w:tcMar>
            <w:vAlign w:val="center"/>
          </w:tcPr>
          <w:p>
            <w:pPr>
              <w:jc w:val="center"/>
              <w:rPr>
                <w:color w:val="auto"/>
                <w:sz w:val="21"/>
                <w:szCs w:val="21"/>
              </w:rPr>
            </w:pPr>
            <w:r>
              <w:rPr>
                <w:rFonts w:hint="eastAsia"/>
                <w:color w:val="auto"/>
                <w:sz w:val="21"/>
                <w:szCs w:val="21"/>
                <w:lang w:eastAsia="zh-CN"/>
              </w:rPr>
              <w:t>区</w:t>
            </w:r>
            <w:r>
              <w:rPr>
                <w:color w:val="auto"/>
                <w:sz w:val="21"/>
                <w:szCs w:val="21"/>
              </w:rPr>
              <w:t>政府有关部门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wAfter w:w="0" w:type="auto"/>
          <w:trHeight w:val="790" w:hRule="atLeast"/>
          <w:jc w:val="center"/>
        </w:trPr>
        <w:tc>
          <w:tcPr>
            <w:tcW w:w="822" w:type="dxa"/>
            <w:vMerge w:val="continue"/>
            <w:tcBorders>
              <w:left w:val="single" w:color="auto" w:sz="6"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color w:val="auto"/>
              </w:rPr>
            </w:pPr>
          </w:p>
        </w:tc>
        <w:tc>
          <w:tcPr>
            <w:tcW w:w="1325" w:type="dxa"/>
            <w:vMerge w:val="continue"/>
            <w:tcBorders>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color w:val="auto"/>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11</w:t>
            </w:r>
            <w:r>
              <w:rPr>
                <w:rFonts w:ascii="方正书宋_GBK" w:hAnsi="方正书宋_GBK"/>
                <w:color w:val="auto"/>
                <w:sz w:val="21"/>
                <w:szCs w:val="21"/>
              </w:rPr>
              <w:t>．</w:t>
            </w:r>
            <w:r>
              <w:rPr>
                <w:color w:val="auto"/>
                <w:sz w:val="21"/>
                <w:szCs w:val="21"/>
              </w:rPr>
              <w:t>公开</w:t>
            </w:r>
            <w:r>
              <w:rPr>
                <w:rFonts w:ascii="Times New Roman" w:hAnsi="Times New Roman"/>
                <w:color w:val="auto"/>
                <w:sz w:val="21"/>
                <w:szCs w:val="21"/>
              </w:rPr>
              <w:t>2022</w:t>
            </w:r>
            <w:r>
              <w:rPr>
                <w:rFonts w:ascii="方正书宋_GBK" w:hAnsi="方正书宋_GBK"/>
                <w:color w:val="auto"/>
                <w:sz w:val="21"/>
                <w:szCs w:val="21"/>
              </w:rPr>
              <w:t>年度重大建设项目清单及实施情况，积极引导市场预期。</w:t>
            </w:r>
          </w:p>
        </w:tc>
        <w:tc>
          <w:tcPr>
            <w:tcW w:w="1488" w:type="dxa"/>
            <w:tcBorders>
              <w:left w:val="single" w:color="auto" w:sz="2" w:space="0"/>
              <w:bottom w:val="single" w:color="auto" w:sz="2" w:space="0"/>
              <w:right w:val="single" w:color="auto" w:sz="2" w:space="0"/>
            </w:tcBorders>
            <w:tcMar>
              <w:top w:w="57" w:type="dxa"/>
              <w:left w:w="85" w:type="dxa"/>
              <w:bottom w:w="57" w:type="dxa"/>
              <w:right w:w="85" w:type="dxa"/>
            </w:tcMar>
            <w:vAlign w:val="center"/>
          </w:tcPr>
          <w:p>
            <w:pPr>
              <w:jc w:val="center"/>
              <w:rPr>
                <w:color w:val="auto"/>
                <w:sz w:val="21"/>
                <w:szCs w:val="21"/>
              </w:rPr>
            </w:pPr>
            <w:r>
              <w:rPr>
                <w:rFonts w:hint="eastAsia"/>
                <w:color w:val="auto"/>
                <w:sz w:val="21"/>
                <w:szCs w:val="21"/>
                <w:lang w:eastAsia="zh-CN"/>
              </w:rPr>
              <w:t>区</w:t>
            </w:r>
            <w:r>
              <w:rPr>
                <w:color w:val="auto"/>
                <w:sz w:val="21"/>
                <w:szCs w:val="21"/>
              </w:rPr>
              <w:t>发展改革委</w:t>
            </w:r>
          </w:p>
        </w:tc>
        <w:tc>
          <w:tcPr>
            <w:tcW w:w="1710" w:type="dxa"/>
            <w:tcBorders>
              <w:left w:val="single" w:color="auto" w:sz="2" w:space="0"/>
              <w:bottom w:val="single" w:color="auto" w:sz="2" w:space="0"/>
              <w:right w:val="single" w:color="auto" w:sz="6" w:space="0"/>
            </w:tcBorders>
            <w:tcMar>
              <w:top w:w="57" w:type="dxa"/>
              <w:left w:w="85" w:type="dxa"/>
              <w:bottom w:w="57" w:type="dxa"/>
              <w:right w:w="85" w:type="dxa"/>
            </w:tcMar>
            <w:vAlign w:val="center"/>
          </w:tcPr>
          <w:p>
            <w:pPr>
              <w:jc w:val="center"/>
              <w:rPr>
                <w:color w:val="auto"/>
                <w:sz w:val="21"/>
                <w:szCs w:val="21"/>
              </w:rPr>
            </w:pPr>
            <w:r>
              <w:rPr>
                <w:rFonts w:hint="eastAsia"/>
                <w:color w:val="auto"/>
                <w:sz w:val="21"/>
                <w:szCs w:val="21"/>
                <w:lang w:eastAsia="zh-CN"/>
              </w:rPr>
              <w:t>区</w:t>
            </w:r>
            <w:r>
              <w:rPr>
                <w:color w:val="auto"/>
                <w:sz w:val="21"/>
                <w:szCs w:val="21"/>
              </w:rPr>
              <w:t>政府有关部门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69" w:hRule="atLeast"/>
          <w:jc w:val="center"/>
        </w:trPr>
        <w:tc>
          <w:tcPr>
            <w:tcW w:w="822" w:type="dxa"/>
            <w:vMerge w:val="restart"/>
            <w:tcBorders>
              <w:top w:val="single" w:color="auto" w:sz="2" w:space="0"/>
              <w:left w:val="single" w:color="auto" w:sz="6" w:space="0"/>
              <w:right w:val="single" w:color="auto" w:sz="2" w:space="0"/>
            </w:tcBorders>
            <w:tcMar>
              <w:top w:w="57" w:type="dxa"/>
              <w:left w:w="85" w:type="dxa"/>
              <w:bottom w:w="57" w:type="dxa"/>
              <w:right w:w="85" w:type="dxa"/>
            </w:tcMar>
            <w:vAlign w:val="center"/>
          </w:tcPr>
          <w:p>
            <w:pPr>
              <w:rPr>
                <w:color w:val="auto"/>
                <w:sz w:val="21"/>
                <w:szCs w:val="21"/>
              </w:rPr>
            </w:pPr>
            <w:r>
              <w:rPr>
                <w:color w:val="auto"/>
                <w:sz w:val="21"/>
                <w:szCs w:val="21"/>
              </w:rPr>
              <w:t>二、以公开助力保持社会和谐稳定</w:t>
            </w:r>
          </w:p>
        </w:tc>
        <w:tc>
          <w:tcPr>
            <w:tcW w:w="1325" w:type="dxa"/>
            <w:vMerge w:val="restart"/>
            <w:tcBorders>
              <w:top w:val="single" w:color="auto" w:sz="2" w:space="0"/>
              <w:left w:val="single" w:color="auto" w:sz="2" w:space="0"/>
              <w:right w:val="single" w:color="auto" w:sz="2" w:space="0"/>
            </w:tcBorders>
            <w:tcMar>
              <w:top w:w="57" w:type="dxa"/>
              <w:left w:w="85" w:type="dxa"/>
              <w:bottom w:w="57" w:type="dxa"/>
              <w:right w:w="85" w:type="dxa"/>
            </w:tcMar>
            <w:vAlign w:val="center"/>
          </w:tcPr>
          <w:p>
            <w:pPr>
              <w:rPr>
                <w:color w:val="auto"/>
                <w:sz w:val="21"/>
                <w:szCs w:val="21"/>
              </w:rPr>
            </w:pPr>
            <w:r>
              <w:rPr>
                <w:color w:val="auto"/>
                <w:sz w:val="21"/>
                <w:szCs w:val="21"/>
              </w:rPr>
              <w:t>（四）持续做好疫情防控信息公开。</w:t>
            </w: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lang w:val="en-US" w:eastAsia="zh-CN"/>
              </w:rPr>
              <w:t>2</w:t>
            </w:r>
            <w:r>
              <w:rPr>
                <w:rFonts w:ascii="方正书宋_GBK" w:hAnsi="方正书宋_GBK"/>
                <w:color w:val="auto"/>
                <w:sz w:val="21"/>
                <w:szCs w:val="21"/>
              </w:rPr>
              <w:t>．严格执行疫情防控信息发布各项制度，统筹用好政府网站、政务新媒体、新闻媒体等各类信息发布平台，动态更新每日疫情通报、防控动态、防控政策、核酸检测机构、发热门诊、疫苗接种点等疫情防控信息，及时充分回应社会关切，防止引发疑虑和不实炒作。</w:t>
            </w:r>
          </w:p>
        </w:tc>
        <w:tc>
          <w:tcPr>
            <w:tcW w:w="1488" w:type="dxa"/>
            <w:tcBorders>
              <w:top w:val="single" w:color="auto" w:sz="2" w:space="0"/>
              <w:left w:val="single" w:color="auto" w:sz="2" w:space="0"/>
              <w:right w:val="single" w:color="auto" w:sz="2" w:space="0"/>
            </w:tcBorders>
            <w:tcMar>
              <w:top w:w="57" w:type="dxa"/>
              <w:left w:w="85" w:type="dxa"/>
              <w:bottom w:w="57" w:type="dxa"/>
              <w:right w:w="85" w:type="dxa"/>
            </w:tcMar>
            <w:vAlign w:val="center"/>
          </w:tcPr>
          <w:p>
            <w:pPr>
              <w:jc w:val="center"/>
              <w:rPr>
                <w:color w:val="auto"/>
                <w:sz w:val="21"/>
                <w:szCs w:val="21"/>
              </w:rPr>
            </w:pPr>
            <w:r>
              <w:rPr>
                <w:rFonts w:hint="eastAsia"/>
                <w:color w:val="auto"/>
                <w:sz w:val="21"/>
                <w:szCs w:val="21"/>
                <w:lang w:eastAsia="zh-CN"/>
              </w:rPr>
              <w:t>区</w:t>
            </w:r>
            <w:r>
              <w:rPr>
                <w:color w:val="auto"/>
                <w:sz w:val="21"/>
                <w:szCs w:val="21"/>
              </w:rPr>
              <w:t>卫生健康委、</w:t>
            </w:r>
            <w:r>
              <w:rPr>
                <w:rFonts w:hint="eastAsia"/>
                <w:color w:val="auto"/>
                <w:sz w:val="21"/>
                <w:szCs w:val="21"/>
                <w:lang w:eastAsia="zh-CN"/>
              </w:rPr>
              <w:t>区</w:t>
            </w:r>
            <w:r>
              <w:rPr>
                <w:color w:val="auto"/>
                <w:sz w:val="21"/>
                <w:szCs w:val="21"/>
              </w:rPr>
              <w:t>政府新闻办</w:t>
            </w:r>
          </w:p>
        </w:tc>
        <w:tc>
          <w:tcPr>
            <w:tcW w:w="1710" w:type="dxa"/>
            <w:tcBorders>
              <w:top w:val="single" w:color="auto" w:sz="2" w:space="0"/>
              <w:left w:val="single" w:color="auto" w:sz="2" w:space="0"/>
              <w:right w:val="single" w:color="auto" w:sz="6" w:space="0"/>
            </w:tcBorders>
            <w:tcMar>
              <w:top w:w="57" w:type="dxa"/>
              <w:left w:w="85" w:type="dxa"/>
              <w:bottom w:w="57" w:type="dxa"/>
              <w:right w:w="85" w:type="dxa"/>
            </w:tcMar>
            <w:vAlign w:val="center"/>
          </w:tcPr>
          <w:p>
            <w:pPr>
              <w:jc w:val="center"/>
              <w:rPr>
                <w:color w:val="auto"/>
                <w:sz w:val="21"/>
                <w:szCs w:val="21"/>
              </w:rPr>
            </w:pPr>
            <w:r>
              <w:rPr>
                <w:rFonts w:hint="eastAsia"/>
                <w:color w:val="auto"/>
                <w:sz w:val="21"/>
                <w:szCs w:val="21"/>
                <w:lang w:eastAsia="zh-CN"/>
              </w:rPr>
              <w:t>区</w:t>
            </w:r>
            <w:r>
              <w:rPr>
                <w:color w:val="auto"/>
                <w:sz w:val="21"/>
                <w:szCs w:val="21"/>
              </w:rPr>
              <w:t>疫情防控工作领导小组成员单位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69" w:hRule="atLeast"/>
          <w:jc w:val="center"/>
        </w:trPr>
        <w:tc>
          <w:tcPr>
            <w:tcW w:w="822" w:type="dxa"/>
            <w:vMerge w:val="continue"/>
            <w:tcBorders>
              <w:left w:val="single" w:color="auto" w:sz="6"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color w:val="auto"/>
              </w:rPr>
            </w:pPr>
          </w:p>
        </w:tc>
        <w:tc>
          <w:tcPr>
            <w:tcW w:w="1325" w:type="dxa"/>
            <w:vMerge w:val="continue"/>
            <w:tcBorders>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color w:val="auto"/>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rFonts w:hint="eastAsia"/>
                <w:color w:val="auto"/>
                <w:sz w:val="21"/>
                <w:szCs w:val="21"/>
                <w:lang w:val="en-US" w:eastAsia="zh-CN"/>
              </w:rPr>
            </w:pPr>
            <w:r>
              <w:rPr>
                <w:rFonts w:hint="eastAsia" w:ascii="Times New Roman" w:hAnsi="Times New Roman"/>
                <w:color w:val="auto"/>
                <w:sz w:val="21"/>
                <w:szCs w:val="21"/>
                <w:lang w:val="en-US" w:eastAsia="zh-CN"/>
              </w:rPr>
              <w:t>13</w:t>
            </w:r>
            <w:r>
              <w:rPr>
                <w:rFonts w:ascii="方正书宋_GBK" w:hAnsi="方正书宋_GBK"/>
                <w:color w:val="auto"/>
                <w:sz w:val="21"/>
                <w:szCs w:val="21"/>
              </w:rPr>
              <w:t>．加强疫情防控信息发布工作协调，行政机关向社会公开发布的信息，要与上级单位对下级单位下达的工作指令保持一致，增强多方协同合力。</w:t>
            </w:r>
          </w:p>
        </w:tc>
        <w:tc>
          <w:tcPr>
            <w:tcW w:w="1488" w:type="dxa"/>
            <w:tcBorders>
              <w:left w:val="single" w:color="auto" w:sz="2" w:space="0"/>
              <w:right w:val="single" w:color="auto" w:sz="2" w:space="0"/>
            </w:tcBorders>
            <w:tcMar>
              <w:top w:w="57" w:type="dxa"/>
              <w:left w:w="85" w:type="dxa"/>
              <w:bottom w:w="57" w:type="dxa"/>
              <w:right w:w="85" w:type="dxa"/>
            </w:tcMar>
            <w:vAlign w:val="center"/>
          </w:tcPr>
          <w:p>
            <w:pPr>
              <w:jc w:val="center"/>
              <w:rPr>
                <w:rFonts w:hint="eastAsia"/>
                <w:color w:val="auto"/>
                <w:sz w:val="21"/>
                <w:szCs w:val="21"/>
                <w:lang w:val="en-US" w:eastAsia="zh-CN"/>
              </w:rPr>
            </w:pPr>
            <w:r>
              <w:rPr>
                <w:rFonts w:hint="eastAsia"/>
                <w:color w:val="auto"/>
                <w:sz w:val="21"/>
                <w:szCs w:val="21"/>
                <w:lang w:eastAsia="zh-CN"/>
              </w:rPr>
              <w:t>区</w:t>
            </w:r>
            <w:r>
              <w:rPr>
                <w:color w:val="auto"/>
                <w:sz w:val="21"/>
                <w:szCs w:val="21"/>
              </w:rPr>
              <w:t>卫生健康委、</w:t>
            </w:r>
            <w:r>
              <w:rPr>
                <w:rFonts w:hint="eastAsia"/>
                <w:color w:val="auto"/>
                <w:sz w:val="21"/>
                <w:szCs w:val="21"/>
                <w:lang w:eastAsia="zh-CN"/>
              </w:rPr>
              <w:t>区</w:t>
            </w:r>
            <w:r>
              <w:rPr>
                <w:color w:val="auto"/>
                <w:sz w:val="21"/>
                <w:szCs w:val="21"/>
              </w:rPr>
              <w:t>政府新闻办</w:t>
            </w:r>
          </w:p>
        </w:tc>
        <w:tc>
          <w:tcPr>
            <w:tcW w:w="1710" w:type="dxa"/>
            <w:tcBorders>
              <w:left w:val="single" w:color="auto" w:sz="2" w:space="0"/>
              <w:right w:val="single" w:color="auto" w:sz="6" w:space="0"/>
            </w:tcBorders>
            <w:tcMar>
              <w:top w:w="57" w:type="dxa"/>
              <w:left w:w="85" w:type="dxa"/>
              <w:bottom w:w="57" w:type="dxa"/>
              <w:right w:w="85" w:type="dxa"/>
            </w:tcMar>
            <w:vAlign w:val="center"/>
          </w:tcPr>
          <w:p>
            <w:pPr>
              <w:jc w:val="center"/>
              <w:rPr>
                <w:rFonts w:hint="eastAsia"/>
                <w:color w:val="auto"/>
                <w:sz w:val="21"/>
                <w:szCs w:val="21"/>
                <w:lang w:val="en-US" w:eastAsia="zh-CN"/>
              </w:rPr>
            </w:pPr>
            <w:r>
              <w:rPr>
                <w:rFonts w:hint="eastAsia"/>
                <w:color w:val="auto"/>
                <w:sz w:val="21"/>
                <w:szCs w:val="21"/>
                <w:lang w:eastAsia="zh-CN"/>
              </w:rPr>
              <w:t>区</w:t>
            </w:r>
            <w:r>
              <w:rPr>
                <w:color w:val="auto"/>
                <w:sz w:val="21"/>
                <w:szCs w:val="21"/>
              </w:rPr>
              <w:t>疫情防控工作领导小组成员单位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309" w:hRule="atLeast"/>
          <w:jc w:val="center"/>
        </w:trPr>
        <w:tc>
          <w:tcPr>
            <w:tcW w:w="822" w:type="dxa"/>
            <w:vMerge w:val="continue"/>
            <w:tcBorders>
              <w:left w:val="single" w:color="auto" w:sz="6"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rFonts w:hint="eastAsia"/>
                <w:color w:val="auto"/>
                <w:sz w:val="21"/>
                <w:szCs w:val="21"/>
                <w:lang w:val="en-US" w:eastAsia="zh-CN"/>
              </w:rPr>
            </w:pPr>
          </w:p>
        </w:tc>
        <w:tc>
          <w:tcPr>
            <w:tcW w:w="1325" w:type="dxa"/>
            <w:vMerge w:val="continue"/>
            <w:tcBorders>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rFonts w:hint="eastAsia"/>
                <w:color w:val="auto"/>
                <w:sz w:val="21"/>
                <w:szCs w:val="21"/>
                <w:lang w:val="en-US" w:eastAsia="zh-CN"/>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rFonts w:hint="eastAsia"/>
                <w:color w:val="auto"/>
                <w:sz w:val="21"/>
                <w:szCs w:val="21"/>
                <w:lang w:val="en-US" w:eastAsia="zh-CN"/>
              </w:rPr>
            </w:pPr>
            <w:r>
              <w:rPr>
                <w:rFonts w:hint="eastAsia" w:ascii="Times New Roman" w:hAnsi="Times New Roman"/>
                <w:color w:val="auto"/>
                <w:sz w:val="21"/>
                <w:szCs w:val="21"/>
                <w:lang w:val="en-US" w:eastAsia="zh-CN"/>
              </w:rPr>
              <w:t>14</w:t>
            </w:r>
            <w:r>
              <w:rPr>
                <w:rFonts w:ascii="方正书宋_GBK" w:hAnsi="方正书宋_GBK"/>
                <w:color w:val="auto"/>
                <w:sz w:val="21"/>
                <w:szCs w:val="21"/>
              </w:rPr>
              <w:t>．把政府网站作为第一公开平台，进一步优化完善</w:t>
            </w:r>
            <w:r>
              <w:rPr>
                <w:rFonts w:hint="eastAsia" w:ascii="方正仿宋_GBK" w:hAnsi="方正仿宋_GBK" w:eastAsia="方正仿宋_GBK" w:cs="方正仿宋_GBK"/>
                <w:color w:val="auto"/>
                <w:sz w:val="21"/>
                <w:szCs w:val="21"/>
              </w:rPr>
              <w:t>“疫情防控”</w:t>
            </w:r>
            <w:r>
              <w:rPr>
                <w:rFonts w:ascii="方正书宋_GBK" w:hAnsi="方正书宋_GBK"/>
                <w:color w:val="auto"/>
                <w:sz w:val="21"/>
                <w:szCs w:val="21"/>
              </w:rPr>
              <w:t>栏目，用好权威渠道，发布权威声音，凡在其他渠道发布疫情防控信息的，要同步在政府网站发布，方便公众查阅。</w:t>
            </w:r>
          </w:p>
        </w:tc>
        <w:tc>
          <w:tcPr>
            <w:tcW w:w="1488" w:type="dxa"/>
            <w:tcBorders>
              <w:left w:val="single" w:color="auto" w:sz="2" w:space="0"/>
              <w:bottom w:val="single" w:color="auto" w:sz="2" w:space="0"/>
              <w:right w:val="single" w:color="auto" w:sz="2" w:space="0"/>
            </w:tcBorders>
            <w:tcMar>
              <w:top w:w="57" w:type="dxa"/>
              <w:left w:w="85" w:type="dxa"/>
              <w:bottom w:w="57" w:type="dxa"/>
              <w:right w:w="85" w:type="dxa"/>
            </w:tcMar>
            <w:vAlign w:val="center"/>
          </w:tcPr>
          <w:p>
            <w:pPr>
              <w:jc w:val="center"/>
              <w:rPr>
                <w:rFonts w:hint="eastAsia"/>
                <w:color w:val="auto"/>
                <w:sz w:val="21"/>
                <w:szCs w:val="21"/>
                <w:lang w:val="en-US" w:eastAsia="zh-CN"/>
              </w:rPr>
            </w:pPr>
            <w:r>
              <w:rPr>
                <w:rFonts w:hint="eastAsia"/>
                <w:color w:val="auto"/>
                <w:sz w:val="21"/>
                <w:szCs w:val="21"/>
                <w:lang w:eastAsia="zh-CN"/>
              </w:rPr>
              <w:t>区</w:t>
            </w:r>
            <w:r>
              <w:rPr>
                <w:color w:val="auto"/>
                <w:sz w:val="21"/>
                <w:szCs w:val="21"/>
              </w:rPr>
              <w:t>卫生健康委、</w:t>
            </w:r>
            <w:r>
              <w:rPr>
                <w:rFonts w:hint="eastAsia"/>
                <w:color w:val="auto"/>
                <w:sz w:val="21"/>
                <w:szCs w:val="21"/>
                <w:lang w:eastAsia="zh-CN"/>
              </w:rPr>
              <w:t>区</w:t>
            </w:r>
            <w:r>
              <w:rPr>
                <w:color w:val="auto"/>
                <w:sz w:val="21"/>
                <w:szCs w:val="21"/>
              </w:rPr>
              <w:t>政府新闻办</w:t>
            </w:r>
          </w:p>
        </w:tc>
        <w:tc>
          <w:tcPr>
            <w:tcW w:w="1710" w:type="dxa"/>
            <w:tcBorders>
              <w:left w:val="single" w:color="auto" w:sz="2" w:space="0"/>
              <w:bottom w:val="single" w:color="auto" w:sz="2" w:space="0"/>
              <w:right w:val="single" w:color="auto" w:sz="6" w:space="0"/>
            </w:tcBorders>
            <w:tcMar>
              <w:top w:w="57" w:type="dxa"/>
              <w:left w:w="85" w:type="dxa"/>
              <w:bottom w:w="57" w:type="dxa"/>
              <w:right w:w="85" w:type="dxa"/>
            </w:tcMar>
            <w:vAlign w:val="center"/>
          </w:tcPr>
          <w:p>
            <w:pPr>
              <w:jc w:val="center"/>
              <w:rPr>
                <w:rFonts w:hint="eastAsia"/>
                <w:color w:val="auto"/>
                <w:sz w:val="21"/>
                <w:szCs w:val="21"/>
                <w:lang w:val="en-US" w:eastAsia="zh-CN"/>
              </w:rPr>
            </w:pPr>
            <w:r>
              <w:rPr>
                <w:rFonts w:hint="eastAsia"/>
                <w:color w:val="auto"/>
                <w:sz w:val="21"/>
                <w:szCs w:val="21"/>
                <w:lang w:eastAsia="zh-CN"/>
              </w:rPr>
              <w:t>区</w:t>
            </w:r>
            <w:r>
              <w:rPr>
                <w:color w:val="auto"/>
                <w:sz w:val="21"/>
                <w:szCs w:val="21"/>
              </w:rPr>
              <w:t>疫情防控工作领导小组成员单位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wAfter w:w="0" w:type="auto"/>
          <w:trHeight w:val="970"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color w:val="auto"/>
                <w:sz w:val="21"/>
                <w:szCs w:val="21"/>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90" w:lineRule="exact"/>
              <w:ind w:firstLine="0" w:firstLineChars="0"/>
              <w:textAlignment w:val="auto"/>
              <w:rPr>
                <w:rFonts w:hint="eastAsia" w:eastAsia="方正仿宋_GBK"/>
                <w:color w:val="auto"/>
                <w:sz w:val="21"/>
                <w:szCs w:val="21"/>
                <w:lang w:eastAsia="zh-CN"/>
              </w:rPr>
            </w:pPr>
            <w:r>
              <w:rPr>
                <w:rFonts w:hint="eastAsia" w:ascii="Times New Roman" w:hAnsi="Times New Roman"/>
                <w:color w:val="auto"/>
                <w:sz w:val="21"/>
                <w:szCs w:val="21"/>
                <w:lang w:val="en-US" w:eastAsia="zh-CN"/>
              </w:rPr>
              <w:t>15</w:t>
            </w:r>
            <w:r>
              <w:rPr>
                <w:rFonts w:ascii="方正书宋_GBK" w:hAnsi="方正书宋_GBK"/>
                <w:color w:val="auto"/>
                <w:sz w:val="21"/>
                <w:szCs w:val="21"/>
              </w:rPr>
              <w:t>．</w:t>
            </w:r>
            <w:r>
              <w:rPr>
                <w:color w:val="auto"/>
                <w:sz w:val="21"/>
                <w:szCs w:val="21"/>
              </w:rPr>
              <w:t>按照流调信息发布规范，及时公开涉及本区的流调信息</w:t>
            </w:r>
            <w:r>
              <w:rPr>
                <w:rFonts w:hint="eastAsia"/>
                <w:color w:val="auto"/>
                <w:sz w:val="21"/>
                <w:szCs w:val="21"/>
                <w:lang w:eastAsia="zh-CN"/>
              </w:rPr>
              <w:t>，加强个人隐私，避免对当事人</w:t>
            </w:r>
            <w:r>
              <w:rPr>
                <w:color w:val="auto"/>
                <w:sz w:val="21"/>
                <w:szCs w:val="21"/>
              </w:rPr>
              <w:t>正常生活产生不当影响。</w:t>
            </w:r>
          </w:p>
        </w:tc>
        <w:tc>
          <w:tcPr>
            <w:tcW w:w="1488" w:type="dxa"/>
            <w:tcBorders>
              <w:top w:val="single" w:color="auto" w:sz="2" w:space="0"/>
              <w:left w:val="single" w:color="auto" w:sz="2" w:space="0"/>
              <w:bottom w:val="single" w:color="auto" w:sz="2" w:space="0"/>
              <w:right w:val="single" w:color="auto" w:sz="2" w:space="0"/>
            </w:tcBorders>
            <w:vAlign w:val="center"/>
          </w:tcPr>
          <w:p>
            <w:pPr>
              <w:widowControl/>
              <w:jc w:val="center"/>
              <w:rPr>
                <w:color w:val="auto"/>
                <w:sz w:val="21"/>
                <w:szCs w:val="21"/>
              </w:rPr>
            </w:pPr>
            <w:r>
              <w:rPr>
                <w:rFonts w:hint="eastAsia"/>
                <w:color w:val="auto"/>
                <w:sz w:val="21"/>
                <w:szCs w:val="21"/>
                <w:lang w:eastAsia="zh-CN"/>
              </w:rPr>
              <w:t>区</w:t>
            </w:r>
            <w:r>
              <w:rPr>
                <w:color w:val="auto"/>
                <w:sz w:val="21"/>
                <w:szCs w:val="21"/>
              </w:rPr>
              <w:t>卫生健康委</w:t>
            </w:r>
          </w:p>
        </w:tc>
        <w:tc>
          <w:tcPr>
            <w:tcW w:w="1710"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jc w:val="center"/>
              <w:rPr>
                <w:color w:val="auto"/>
                <w:sz w:val="21"/>
                <w:szCs w:val="21"/>
              </w:rPr>
            </w:pPr>
            <w:r>
              <w:rPr>
                <w:rFonts w:hint="eastAsia"/>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wAfter w:w="0" w:type="auto"/>
          <w:trHeight w:val="1442"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restart"/>
            <w:tcBorders>
              <w:top w:val="single" w:color="auto" w:sz="2" w:space="0"/>
              <w:left w:val="single" w:color="auto" w:sz="2" w:space="0"/>
              <w:right w:val="single" w:color="auto" w:sz="2" w:space="0"/>
            </w:tcBorders>
            <w:tcMar>
              <w:top w:w="57" w:type="dxa"/>
              <w:left w:w="85" w:type="dxa"/>
              <w:bottom w:w="57" w:type="dxa"/>
              <w:right w:w="85" w:type="dxa"/>
            </w:tcMar>
            <w:vAlign w:val="center"/>
          </w:tcPr>
          <w:p>
            <w:pPr>
              <w:rPr>
                <w:color w:val="auto"/>
                <w:sz w:val="21"/>
                <w:szCs w:val="21"/>
              </w:rPr>
            </w:pPr>
            <w:r>
              <w:rPr>
                <w:color w:val="auto"/>
                <w:sz w:val="21"/>
                <w:szCs w:val="21"/>
              </w:rPr>
              <w:t>（五）强化稳就业保就业信息公开。</w:t>
            </w: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lang w:val="en-US" w:eastAsia="zh-CN"/>
              </w:rPr>
              <w:t>6</w:t>
            </w:r>
            <w:r>
              <w:rPr>
                <w:color w:val="auto"/>
                <w:sz w:val="21"/>
                <w:szCs w:val="21"/>
              </w:rPr>
              <w:t>．汇总公开本级政府出台的稳就业保就业政策措施、办事指南、咨询方式等信息；动态公开技能培训政策规定、开班信息、经办流程等，让更多群众能够知悉并获得就业培训机会。</w:t>
            </w:r>
          </w:p>
        </w:tc>
        <w:tc>
          <w:tcPr>
            <w:tcW w:w="1488" w:type="dxa"/>
            <w:tcBorders>
              <w:top w:val="single" w:color="auto" w:sz="2" w:space="0"/>
              <w:left w:val="single" w:color="auto" w:sz="2" w:space="0"/>
              <w:right w:val="single" w:color="auto" w:sz="2" w:space="0"/>
            </w:tcBorders>
            <w:tcMar>
              <w:top w:w="57" w:type="dxa"/>
              <w:left w:w="85" w:type="dxa"/>
              <w:bottom w:w="57" w:type="dxa"/>
              <w:right w:w="85" w:type="dxa"/>
            </w:tcMar>
            <w:vAlign w:val="center"/>
          </w:tcPr>
          <w:p>
            <w:pPr>
              <w:jc w:val="center"/>
              <w:rPr>
                <w:color w:val="auto"/>
                <w:sz w:val="21"/>
                <w:szCs w:val="21"/>
              </w:rPr>
            </w:pPr>
            <w:r>
              <w:rPr>
                <w:rFonts w:hint="eastAsia"/>
                <w:color w:val="auto"/>
                <w:sz w:val="21"/>
                <w:szCs w:val="21"/>
                <w:lang w:eastAsia="zh-CN"/>
              </w:rPr>
              <w:t>区</w:t>
            </w:r>
            <w:r>
              <w:rPr>
                <w:color w:val="auto"/>
                <w:sz w:val="21"/>
                <w:szCs w:val="21"/>
              </w:rPr>
              <w:t>人力社保局</w:t>
            </w:r>
          </w:p>
        </w:tc>
        <w:tc>
          <w:tcPr>
            <w:tcW w:w="1710" w:type="dxa"/>
            <w:tcBorders>
              <w:top w:val="single" w:color="auto" w:sz="2" w:space="0"/>
              <w:left w:val="single" w:color="auto" w:sz="2" w:space="0"/>
              <w:right w:val="single" w:color="auto" w:sz="6" w:space="0"/>
            </w:tcBorders>
            <w:tcMar>
              <w:top w:w="57" w:type="dxa"/>
              <w:left w:w="85" w:type="dxa"/>
              <w:bottom w:w="57" w:type="dxa"/>
              <w:right w:w="85" w:type="dxa"/>
            </w:tcMar>
            <w:vAlign w:val="center"/>
          </w:tcPr>
          <w:p>
            <w:pPr>
              <w:jc w:val="center"/>
              <w:rPr>
                <w:rFonts w:hint="eastAsia" w:eastAsia="方正仿宋_GBK"/>
                <w:color w:val="auto"/>
                <w:sz w:val="21"/>
                <w:szCs w:val="21"/>
                <w:lang w:eastAsia="zh-CN"/>
              </w:rPr>
            </w:pPr>
            <w:r>
              <w:rPr>
                <w:rFonts w:hint="eastAsia"/>
                <w:color w:val="auto"/>
                <w:sz w:val="21"/>
                <w:szCs w:val="21"/>
                <w:lang w:eastAsia="zh-CN"/>
              </w:rPr>
              <w:t>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wAfter w:w="0" w:type="auto"/>
          <w:trHeight w:val="1719"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color w:val="auto"/>
              </w:rPr>
            </w:pPr>
          </w:p>
        </w:tc>
        <w:tc>
          <w:tcPr>
            <w:tcW w:w="1325" w:type="dxa"/>
            <w:vMerge w:val="continue"/>
            <w:tcBorders>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color w:val="auto"/>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rFonts w:hint="eastAsia"/>
                <w:color w:val="auto"/>
                <w:sz w:val="21"/>
                <w:szCs w:val="21"/>
                <w:lang w:val="en-US" w:eastAsia="zh-CN"/>
              </w:rPr>
            </w:pPr>
            <w:r>
              <w:rPr>
                <w:rFonts w:hint="eastAsia" w:ascii="Times New Roman" w:hAnsi="Times New Roman"/>
                <w:color w:val="auto"/>
                <w:sz w:val="21"/>
                <w:szCs w:val="21"/>
                <w:lang w:val="en-US" w:eastAsia="zh-CN"/>
              </w:rPr>
              <w:t>17</w:t>
            </w:r>
            <w:r>
              <w:rPr>
                <w:color w:val="auto"/>
                <w:sz w:val="21"/>
                <w:szCs w:val="21"/>
              </w:rPr>
              <w:t>．</w:t>
            </w:r>
            <w:r>
              <w:rPr>
                <w:rFonts w:hint="eastAsia"/>
                <w:color w:val="auto"/>
                <w:sz w:val="21"/>
                <w:szCs w:val="21"/>
                <w:lang w:eastAsia="zh-CN"/>
              </w:rPr>
              <w:t>通过</w:t>
            </w:r>
            <w:r>
              <w:rPr>
                <w:color w:val="auto"/>
                <w:sz w:val="21"/>
                <w:szCs w:val="21"/>
              </w:rPr>
              <w:t>发布文字、图片、音视频等形式的解读材料，</w:t>
            </w:r>
            <w:r>
              <w:rPr>
                <w:rFonts w:hint="eastAsia"/>
                <w:color w:val="auto"/>
                <w:sz w:val="21"/>
                <w:szCs w:val="21"/>
                <w:lang w:eastAsia="zh-CN"/>
              </w:rPr>
              <w:t>持续</w:t>
            </w:r>
            <w:r>
              <w:rPr>
                <w:color w:val="auto"/>
                <w:spacing w:val="-3"/>
                <w:sz w:val="21"/>
                <w:szCs w:val="21"/>
              </w:rPr>
              <w:t>加强主流媒体宣传、政务新媒体推送，扎实开展就业创业</w:t>
            </w:r>
            <w:r>
              <w:rPr>
                <w:rFonts w:hint="eastAsia" w:ascii="方正仿宋_GBK" w:hAnsi="方正仿宋_GBK" w:eastAsia="方正仿宋_GBK" w:cs="方正仿宋_GBK"/>
                <w:color w:val="auto"/>
                <w:spacing w:val="-3"/>
                <w:sz w:val="21"/>
                <w:szCs w:val="21"/>
              </w:rPr>
              <w:t>“五进五送”活动，依托“政策咨询问答库”开展咨询服务</w:t>
            </w:r>
            <w:r>
              <w:rPr>
                <w:color w:val="auto"/>
                <w:spacing w:val="-3"/>
                <w:sz w:val="21"/>
                <w:szCs w:val="21"/>
              </w:rPr>
              <w:t>，及时将就业支持政策传达至相关群体，帮助他们更好就业创业。</w:t>
            </w:r>
          </w:p>
        </w:tc>
        <w:tc>
          <w:tcPr>
            <w:tcW w:w="1488" w:type="dxa"/>
            <w:tcBorders>
              <w:left w:val="single" w:color="auto" w:sz="2" w:space="0"/>
              <w:right w:val="single" w:color="auto" w:sz="2" w:space="0"/>
            </w:tcBorders>
            <w:tcMar>
              <w:top w:w="57" w:type="dxa"/>
              <w:left w:w="85" w:type="dxa"/>
              <w:bottom w:w="57" w:type="dxa"/>
              <w:right w:w="85" w:type="dxa"/>
            </w:tcMar>
            <w:vAlign w:val="center"/>
          </w:tcPr>
          <w:p>
            <w:pPr>
              <w:jc w:val="center"/>
              <w:rPr>
                <w:rFonts w:hint="eastAsia"/>
                <w:color w:val="auto"/>
                <w:sz w:val="21"/>
                <w:szCs w:val="21"/>
                <w:lang w:val="en-US" w:eastAsia="zh-CN"/>
              </w:rPr>
            </w:pPr>
            <w:r>
              <w:rPr>
                <w:rFonts w:hint="eastAsia"/>
                <w:color w:val="auto"/>
                <w:sz w:val="21"/>
                <w:szCs w:val="21"/>
                <w:lang w:eastAsia="zh-CN"/>
              </w:rPr>
              <w:t>区</w:t>
            </w:r>
            <w:r>
              <w:rPr>
                <w:color w:val="auto"/>
                <w:sz w:val="21"/>
                <w:szCs w:val="21"/>
              </w:rPr>
              <w:t>人力社保局</w:t>
            </w:r>
          </w:p>
        </w:tc>
        <w:tc>
          <w:tcPr>
            <w:tcW w:w="1710" w:type="dxa"/>
            <w:tcBorders>
              <w:left w:val="single" w:color="auto" w:sz="2" w:space="0"/>
              <w:right w:val="single" w:color="auto" w:sz="6" w:space="0"/>
            </w:tcBorders>
            <w:tcMar>
              <w:top w:w="57" w:type="dxa"/>
              <w:left w:w="85" w:type="dxa"/>
              <w:bottom w:w="57" w:type="dxa"/>
              <w:right w:w="85" w:type="dxa"/>
            </w:tcMar>
            <w:vAlign w:val="center"/>
          </w:tcPr>
          <w:p>
            <w:pPr>
              <w:jc w:val="center"/>
              <w:rPr>
                <w:rFonts w:hint="eastAsia"/>
                <w:color w:val="auto"/>
                <w:sz w:val="21"/>
                <w:szCs w:val="21"/>
                <w:lang w:val="en-US" w:eastAsia="zh-CN"/>
              </w:rPr>
            </w:pPr>
            <w:r>
              <w:rPr>
                <w:rFonts w:hint="eastAsia"/>
                <w:color w:val="auto"/>
                <w:sz w:val="21"/>
                <w:szCs w:val="21"/>
                <w:lang w:eastAsia="zh-CN"/>
              </w:rPr>
              <w:t>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39" w:hRule="atLeast"/>
          <w:jc w:val="center"/>
        </w:trPr>
        <w:tc>
          <w:tcPr>
            <w:tcW w:w="822" w:type="dxa"/>
            <w:vMerge w:val="continue"/>
            <w:tcBorders>
              <w:left w:val="single" w:color="auto" w:sz="6"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rFonts w:hint="eastAsia"/>
                <w:color w:val="auto"/>
                <w:sz w:val="21"/>
                <w:szCs w:val="21"/>
                <w:lang w:val="en-US" w:eastAsia="zh-CN"/>
              </w:rPr>
            </w:pPr>
          </w:p>
        </w:tc>
        <w:tc>
          <w:tcPr>
            <w:tcW w:w="1325" w:type="dxa"/>
            <w:vMerge w:val="continue"/>
            <w:tcBorders>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rFonts w:hint="eastAsia"/>
                <w:color w:val="auto"/>
                <w:sz w:val="21"/>
                <w:szCs w:val="21"/>
                <w:lang w:val="en-US" w:eastAsia="zh-CN"/>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rFonts w:hint="eastAsia"/>
                <w:color w:val="auto"/>
                <w:sz w:val="21"/>
                <w:szCs w:val="21"/>
                <w:lang w:val="en-US" w:eastAsia="zh-CN"/>
              </w:rPr>
            </w:pPr>
            <w:r>
              <w:rPr>
                <w:rFonts w:hint="eastAsia" w:ascii="Times New Roman" w:hAnsi="Times New Roman"/>
                <w:color w:val="auto"/>
                <w:sz w:val="21"/>
                <w:szCs w:val="21"/>
                <w:lang w:val="en-US" w:eastAsia="zh-CN"/>
              </w:rPr>
              <w:t>18</w:t>
            </w:r>
            <w:r>
              <w:rPr>
                <w:color w:val="auto"/>
                <w:sz w:val="21"/>
                <w:szCs w:val="21"/>
              </w:rPr>
              <w:t>．加大减负稳岗扩就业政策解读和政策培训工作力度，适时组织基层执行机关开展政策培训，推动实施稳岗扩就业政策</w:t>
            </w:r>
            <w:r>
              <w:rPr>
                <w:rFonts w:hint="eastAsia" w:ascii="方正仿宋_GBK" w:hAnsi="方正仿宋_GBK" w:eastAsia="方正仿宋_GBK" w:cs="方正仿宋_GBK"/>
                <w:color w:val="auto"/>
                <w:sz w:val="21"/>
                <w:szCs w:val="21"/>
              </w:rPr>
              <w:t>“免申即享”</w:t>
            </w:r>
            <w:r>
              <w:rPr>
                <w:color w:val="auto"/>
                <w:sz w:val="21"/>
                <w:szCs w:val="21"/>
              </w:rPr>
              <w:t>，使各项政策能够落得快、落得准、落得实，最大限度利企惠民。</w:t>
            </w:r>
          </w:p>
        </w:tc>
        <w:tc>
          <w:tcPr>
            <w:tcW w:w="1488" w:type="dxa"/>
            <w:tcBorders>
              <w:left w:val="single" w:color="auto" w:sz="2" w:space="0"/>
              <w:bottom w:val="single" w:color="auto" w:sz="2" w:space="0"/>
              <w:right w:val="single" w:color="auto" w:sz="2" w:space="0"/>
            </w:tcBorders>
            <w:tcMar>
              <w:top w:w="57" w:type="dxa"/>
              <w:left w:w="85" w:type="dxa"/>
              <w:bottom w:w="57" w:type="dxa"/>
              <w:right w:w="85" w:type="dxa"/>
            </w:tcMar>
            <w:vAlign w:val="center"/>
          </w:tcPr>
          <w:p>
            <w:pPr>
              <w:jc w:val="center"/>
              <w:rPr>
                <w:rFonts w:hint="eastAsia"/>
                <w:color w:val="auto"/>
                <w:sz w:val="21"/>
                <w:szCs w:val="21"/>
                <w:lang w:val="en-US" w:eastAsia="zh-CN"/>
              </w:rPr>
            </w:pPr>
            <w:r>
              <w:rPr>
                <w:rFonts w:hint="eastAsia"/>
                <w:color w:val="auto"/>
                <w:sz w:val="21"/>
                <w:szCs w:val="21"/>
                <w:lang w:eastAsia="zh-CN"/>
              </w:rPr>
              <w:t>区</w:t>
            </w:r>
            <w:r>
              <w:rPr>
                <w:color w:val="auto"/>
                <w:sz w:val="21"/>
                <w:szCs w:val="21"/>
              </w:rPr>
              <w:t>人力社保局</w:t>
            </w:r>
          </w:p>
        </w:tc>
        <w:tc>
          <w:tcPr>
            <w:tcW w:w="1710" w:type="dxa"/>
            <w:tcBorders>
              <w:left w:val="single" w:color="auto" w:sz="2" w:space="0"/>
              <w:bottom w:val="single" w:color="auto" w:sz="2" w:space="0"/>
              <w:right w:val="single" w:color="auto" w:sz="6" w:space="0"/>
            </w:tcBorders>
            <w:tcMar>
              <w:top w:w="57" w:type="dxa"/>
              <w:left w:w="85" w:type="dxa"/>
              <w:bottom w:w="57" w:type="dxa"/>
              <w:right w:w="85" w:type="dxa"/>
            </w:tcMar>
            <w:vAlign w:val="center"/>
          </w:tcPr>
          <w:p>
            <w:pPr>
              <w:jc w:val="center"/>
              <w:rPr>
                <w:rFonts w:hint="eastAsia"/>
                <w:color w:val="auto"/>
                <w:sz w:val="21"/>
                <w:szCs w:val="21"/>
                <w:lang w:val="en-US" w:eastAsia="zh-CN"/>
              </w:rPr>
            </w:pPr>
            <w:r>
              <w:rPr>
                <w:rFonts w:hint="eastAsia"/>
                <w:color w:val="auto"/>
                <w:sz w:val="21"/>
                <w:szCs w:val="21"/>
                <w:lang w:eastAsia="zh-CN"/>
              </w:rPr>
              <w:t>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tcBorders>
              <w:top w:val="single" w:color="auto" w:sz="2" w:space="0"/>
              <w:left w:val="single" w:color="auto" w:sz="2" w:space="0"/>
              <w:bottom w:val="single" w:color="auto" w:sz="2" w:space="0"/>
              <w:right w:val="single" w:color="auto" w:sz="2" w:space="0"/>
            </w:tcBorders>
            <w:vAlign w:val="center"/>
          </w:tcPr>
          <w:p>
            <w:pPr>
              <w:widowControl/>
              <w:jc w:val="left"/>
              <w:rPr>
                <w:color w:val="auto"/>
                <w:sz w:val="21"/>
                <w:szCs w:val="21"/>
              </w:rPr>
            </w:pPr>
            <w:r>
              <w:rPr>
                <w:color w:val="auto"/>
                <w:sz w:val="21"/>
                <w:szCs w:val="21"/>
              </w:rPr>
              <w:t>（六）推进公共企事业单位信息公开。</w:t>
            </w: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19</w:t>
            </w:r>
            <w:r>
              <w:rPr>
                <w:rFonts w:hint="eastAsia"/>
                <w:color w:val="auto"/>
                <w:sz w:val="21"/>
                <w:szCs w:val="21"/>
                <w:lang w:val="en-US" w:eastAsia="zh-CN"/>
              </w:rPr>
              <w:t>．</w:t>
            </w:r>
            <w:r>
              <w:rPr>
                <w:color w:val="auto"/>
                <w:sz w:val="21"/>
                <w:szCs w:val="21"/>
              </w:rPr>
              <w:t>严格执行已出台的公共企事业单位信息公开制度</w:t>
            </w:r>
            <w:r>
              <w:rPr>
                <w:rFonts w:hint="eastAsia"/>
                <w:color w:val="auto"/>
                <w:sz w:val="21"/>
                <w:szCs w:val="21"/>
                <w:lang w:eastAsia="zh-CN"/>
              </w:rPr>
              <w:t>，</w:t>
            </w:r>
            <w:r>
              <w:rPr>
                <w:color w:val="auto"/>
                <w:sz w:val="21"/>
                <w:szCs w:val="21"/>
              </w:rPr>
              <w:t>全面梳理并公开</w:t>
            </w:r>
            <w:r>
              <w:rPr>
                <w:rFonts w:hint="eastAsia"/>
                <w:color w:val="auto"/>
                <w:sz w:val="21"/>
                <w:szCs w:val="21"/>
                <w:lang w:eastAsia="zh-CN"/>
              </w:rPr>
              <w:t>本行业主管范围内</w:t>
            </w:r>
            <w:r>
              <w:rPr>
                <w:color w:val="auto"/>
                <w:sz w:val="21"/>
                <w:szCs w:val="21"/>
              </w:rPr>
              <w:t>公共企事业单位名录、信息公开监督举报电话、信息公开年度工作情况，依法及时处理社会公众对有关公共企事业单位信息公开的申诉。</w:t>
            </w:r>
          </w:p>
        </w:tc>
        <w:tc>
          <w:tcPr>
            <w:tcW w:w="1488"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eastAsia="方正仿宋_GBK"/>
                <w:color w:val="auto"/>
                <w:sz w:val="21"/>
                <w:szCs w:val="21"/>
                <w:lang w:eastAsia="zh-CN"/>
              </w:rPr>
            </w:pPr>
            <w:r>
              <w:rPr>
                <w:rFonts w:hint="eastAsia"/>
                <w:color w:val="auto"/>
                <w:sz w:val="21"/>
                <w:szCs w:val="21"/>
                <w:lang w:eastAsia="zh-CN"/>
              </w:rPr>
              <w:t>区</w:t>
            </w:r>
            <w:r>
              <w:rPr>
                <w:color w:val="auto"/>
                <w:sz w:val="21"/>
                <w:szCs w:val="21"/>
              </w:rPr>
              <w:t>教委、</w:t>
            </w:r>
            <w:r>
              <w:rPr>
                <w:rFonts w:hint="eastAsia"/>
                <w:color w:val="auto"/>
                <w:sz w:val="21"/>
                <w:szCs w:val="21"/>
                <w:lang w:eastAsia="zh-CN"/>
              </w:rPr>
              <w:t>区</w:t>
            </w:r>
            <w:r>
              <w:rPr>
                <w:color w:val="auto"/>
                <w:sz w:val="21"/>
                <w:szCs w:val="21"/>
              </w:rPr>
              <w:t>经济信息委、</w:t>
            </w:r>
            <w:r>
              <w:rPr>
                <w:rFonts w:hint="eastAsia"/>
                <w:color w:val="auto"/>
                <w:sz w:val="21"/>
                <w:szCs w:val="21"/>
                <w:lang w:eastAsia="zh-CN"/>
              </w:rPr>
              <w:t>区民政局、区</w:t>
            </w:r>
            <w:r>
              <w:rPr>
                <w:color w:val="auto"/>
                <w:sz w:val="21"/>
                <w:szCs w:val="21"/>
              </w:rPr>
              <w:t>生态环境局、</w:t>
            </w:r>
            <w:r>
              <w:rPr>
                <w:rFonts w:hint="eastAsia"/>
                <w:color w:val="auto"/>
                <w:sz w:val="21"/>
                <w:szCs w:val="21"/>
                <w:lang w:eastAsia="zh-CN"/>
              </w:rPr>
              <w:t>区</w:t>
            </w:r>
            <w:r>
              <w:rPr>
                <w:color w:val="auto"/>
                <w:sz w:val="21"/>
                <w:szCs w:val="21"/>
              </w:rPr>
              <w:t>城管局、</w:t>
            </w:r>
            <w:r>
              <w:rPr>
                <w:rFonts w:hint="eastAsia"/>
                <w:color w:val="auto"/>
                <w:sz w:val="21"/>
                <w:szCs w:val="21"/>
                <w:lang w:eastAsia="zh-CN"/>
              </w:rPr>
              <w:t>区</w:t>
            </w:r>
            <w:r>
              <w:rPr>
                <w:color w:val="auto"/>
                <w:sz w:val="21"/>
                <w:szCs w:val="21"/>
              </w:rPr>
              <w:t>交通局</w:t>
            </w:r>
            <w:r>
              <w:rPr>
                <w:rFonts w:hint="eastAsia"/>
                <w:color w:val="auto"/>
                <w:sz w:val="21"/>
                <w:szCs w:val="21"/>
                <w:lang w:eastAsia="zh-CN"/>
              </w:rPr>
              <w:t>、区文化旅游委、区</w:t>
            </w:r>
            <w:r>
              <w:rPr>
                <w:color w:val="auto"/>
                <w:sz w:val="21"/>
                <w:szCs w:val="21"/>
              </w:rPr>
              <w:t>卫生健康委</w:t>
            </w:r>
            <w:r>
              <w:rPr>
                <w:rFonts w:hint="eastAsia"/>
                <w:color w:val="auto"/>
                <w:sz w:val="21"/>
                <w:szCs w:val="21"/>
                <w:lang w:eastAsia="zh-CN"/>
              </w:rPr>
              <w:t>等区级有关部门</w:t>
            </w:r>
          </w:p>
        </w:tc>
        <w:tc>
          <w:tcPr>
            <w:tcW w:w="1710"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jc w:val="center"/>
              <w:rPr>
                <w:color w:val="auto"/>
                <w:sz w:val="21"/>
                <w:szCs w:val="21"/>
              </w:rPr>
            </w:pPr>
            <w:r>
              <w:rPr>
                <w:rFonts w:hint="eastAsia"/>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22" w:type="dxa"/>
            <w:vMerge w:val="restart"/>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rPr>
                <w:color w:val="auto"/>
                <w:sz w:val="21"/>
                <w:szCs w:val="21"/>
              </w:rPr>
            </w:pPr>
            <w:r>
              <w:rPr>
                <w:color w:val="auto"/>
                <w:sz w:val="21"/>
                <w:szCs w:val="21"/>
              </w:rPr>
              <w:t>三、提高政策公开质量</w:t>
            </w:r>
          </w:p>
        </w:tc>
        <w:tc>
          <w:tcPr>
            <w:tcW w:w="1325"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E w:val="0"/>
              <w:autoSpaceDN/>
              <w:bidi w:val="0"/>
              <w:adjustRightInd/>
              <w:snapToGrid/>
              <w:spacing w:line="280" w:lineRule="exact"/>
              <w:textAlignment w:val="auto"/>
              <w:rPr>
                <w:color w:val="auto"/>
                <w:sz w:val="21"/>
                <w:szCs w:val="21"/>
              </w:rPr>
            </w:pPr>
            <w:r>
              <w:rPr>
                <w:color w:val="auto"/>
                <w:sz w:val="21"/>
                <w:szCs w:val="21"/>
              </w:rPr>
              <w:t>（七）深化行政法规和规章集中公开。</w:t>
            </w: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color w:val="auto"/>
                <w:sz w:val="21"/>
                <w:szCs w:val="21"/>
              </w:rPr>
            </w:pPr>
            <w:r>
              <w:rPr>
                <w:rFonts w:hint="eastAsia" w:ascii="Times New Roman" w:hAnsi="Times New Roman" w:cs="方正仿宋_GBK"/>
                <w:color w:val="auto"/>
                <w:sz w:val="21"/>
                <w:szCs w:val="21"/>
                <w:lang w:val="en-US" w:eastAsia="zh-CN"/>
              </w:rPr>
              <w:t>20</w:t>
            </w:r>
            <w:r>
              <w:rPr>
                <w:rFonts w:hint="eastAsia" w:ascii="方正仿宋_GBK" w:hAnsi="方正仿宋_GBK" w:cs="方正仿宋_GBK"/>
                <w:color w:val="auto"/>
                <w:sz w:val="21"/>
                <w:szCs w:val="21"/>
                <w:lang w:val="en-US" w:eastAsia="zh-CN"/>
              </w:rPr>
              <w:t>．</w:t>
            </w:r>
            <w:r>
              <w:rPr>
                <w:rFonts w:hint="eastAsia" w:ascii="方正仿宋_GBK" w:hAnsi="方正仿宋_GBK" w:eastAsia="方正仿宋_GBK" w:cs="方正仿宋_GBK"/>
                <w:color w:val="auto"/>
                <w:sz w:val="21"/>
                <w:szCs w:val="21"/>
              </w:rPr>
              <w:t>将中国政府法制信息网“行政法规库”和市司法局网站“市政府规章库”链接到区</w:t>
            </w:r>
            <w:r>
              <w:rPr>
                <w:rFonts w:hint="eastAsia" w:ascii="方正仿宋_GBK" w:hAnsi="方正仿宋_GBK" w:eastAsia="方正仿宋_GBK" w:cs="方正仿宋_GBK"/>
                <w:color w:val="auto"/>
                <w:sz w:val="21"/>
                <w:szCs w:val="21"/>
                <w:lang w:eastAsia="zh-CN"/>
              </w:rPr>
              <w:t>政</w:t>
            </w:r>
            <w:r>
              <w:rPr>
                <w:rFonts w:hint="eastAsia" w:ascii="方正仿宋_GBK" w:hAnsi="方正仿宋_GBK" w:eastAsia="方正仿宋_GBK" w:cs="方正仿宋_GBK"/>
                <w:color w:val="auto"/>
                <w:sz w:val="21"/>
                <w:szCs w:val="21"/>
              </w:rPr>
              <w:t>府门户网站“履职依据”栏目。</w:t>
            </w:r>
          </w:p>
        </w:tc>
        <w:tc>
          <w:tcPr>
            <w:tcW w:w="1488"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jc w:val="center"/>
              <w:textAlignment w:val="auto"/>
              <w:rPr>
                <w:color w:val="auto"/>
                <w:sz w:val="21"/>
                <w:szCs w:val="21"/>
              </w:rPr>
            </w:pPr>
            <w:r>
              <w:rPr>
                <w:rFonts w:hint="eastAsia"/>
                <w:color w:val="auto"/>
                <w:sz w:val="21"/>
                <w:szCs w:val="21"/>
                <w:lang w:eastAsia="zh-CN"/>
              </w:rPr>
              <w:t>区行政服务中心</w:t>
            </w:r>
          </w:p>
        </w:tc>
        <w:tc>
          <w:tcPr>
            <w:tcW w:w="1710"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jc w:val="center"/>
              <w:textAlignment w:val="auto"/>
              <w:rPr>
                <w:color w:val="auto"/>
                <w:sz w:val="21"/>
                <w:szCs w:val="21"/>
              </w:rPr>
            </w:pPr>
            <w:r>
              <w:rPr>
                <w:rFonts w:hint="eastAsia"/>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restart"/>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80" w:lineRule="exact"/>
              <w:textAlignment w:val="auto"/>
              <w:rPr>
                <w:color w:val="auto"/>
                <w:sz w:val="21"/>
                <w:szCs w:val="21"/>
              </w:rPr>
            </w:pPr>
            <w:r>
              <w:rPr>
                <w:color w:val="auto"/>
                <w:sz w:val="21"/>
                <w:szCs w:val="21"/>
              </w:rPr>
              <w:t>（八）开展行政规范性文件集中公开。</w:t>
            </w: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color w:val="auto"/>
                <w:sz w:val="21"/>
                <w:szCs w:val="21"/>
              </w:rPr>
            </w:pPr>
            <w:r>
              <w:rPr>
                <w:rFonts w:hint="eastAsia" w:ascii="Times New Roman" w:hAnsi="Times New Roman" w:cs="方正仿宋_GBK"/>
                <w:color w:val="auto"/>
                <w:sz w:val="21"/>
                <w:szCs w:val="21"/>
                <w:lang w:val="en-US" w:eastAsia="zh-CN"/>
              </w:rPr>
              <w:t>21</w:t>
            </w:r>
            <w:r>
              <w:rPr>
                <w:rFonts w:hint="eastAsia" w:ascii="方正仿宋_GBK" w:hAnsi="方正仿宋_GBK" w:cs="方正仿宋_GBK"/>
                <w:color w:val="auto"/>
                <w:sz w:val="21"/>
                <w:szCs w:val="21"/>
                <w:lang w:val="en-US" w:eastAsia="zh-CN"/>
              </w:rPr>
              <w:t>．</w:t>
            </w:r>
            <w:r>
              <w:rPr>
                <w:rFonts w:ascii="方正书宋_GBK" w:hAnsi="方正书宋_GBK"/>
                <w:color w:val="auto"/>
                <w:sz w:val="21"/>
                <w:szCs w:val="21"/>
              </w:rPr>
              <w:t>加强行政规范性文件制发流程管理，确保重要的行政规范性文件严格执行评估论证、公开征求意见、合法性审核、集体审议决定、向社会公开发布等程序。</w:t>
            </w:r>
          </w:p>
        </w:tc>
        <w:tc>
          <w:tcPr>
            <w:tcW w:w="1488"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jc w:val="center"/>
              <w:textAlignment w:val="auto"/>
              <w:rPr>
                <w:color w:val="auto"/>
                <w:sz w:val="21"/>
                <w:szCs w:val="21"/>
              </w:rPr>
            </w:pPr>
            <w:r>
              <w:rPr>
                <w:rFonts w:hint="eastAsia"/>
                <w:color w:val="auto"/>
                <w:sz w:val="21"/>
                <w:szCs w:val="21"/>
                <w:lang w:eastAsia="zh-CN"/>
              </w:rPr>
              <w:t>区</w:t>
            </w:r>
            <w:r>
              <w:rPr>
                <w:color w:val="auto"/>
                <w:sz w:val="21"/>
                <w:szCs w:val="21"/>
              </w:rPr>
              <w:t>司法局</w:t>
            </w:r>
          </w:p>
        </w:tc>
        <w:tc>
          <w:tcPr>
            <w:tcW w:w="1710"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jc w:val="center"/>
              <w:textAlignment w:val="auto"/>
              <w:rPr>
                <w:rFonts w:hint="eastAsia" w:eastAsia="方正仿宋_GBK"/>
                <w:color w:val="auto"/>
                <w:sz w:val="21"/>
                <w:szCs w:val="21"/>
                <w:lang w:eastAsia="zh-CN"/>
              </w:rPr>
            </w:pPr>
            <w:r>
              <w:rPr>
                <w:rFonts w:hint="eastAsia"/>
                <w:color w:val="auto"/>
                <w:sz w:val="21"/>
                <w:szCs w:val="21"/>
                <w:lang w:eastAsia="zh-CN"/>
              </w:rPr>
              <w:t>各乡镇街道、区政府</w:t>
            </w:r>
            <w:r>
              <w:rPr>
                <w:rFonts w:hint="eastAsia"/>
                <w:color w:val="auto"/>
                <w:sz w:val="21"/>
                <w:szCs w:val="21"/>
                <w:lang w:val="en-US" w:eastAsia="zh-CN"/>
              </w:rPr>
              <w:t>各</w:t>
            </w:r>
            <w:r>
              <w:rPr>
                <w:rFonts w:hint="eastAsia"/>
                <w:color w:val="auto"/>
                <w:sz w:val="21"/>
                <w:szCs w:val="21"/>
                <w:lang w:eastAsia="zh-CN"/>
              </w:rPr>
              <w:t>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89"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continue"/>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color w:val="auto"/>
                <w:sz w:val="21"/>
                <w:szCs w:val="21"/>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22</w:t>
            </w:r>
            <w:r>
              <w:rPr>
                <w:rFonts w:hint="eastAsia" w:ascii="方正仿宋_GBK" w:hAnsi="方正仿宋_GBK" w:cs="方正仿宋_GBK"/>
                <w:color w:val="auto"/>
                <w:sz w:val="21"/>
                <w:szCs w:val="21"/>
                <w:lang w:val="en-US" w:eastAsia="zh-CN"/>
              </w:rPr>
              <w:t>．</w:t>
            </w:r>
            <w:r>
              <w:rPr>
                <w:rFonts w:ascii="方正书宋_GBK" w:hAnsi="方正书宋_GBK"/>
                <w:color w:val="auto"/>
                <w:sz w:val="21"/>
                <w:szCs w:val="21"/>
              </w:rPr>
              <w:t>按照全市统一的行政规范性文件网络发布格式，规范</w:t>
            </w:r>
            <w:r>
              <w:rPr>
                <w:rFonts w:hint="eastAsia" w:ascii="方正书宋_GBK" w:hAnsi="方正书宋_GBK"/>
                <w:color w:val="auto"/>
                <w:sz w:val="21"/>
                <w:szCs w:val="21"/>
                <w:lang w:eastAsia="zh-CN"/>
              </w:rPr>
              <w:t>全区各行政机关</w:t>
            </w:r>
            <w:r>
              <w:rPr>
                <w:rFonts w:ascii="方正书宋_GBK" w:hAnsi="方正书宋_GBK"/>
                <w:color w:val="auto"/>
                <w:sz w:val="21"/>
                <w:szCs w:val="21"/>
              </w:rPr>
              <w:t>行政规范性文件网络发布格式。</w:t>
            </w:r>
          </w:p>
        </w:tc>
        <w:tc>
          <w:tcPr>
            <w:tcW w:w="1488" w:type="dxa"/>
            <w:tcBorders>
              <w:top w:val="single" w:color="auto" w:sz="2" w:space="0"/>
              <w:left w:val="single" w:color="auto" w:sz="2" w:space="0"/>
              <w:right w:val="single" w:color="auto" w:sz="2" w:space="0"/>
            </w:tcBorders>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hint="eastAsia" w:eastAsia="方正仿宋_GBK"/>
                <w:color w:val="auto"/>
                <w:sz w:val="21"/>
                <w:szCs w:val="21"/>
                <w:lang w:eastAsia="zh-CN"/>
              </w:rPr>
            </w:pPr>
            <w:r>
              <w:rPr>
                <w:rFonts w:hint="eastAsia"/>
                <w:color w:val="auto"/>
                <w:sz w:val="21"/>
                <w:szCs w:val="21"/>
                <w:lang w:eastAsia="zh-CN"/>
              </w:rPr>
              <w:t>区司法局、区行政服务中心</w:t>
            </w:r>
          </w:p>
        </w:tc>
        <w:tc>
          <w:tcPr>
            <w:tcW w:w="1710" w:type="dxa"/>
            <w:tcBorders>
              <w:top w:val="single" w:color="auto" w:sz="2" w:space="0"/>
              <w:left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jc w:val="center"/>
              <w:textAlignment w:val="auto"/>
              <w:rPr>
                <w:color w:val="auto"/>
                <w:sz w:val="21"/>
                <w:szCs w:val="21"/>
              </w:rPr>
            </w:pPr>
            <w:r>
              <w:rPr>
                <w:rFonts w:hint="eastAsia"/>
                <w:color w:val="auto"/>
                <w:sz w:val="21"/>
                <w:szCs w:val="21"/>
                <w:lang w:eastAsia="zh-CN"/>
              </w:rPr>
              <w:t>各乡镇街道、区政府</w:t>
            </w:r>
            <w:r>
              <w:rPr>
                <w:rFonts w:hint="eastAsia"/>
                <w:color w:val="auto"/>
                <w:sz w:val="21"/>
                <w:szCs w:val="21"/>
                <w:lang w:val="en-US" w:eastAsia="zh-CN"/>
              </w:rPr>
              <w:t>各</w:t>
            </w:r>
            <w:r>
              <w:rPr>
                <w:rFonts w:hint="eastAsia"/>
                <w:color w:val="auto"/>
                <w:sz w:val="21"/>
                <w:szCs w:val="21"/>
                <w:lang w:eastAsia="zh-CN"/>
              </w:rPr>
              <w:t>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color w:val="auto"/>
              </w:rPr>
            </w:pPr>
          </w:p>
        </w:tc>
        <w:tc>
          <w:tcPr>
            <w:tcW w:w="1325" w:type="dxa"/>
            <w:vMerge w:val="continue"/>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color w:val="auto"/>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23</w:t>
            </w:r>
            <w:r>
              <w:rPr>
                <w:rFonts w:hint="eastAsia" w:ascii="方正仿宋_GBK" w:hAnsi="方正仿宋_GBK" w:cs="方正仿宋_GBK"/>
                <w:color w:val="auto"/>
                <w:sz w:val="21"/>
                <w:szCs w:val="21"/>
                <w:lang w:val="en-US" w:eastAsia="zh-CN"/>
              </w:rPr>
              <w:t>．新增行政规范性文件及时上传至全市政策文件库</w:t>
            </w:r>
            <w:r>
              <w:rPr>
                <w:rFonts w:hint="eastAsia" w:ascii="方正书宋_GBK" w:hAnsi="方正书宋_GBK"/>
                <w:color w:val="auto"/>
                <w:sz w:val="21"/>
                <w:szCs w:val="21"/>
                <w:lang w:eastAsia="zh-CN"/>
              </w:rPr>
              <w:t>，</w:t>
            </w:r>
            <w:r>
              <w:rPr>
                <w:rFonts w:hint="default" w:ascii="Times New Roman" w:hAnsi="Times New Roman" w:cs="Times New Roman"/>
                <w:color w:val="auto"/>
                <w:sz w:val="21"/>
                <w:szCs w:val="21"/>
              </w:rPr>
              <w:t>实行</w:t>
            </w:r>
            <w:r>
              <w:rPr>
                <w:rFonts w:hint="eastAsia" w:ascii="方正仿宋_GBK" w:hAnsi="方正仿宋_GBK" w:eastAsia="方正仿宋_GBK" w:cs="方正仿宋_GBK"/>
                <w:color w:val="auto"/>
                <w:sz w:val="21"/>
                <w:szCs w:val="21"/>
              </w:rPr>
              <w:t>“先入库，后公开”</w:t>
            </w:r>
            <w:r>
              <w:rPr>
                <w:rFonts w:ascii="方正书宋_GBK" w:hAnsi="方正书宋_GBK"/>
                <w:color w:val="auto"/>
                <w:sz w:val="21"/>
                <w:szCs w:val="21"/>
              </w:rPr>
              <w:t>。</w:t>
            </w:r>
          </w:p>
        </w:tc>
        <w:tc>
          <w:tcPr>
            <w:tcW w:w="1488" w:type="dxa"/>
            <w:tcBorders>
              <w:left w:val="single" w:color="auto" w:sz="2" w:space="0"/>
              <w:right w:val="single" w:color="auto" w:sz="2" w:space="0"/>
            </w:tcBorders>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color w:val="auto"/>
                <w:sz w:val="21"/>
                <w:szCs w:val="21"/>
              </w:rPr>
            </w:pPr>
            <w:r>
              <w:rPr>
                <w:rFonts w:hint="eastAsia"/>
                <w:color w:val="auto"/>
                <w:sz w:val="21"/>
                <w:szCs w:val="21"/>
                <w:lang w:eastAsia="zh-CN"/>
              </w:rPr>
              <w:t>区司法局、区行政服务中心</w:t>
            </w:r>
          </w:p>
        </w:tc>
        <w:tc>
          <w:tcPr>
            <w:tcW w:w="1710" w:type="dxa"/>
            <w:tcBorders>
              <w:left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jc w:val="center"/>
              <w:textAlignment w:val="auto"/>
              <w:rPr>
                <w:color w:val="auto"/>
                <w:sz w:val="21"/>
                <w:szCs w:val="21"/>
              </w:rPr>
            </w:pPr>
            <w:r>
              <w:rPr>
                <w:rFonts w:hint="eastAsia"/>
                <w:color w:val="auto"/>
                <w:sz w:val="21"/>
                <w:szCs w:val="21"/>
                <w:lang w:eastAsia="zh-CN"/>
              </w:rPr>
              <w:t>各乡镇街道、区政府</w:t>
            </w:r>
            <w:r>
              <w:rPr>
                <w:rFonts w:hint="eastAsia"/>
                <w:color w:val="auto"/>
                <w:sz w:val="21"/>
                <w:szCs w:val="21"/>
                <w:lang w:val="en-US" w:eastAsia="zh-CN"/>
              </w:rPr>
              <w:t>有关</w:t>
            </w:r>
            <w:r>
              <w:rPr>
                <w:rFonts w:hint="eastAsia"/>
                <w:color w:val="auto"/>
                <w:sz w:val="21"/>
                <w:szCs w:val="21"/>
                <w:lang w:eastAsia="zh-CN"/>
              </w:rPr>
              <w:t>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89" w:hRule="atLeast"/>
          <w:jc w:val="center"/>
        </w:trPr>
        <w:tc>
          <w:tcPr>
            <w:tcW w:w="822" w:type="dxa"/>
            <w:vMerge w:val="continue"/>
            <w:tcBorders>
              <w:left w:val="single" w:color="auto" w:sz="6"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color w:val="auto"/>
                <w:sz w:val="21"/>
                <w:szCs w:val="21"/>
              </w:rPr>
            </w:pPr>
          </w:p>
        </w:tc>
        <w:tc>
          <w:tcPr>
            <w:tcW w:w="1325" w:type="dxa"/>
            <w:vMerge w:val="continue"/>
            <w:tcBorders>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color w:val="auto"/>
                <w:sz w:val="21"/>
                <w:szCs w:val="21"/>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24</w:t>
            </w:r>
            <w:r>
              <w:rPr>
                <w:rFonts w:hint="eastAsia" w:ascii="方正仿宋_GBK" w:hAnsi="方正仿宋_GBK" w:cs="方正仿宋_GBK"/>
                <w:color w:val="auto"/>
                <w:sz w:val="21"/>
                <w:szCs w:val="21"/>
                <w:lang w:val="en-US" w:eastAsia="zh-CN"/>
              </w:rPr>
              <w:t>．</w:t>
            </w:r>
            <w:r>
              <w:rPr>
                <w:rFonts w:ascii="方正书宋_GBK" w:hAnsi="方正书宋_GBK"/>
                <w:color w:val="auto"/>
                <w:sz w:val="21"/>
                <w:szCs w:val="21"/>
              </w:rPr>
              <w:t>加强</w:t>
            </w:r>
            <w:r>
              <w:rPr>
                <w:rFonts w:hint="eastAsia" w:ascii="方正书宋_GBK" w:hAnsi="方正书宋_GBK"/>
                <w:color w:val="auto"/>
                <w:sz w:val="21"/>
                <w:szCs w:val="21"/>
                <w:lang w:eastAsia="zh-CN"/>
              </w:rPr>
              <w:t>全区</w:t>
            </w:r>
            <w:r>
              <w:rPr>
                <w:rFonts w:ascii="方正书宋_GBK" w:hAnsi="方正书宋_GBK"/>
                <w:color w:val="auto"/>
                <w:sz w:val="21"/>
                <w:szCs w:val="21"/>
              </w:rPr>
              <w:t>行政规范性文件有效性管理，每年至少进行</w:t>
            </w:r>
            <w:r>
              <w:rPr>
                <w:rFonts w:ascii="Times New Roman" w:hAnsi="Times New Roman"/>
                <w:color w:val="auto"/>
                <w:sz w:val="21"/>
                <w:szCs w:val="21"/>
              </w:rPr>
              <w:t>1</w:t>
            </w:r>
            <w:r>
              <w:rPr>
                <w:rFonts w:ascii="方正书宋_GBK" w:hAnsi="方正书宋_GBK"/>
                <w:color w:val="auto"/>
                <w:sz w:val="21"/>
                <w:szCs w:val="21"/>
              </w:rPr>
              <w:t>次全面清理，已失效废止的要及时移入失效废止文件库。</w:t>
            </w:r>
          </w:p>
        </w:tc>
        <w:tc>
          <w:tcPr>
            <w:tcW w:w="1488" w:type="dxa"/>
            <w:tcBorders>
              <w:left w:val="single" w:color="auto" w:sz="2" w:space="0"/>
              <w:right w:val="single" w:color="auto" w:sz="2" w:space="0"/>
            </w:tcBorders>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rFonts w:hint="eastAsia" w:eastAsia="方正仿宋_GBK"/>
                <w:color w:val="auto"/>
                <w:sz w:val="21"/>
                <w:szCs w:val="21"/>
                <w:lang w:eastAsia="zh-CN"/>
              </w:rPr>
            </w:pPr>
            <w:r>
              <w:rPr>
                <w:rFonts w:hint="eastAsia"/>
                <w:color w:val="auto"/>
                <w:sz w:val="21"/>
                <w:szCs w:val="21"/>
                <w:lang w:eastAsia="zh-CN"/>
              </w:rPr>
              <w:t>区司法局、区行政服务中心</w:t>
            </w:r>
          </w:p>
        </w:tc>
        <w:tc>
          <w:tcPr>
            <w:tcW w:w="1710" w:type="dxa"/>
            <w:tcBorders>
              <w:left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jc w:val="center"/>
              <w:textAlignment w:val="auto"/>
              <w:rPr>
                <w:color w:val="auto"/>
                <w:sz w:val="21"/>
                <w:szCs w:val="21"/>
              </w:rPr>
            </w:pPr>
            <w:r>
              <w:rPr>
                <w:rFonts w:hint="eastAsia"/>
                <w:color w:val="auto"/>
                <w:sz w:val="21"/>
                <w:szCs w:val="21"/>
                <w:lang w:eastAsia="zh-CN"/>
              </w:rPr>
              <w:t>各乡镇街道、区政府各部门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continue"/>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color w:val="auto"/>
                <w:sz w:val="21"/>
                <w:szCs w:val="21"/>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24</w:t>
            </w:r>
            <w:r>
              <w:rPr>
                <w:rFonts w:hint="eastAsia" w:ascii="方正仿宋_GBK" w:hAnsi="方正仿宋_GBK" w:cs="方正仿宋_GBK"/>
                <w:color w:val="auto"/>
                <w:sz w:val="21"/>
                <w:szCs w:val="21"/>
                <w:lang w:val="en-US" w:eastAsia="zh-CN"/>
              </w:rPr>
              <w:t>．</w:t>
            </w:r>
            <w:r>
              <w:rPr>
                <w:color w:val="auto"/>
                <w:sz w:val="21"/>
                <w:szCs w:val="21"/>
              </w:rPr>
              <w:t>全面清理</w:t>
            </w:r>
            <w:r>
              <w:rPr>
                <w:rFonts w:hint="eastAsia"/>
                <w:color w:val="auto"/>
                <w:sz w:val="21"/>
                <w:szCs w:val="21"/>
                <w:lang w:eastAsia="zh-CN"/>
              </w:rPr>
              <w:t>各乡镇街道、</w:t>
            </w:r>
            <w:r>
              <w:rPr>
                <w:color w:val="auto"/>
                <w:sz w:val="21"/>
                <w:szCs w:val="21"/>
              </w:rPr>
              <w:t>区政府</w:t>
            </w:r>
            <w:r>
              <w:rPr>
                <w:rFonts w:hint="eastAsia"/>
                <w:color w:val="auto"/>
                <w:sz w:val="21"/>
                <w:szCs w:val="21"/>
                <w:lang w:eastAsia="zh-CN"/>
              </w:rPr>
              <w:t>各</w:t>
            </w:r>
            <w:r>
              <w:rPr>
                <w:color w:val="auto"/>
                <w:sz w:val="21"/>
                <w:szCs w:val="21"/>
              </w:rPr>
              <w:t>部门现行有效行政规范性文件，适时上传至全市政策文件库进行集中公开。</w:t>
            </w:r>
          </w:p>
        </w:tc>
        <w:tc>
          <w:tcPr>
            <w:tcW w:w="1488" w:type="dxa"/>
            <w:tcBorders>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N/>
              <w:bidi w:val="0"/>
              <w:adjustRightInd/>
              <w:snapToGrid/>
              <w:spacing w:line="300" w:lineRule="exact"/>
              <w:jc w:val="center"/>
              <w:textAlignment w:val="auto"/>
              <w:rPr>
                <w:color w:val="auto"/>
                <w:sz w:val="21"/>
                <w:szCs w:val="21"/>
              </w:rPr>
            </w:pPr>
            <w:r>
              <w:rPr>
                <w:rFonts w:hint="eastAsia"/>
                <w:color w:val="auto"/>
                <w:sz w:val="21"/>
                <w:szCs w:val="21"/>
                <w:lang w:eastAsia="zh-CN"/>
              </w:rPr>
              <w:t>区司法局、区行政服务中心</w:t>
            </w:r>
          </w:p>
        </w:tc>
        <w:tc>
          <w:tcPr>
            <w:tcW w:w="1710" w:type="dxa"/>
            <w:tcBorders>
              <w:left w:val="single" w:color="auto" w:sz="2" w:space="0"/>
              <w:bottom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jc w:val="center"/>
              <w:textAlignment w:val="auto"/>
              <w:rPr>
                <w:color w:val="auto"/>
                <w:sz w:val="21"/>
                <w:szCs w:val="21"/>
              </w:rPr>
            </w:pPr>
            <w:r>
              <w:rPr>
                <w:rFonts w:hint="eastAsia"/>
                <w:color w:val="auto"/>
                <w:sz w:val="21"/>
                <w:szCs w:val="21"/>
                <w:lang w:eastAsia="zh-CN"/>
              </w:rPr>
              <w:t>各乡镇街道、区政府</w:t>
            </w:r>
            <w:r>
              <w:rPr>
                <w:rFonts w:hint="eastAsia"/>
                <w:color w:val="auto"/>
                <w:sz w:val="21"/>
                <w:szCs w:val="21"/>
                <w:lang w:val="en-US" w:eastAsia="zh-CN"/>
              </w:rPr>
              <w:t>有关</w:t>
            </w:r>
            <w:r>
              <w:rPr>
                <w:rFonts w:hint="eastAsia"/>
                <w:color w:val="auto"/>
                <w:sz w:val="21"/>
                <w:szCs w:val="21"/>
                <w:lang w:eastAsia="zh-CN"/>
              </w:rPr>
              <w:t>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restart"/>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80" w:lineRule="exact"/>
              <w:textAlignment w:val="auto"/>
              <w:rPr>
                <w:color w:val="auto"/>
                <w:sz w:val="21"/>
                <w:szCs w:val="21"/>
              </w:rPr>
            </w:pPr>
            <w:r>
              <w:rPr>
                <w:color w:val="auto"/>
                <w:sz w:val="21"/>
                <w:szCs w:val="21"/>
              </w:rPr>
              <w:t>（九）加强政策集中公开成果运用。</w:t>
            </w: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25</w:t>
            </w:r>
            <w:r>
              <w:rPr>
                <w:rFonts w:hint="eastAsia" w:ascii="方正仿宋_GBK" w:hAnsi="方正仿宋_GBK" w:cs="方正仿宋_GBK"/>
                <w:color w:val="auto"/>
                <w:sz w:val="21"/>
                <w:szCs w:val="21"/>
                <w:lang w:val="en-US" w:eastAsia="zh-CN"/>
              </w:rPr>
              <w:t>．</w:t>
            </w:r>
            <w:r>
              <w:rPr>
                <w:rFonts w:hint="eastAsia"/>
                <w:color w:val="auto"/>
                <w:sz w:val="21"/>
                <w:szCs w:val="21"/>
                <w:lang w:eastAsia="zh-CN"/>
              </w:rPr>
              <w:t>切实</w:t>
            </w:r>
            <w:r>
              <w:rPr>
                <w:color w:val="auto"/>
                <w:sz w:val="21"/>
                <w:szCs w:val="21"/>
              </w:rPr>
              <w:t>发挥政策集中公开成果的积极作用，以完整准确、动态更新的现行有效制度体系，为行政机关办理政务服务事项、编制各类权责清单提供基本依据。</w:t>
            </w:r>
            <w:r>
              <w:rPr>
                <w:rFonts w:hint="eastAsia"/>
                <w:color w:val="auto"/>
                <w:sz w:val="21"/>
                <w:szCs w:val="21"/>
                <w:lang w:eastAsia="zh-CN"/>
              </w:rPr>
              <w:t>推动</w:t>
            </w:r>
            <w:r>
              <w:rPr>
                <w:color w:val="auto"/>
                <w:sz w:val="21"/>
                <w:szCs w:val="21"/>
              </w:rPr>
              <w:t>政务服务办事指南、权责清单涉及的政策依据与集中公开的政策性文件相互关联。</w:t>
            </w:r>
          </w:p>
        </w:tc>
        <w:tc>
          <w:tcPr>
            <w:tcW w:w="1488"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jc w:val="center"/>
              <w:textAlignment w:val="auto"/>
              <w:rPr>
                <w:rFonts w:hint="eastAsia" w:eastAsia="方正仿宋_GBK"/>
                <w:color w:val="auto"/>
                <w:sz w:val="21"/>
                <w:szCs w:val="21"/>
                <w:lang w:eastAsia="zh-CN"/>
              </w:rPr>
            </w:pPr>
            <w:r>
              <w:rPr>
                <w:rFonts w:hint="eastAsia"/>
                <w:color w:val="auto"/>
                <w:sz w:val="21"/>
                <w:szCs w:val="21"/>
                <w:lang w:eastAsia="zh-CN"/>
              </w:rPr>
              <w:t>区政府办公室、区行政服务中心</w:t>
            </w:r>
          </w:p>
        </w:tc>
        <w:tc>
          <w:tcPr>
            <w:tcW w:w="1710"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jc w:val="center"/>
              <w:textAlignment w:val="auto"/>
              <w:rPr>
                <w:color w:val="auto"/>
                <w:sz w:val="21"/>
                <w:szCs w:val="21"/>
              </w:rPr>
            </w:pPr>
            <w:r>
              <w:rPr>
                <w:rFonts w:hint="eastAsia"/>
                <w:color w:val="auto"/>
                <w:sz w:val="21"/>
                <w:szCs w:val="21"/>
                <w:lang w:eastAsia="zh-CN"/>
              </w:rPr>
              <w:t>各乡镇街道、区</w:t>
            </w:r>
            <w:r>
              <w:rPr>
                <w:color w:val="auto"/>
                <w:sz w:val="21"/>
                <w:szCs w:val="21"/>
              </w:rPr>
              <w:t>政府各部门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continue"/>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N/>
              <w:bidi w:val="0"/>
              <w:adjustRightInd/>
              <w:snapToGrid/>
              <w:spacing w:line="280" w:lineRule="exact"/>
              <w:jc w:val="left"/>
              <w:textAlignment w:val="auto"/>
              <w:rPr>
                <w:color w:val="auto"/>
                <w:sz w:val="21"/>
                <w:szCs w:val="21"/>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26</w:t>
            </w:r>
            <w:r>
              <w:rPr>
                <w:rFonts w:hint="eastAsia" w:ascii="方正仿宋_GBK" w:hAnsi="方正仿宋_GBK" w:cs="方正仿宋_GBK"/>
                <w:color w:val="auto"/>
                <w:sz w:val="21"/>
                <w:szCs w:val="21"/>
                <w:lang w:val="en-US" w:eastAsia="zh-CN"/>
              </w:rPr>
              <w:t>．</w:t>
            </w:r>
            <w:r>
              <w:rPr>
                <w:color w:val="auto"/>
                <w:sz w:val="21"/>
                <w:szCs w:val="21"/>
              </w:rPr>
              <w:t>加强</w:t>
            </w:r>
            <w:r>
              <w:rPr>
                <w:rFonts w:ascii="方正书宋_GBK" w:hAnsi="方正书宋_GBK"/>
                <w:color w:val="auto"/>
                <w:sz w:val="21"/>
                <w:szCs w:val="21"/>
              </w:rPr>
              <w:t>全市政策文件库</w:t>
            </w:r>
            <w:r>
              <w:rPr>
                <w:color w:val="auto"/>
                <w:sz w:val="21"/>
                <w:szCs w:val="21"/>
              </w:rPr>
              <w:t>宣传推广，引导社会公众、行政机关广泛使用全市政策文件库，保障和监督行政机关有效实施行政管理。</w:t>
            </w:r>
          </w:p>
        </w:tc>
        <w:tc>
          <w:tcPr>
            <w:tcW w:w="148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N/>
              <w:bidi w:val="0"/>
              <w:adjustRightInd/>
              <w:snapToGrid/>
              <w:spacing w:line="300" w:lineRule="exact"/>
              <w:jc w:val="center"/>
              <w:textAlignment w:val="auto"/>
              <w:rPr>
                <w:color w:val="auto"/>
                <w:sz w:val="21"/>
                <w:szCs w:val="21"/>
              </w:rPr>
            </w:pPr>
            <w:r>
              <w:rPr>
                <w:rFonts w:hint="eastAsia"/>
                <w:color w:val="auto"/>
                <w:sz w:val="21"/>
                <w:szCs w:val="21"/>
                <w:lang w:eastAsia="zh-CN"/>
              </w:rPr>
              <w:t>区政府办公室、区行政服务中心</w:t>
            </w:r>
          </w:p>
        </w:tc>
        <w:tc>
          <w:tcPr>
            <w:tcW w:w="1710" w:type="dxa"/>
            <w:tcBorders>
              <w:top w:val="single" w:color="auto" w:sz="2" w:space="0"/>
              <w:left w:val="single" w:color="auto" w:sz="2" w:space="0"/>
              <w:bottom w:val="single" w:color="auto" w:sz="2" w:space="0"/>
              <w:right w:val="single" w:color="auto" w:sz="6" w:space="0"/>
            </w:tcBorders>
            <w:vAlign w:val="center"/>
          </w:tcPr>
          <w:p>
            <w:pPr>
              <w:keepNext w:val="0"/>
              <w:keepLines w:val="0"/>
              <w:pageBreakBefore w:val="0"/>
              <w:kinsoku/>
              <w:wordWrap/>
              <w:overflowPunct/>
              <w:topLinePunct w:val="0"/>
              <w:autoSpaceDN/>
              <w:bidi w:val="0"/>
              <w:adjustRightInd/>
              <w:snapToGrid/>
              <w:spacing w:line="300" w:lineRule="exact"/>
              <w:jc w:val="center"/>
              <w:textAlignment w:val="auto"/>
              <w:rPr>
                <w:color w:val="auto"/>
                <w:sz w:val="21"/>
                <w:szCs w:val="21"/>
              </w:rPr>
            </w:pPr>
            <w:r>
              <w:rPr>
                <w:rFonts w:hint="eastAsia"/>
                <w:color w:val="auto"/>
                <w:sz w:val="21"/>
                <w:szCs w:val="21"/>
                <w:lang w:eastAsia="zh-CN"/>
              </w:rPr>
              <w:t>各乡镇街道、区</w:t>
            </w:r>
            <w:r>
              <w:rPr>
                <w:color w:val="auto"/>
                <w:sz w:val="21"/>
                <w:szCs w:val="21"/>
              </w:rPr>
              <w:t>政府各部门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229"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restart"/>
            <w:tcBorders>
              <w:top w:val="single" w:color="auto" w:sz="2" w:space="0"/>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80" w:lineRule="exact"/>
              <w:textAlignment w:val="auto"/>
              <w:rPr>
                <w:color w:val="auto"/>
                <w:sz w:val="21"/>
                <w:szCs w:val="21"/>
              </w:rPr>
            </w:pPr>
            <w:r>
              <w:rPr>
                <w:color w:val="auto"/>
                <w:sz w:val="21"/>
                <w:szCs w:val="21"/>
              </w:rPr>
              <w:t>（十）优化政策咨询服务。</w:t>
            </w:r>
          </w:p>
        </w:tc>
        <w:tc>
          <w:tcPr>
            <w:tcW w:w="4619" w:type="dxa"/>
            <w:tcBorders>
              <w:top w:val="single" w:color="auto" w:sz="2" w:space="0"/>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27</w:t>
            </w:r>
            <w:r>
              <w:rPr>
                <w:rFonts w:hint="eastAsia" w:ascii="方正仿宋_GBK" w:hAnsi="方正仿宋_GBK" w:cs="方正仿宋_GBK"/>
                <w:color w:val="auto"/>
                <w:sz w:val="21"/>
                <w:szCs w:val="21"/>
                <w:lang w:val="en-US" w:eastAsia="zh-CN"/>
              </w:rPr>
              <w:t>．</w:t>
            </w:r>
            <w:r>
              <w:rPr>
                <w:rFonts w:ascii="方正书宋_GBK" w:hAnsi="方正书宋_GBK"/>
                <w:color w:val="auto"/>
                <w:sz w:val="21"/>
                <w:szCs w:val="21"/>
              </w:rPr>
              <w:t>加大政策咨询窗口建设力度，提高政务服务便民热线、实体服务大厅的政策咨询服务水平，更好解答生育、教育、养老、医疗、就业创业、社会救助、投资、纳税、疫情防控等方面与人民群众切身利益密切相关的问题。</w:t>
            </w:r>
          </w:p>
        </w:tc>
        <w:tc>
          <w:tcPr>
            <w:tcW w:w="1488"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jc w:val="center"/>
              <w:textAlignment w:val="auto"/>
              <w:rPr>
                <w:rFonts w:hint="eastAsia" w:eastAsia="方正仿宋_GBK"/>
                <w:color w:val="auto"/>
                <w:sz w:val="21"/>
                <w:szCs w:val="21"/>
                <w:lang w:eastAsia="zh-CN"/>
              </w:rPr>
            </w:pPr>
            <w:r>
              <w:rPr>
                <w:rFonts w:hint="eastAsia"/>
                <w:color w:val="auto"/>
                <w:sz w:val="21"/>
                <w:szCs w:val="21"/>
                <w:lang w:eastAsia="zh-CN"/>
              </w:rPr>
              <w:t>区政府办公室、区行政服务中心、各乡镇街道</w:t>
            </w:r>
          </w:p>
        </w:tc>
        <w:tc>
          <w:tcPr>
            <w:tcW w:w="1710" w:type="dxa"/>
            <w:tcBorders>
              <w:top w:val="single" w:color="auto" w:sz="2" w:space="0"/>
              <w:left w:val="single" w:color="auto" w:sz="2" w:space="0"/>
              <w:right w:val="single" w:color="auto" w:sz="6"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 w:val="21"/>
                <w:szCs w:val="21"/>
              </w:rPr>
            </w:pPr>
            <w:r>
              <w:rPr>
                <w:rFonts w:hint="eastAsia"/>
                <w:color w:val="auto"/>
                <w:sz w:val="21"/>
                <w:szCs w:val="21"/>
                <w:lang w:eastAsia="zh-CN"/>
              </w:rPr>
              <w:t>区发展改革委、区教委、区民政局、区人力社保局、区卫生健康委、区医保局、黔江区税务局等区级有关部门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134" w:hRule="atLeast"/>
          <w:jc w:val="center"/>
        </w:trPr>
        <w:tc>
          <w:tcPr>
            <w:tcW w:w="822" w:type="dxa"/>
            <w:vMerge w:val="continue"/>
            <w:tcBorders>
              <w:left w:val="single" w:color="auto" w:sz="6" w:space="0"/>
              <w:bottom w:val="single" w:color="auto" w:sz="2" w:space="0"/>
              <w:right w:val="single" w:color="auto" w:sz="2" w:space="0"/>
            </w:tcBorders>
            <w:vAlign w:val="center"/>
          </w:tcPr>
          <w:p>
            <w:pPr>
              <w:jc w:val="center"/>
              <w:rPr>
                <w:color w:val="auto"/>
              </w:rPr>
            </w:pPr>
          </w:p>
        </w:tc>
        <w:tc>
          <w:tcPr>
            <w:tcW w:w="1325" w:type="dxa"/>
            <w:vMerge w:val="continue"/>
            <w:tcBorders>
              <w:left w:val="single" w:color="auto" w:sz="2" w:space="0"/>
              <w:bottom w:val="single" w:color="auto" w:sz="2" w:space="0"/>
              <w:right w:val="single" w:color="auto" w:sz="2" w:space="0"/>
            </w:tcBorders>
            <w:tcMar>
              <w:top w:w="57" w:type="dxa"/>
              <w:left w:w="85" w:type="dxa"/>
              <w:bottom w:w="57" w:type="dxa"/>
              <w:right w:w="85" w:type="dxa"/>
            </w:tcMar>
            <w:vAlign w:val="center"/>
          </w:tcPr>
          <w:p>
            <w:pPr>
              <w:jc w:val="center"/>
              <w:rPr>
                <w:color w:val="auto"/>
              </w:rPr>
            </w:pPr>
          </w:p>
        </w:tc>
        <w:tc>
          <w:tcPr>
            <w:tcW w:w="4619" w:type="dxa"/>
            <w:tcBorders>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20" w:lineRule="exact"/>
              <w:jc w:val="left"/>
              <w:textAlignment w:val="auto"/>
              <w:rPr>
                <w:color w:val="auto"/>
              </w:rPr>
            </w:pPr>
            <w:r>
              <w:rPr>
                <w:rFonts w:hint="eastAsia" w:ascii="Times New Roman" w:hAnsi="Times New Roman"/>
                <w:color w:val="auto"/>
                <w:sz w:val="21"/>
                <w:szCs w:val="21"/>
                <w:lang w:val="en-US" w:eastAsia="zh-CN"/>
              </w:rPr>
              <w:t>28</w:t>
            </w:r>
            <w:r>
              <w:rPr>
                <w:color w:val="auto"/>
                <w:sz w:val="21"/>
                <w:szCs w:val="21"/>
              </w:rPr>
              <w:t>．</w:t>
            </w:r>
            <w:r>
              <w:rPr>
                <w:rFonts w:ascii="方正书宋_GBK" w:hAnsi="方正书宋_GBK"/>
                <w:color w:val="auto"/>
                <w:sz w:val="21"/>
                <w:szCs w:val="21"/>
              </w:rPr>
              <w:t>持续推进</w:t>
            </w:r>
            <w:r>
              <w:rPr>
                <w:rFonts w:hint="eastAsia" w:ascii="方正仿宋_GBK" w:hAnsi="方正仿宋_GBK" w:cs="方正仿宋_GBK"/>
                <w:color w:val="auto"/>
                <w:sz w:val="21"/>
                <w:szCs w:val="21"/>
              </w:rPr>
              <w:t>“政策咨询问答库”</w:t>
            </w:r>
            <w:r>
              <w:rPr>
                <w:rFonts w:ascii="方正书宋_GBK" w:hAnsi="方正书宋_GBK"/>
                <w:color w:val="auto"/>
                <w:sz w:val="21"/>
                <w:szCs w:val="21"/>
              </w:rPr>
              <w:t>建设，</w:t>
            </w:r>
            <w:r>
              <w:rPr>
                <w:rFonts w:ascii="Times New Roman" w:hAnsi="Times New Roman"/>
                <w:color w:val="auto"/>
                <w:sz w:val="21"/>
                <w:szCs w:val="21"/>
              </w:rPr>
              <w:t>2022</w:t>
            </w:r>
            <w:r>
              <w:rPr>
                <w:rFonts w:ascii="方正书宋_GBK" w:hAnsi="方正书宋_GBK"/>
                <w:color w:val="auto"/>
                <w:sz w:val="21"/>
                <w:szCs w:val="21"/>
              </w:rPr>
              <w:t>年底前，生育、教育、养老、医疗、就业创业、社会救助、投资、纳税、疫情防控等方面的政策咨询事项全部入库。高频政策咨询事项，要以图解、动画、短视频等易于传播的形式予以解答。</w:t>
            </w:r>
          </w:p>
        </w:tc>
        <w:tc>
          <w:tcPr>
            <w:tcW w:w="1488"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20" w:lineRule="exact"/>
              <w:jc w:val="center"/>
              <w:textAlignment w:val="auto"/>
              <w:rPr>
                <w:rFonts w:hint="eastAsia"/>
                <w:color w:val="auto"/>
                <w:sz w:val="21"/>
                <w:szCs w:val="21"/>
                <w:lang w:eastAsia="zh-CN"/>
              </w:rPr>
            </w:pPr>
            <w:r>
              <w:rPr>
                <w:rFonts w:hint="eastAsia"/>
                <w:color w:val="auto"/>
                <w:sz w:val="21"/>
                <w:szCs w:val="21"/>
                <w:lang w:eastAsia="zh-CN"/>
              </w:rPr>
              <w:t>区政府办公室、区行政服务中心</w:t>
            </w:r>
          </w:p>
        </w:tc>
        <w:tc>
          <w:tcPr>
            <w:tcW w:w="1710" w:type="dxa"/>
            <w:tcBorders>
              <w:left w:val="single" w:color="auto" w:sz="2" w:space="0"/>
              <w:bottom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20" w:lineRule="exact"/>
              <w:jc w:val="center"/>
              <w:textAlignment w:val="auto"/>
              <w:rPr>
                <w:rFonts w:hint="eastAsia"/>
                <w:color w:val="auto"/>
                <w:sz w:val="21"/>
                <w:szCs w:val="21"/>
                <w:lang w:eastAsia="zh-CN"/>
              </w:rPr>
            </w:pPr>
            <w:r>
              <w:rPr>
                <w:rFonts w:hint="eastAsia"/>
                <w:color w:val="auto"/>
                <w:sz w:val="21"/>
                <w:szCs w:val="21"/>
                <w:lang w:eastAsia="zh-CN"/>
              </w:rPr>
              <w:t>区发展改革委、区教委、区民政局、区人力社保局、区卫生健康委、区医保局、黔江区税务局等区级有关部门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704"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color w:val="auto"/>
                <w:sz w:val="21"/>
                <w:szCs w:val="21"/>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rFonts w:hint="eastAsia" w:ascii="方正仿宋_GBK" w:hAnsi="方正仿宋_GBK" w:cs="方正仿宋_GBK"/>
                <w:color w:val="auto"/>
                <w:sz w:val="21"/>
                <w:szCs w:val="21"/>
              </w:rPr>
            </w:pPr>
            <w:r>
              <w:rPr>
                <w:rFonts w:hint="eastAsia" w:ascii="Times New Roman" w:hAnsi="Times New Roman"/>
                <w:color w:val="auto"/>
                <w:sz w:val="21"/>
                <w:szCs w:val="21"/>
                <w:lang w:val="en-US" w:eastAsia="zh-CN"/>
              </w:rPr>
              <w:t>29</w:t>
            </w:r>
            <w:r>
              <w:rPr>
                <w:color w:val="auto"/>
                <w:sz w:val="21"/>
                <w:szCs w:val="21"/>
              </w:rPr>
              <w:t>．发</w:t>
            </w:r>
            <w:r>
              <w:rPr>
                <w:rFonts w:hint="eastAsia" w:ascii="方正仿宋_GBK" w:hAnsi="方正仿宋_GBK" w:cs="方正仿宋_GBK"/>
                <w:color w:val="auto"/>
                <w:sz w:val="21"/>
                <w:szCs w:val="21"/>
              </w:rPr>
              <w:t>挥“政策咨询问答库”的积极作用，“</w:t>
            </w:r>
            <w:r>
              <w:rPr>
                <w:rFonts w:hint="default" w:ascii="Times New Roman" w:hAnsi="Times New Roman" w:cs="Times New Roman"/>
                <w:color w:val="auto"/>
                <w:sz w:val="21"/>
                <w:szCs w:val="21"/>
              </w:rPr>
              <w:t>12345</w:t>
            </w:r>
            <w:r>
              <w:rPr>
                <w:rFonts w:hint="eastAsia" w:ascii="方正仿宋_GBK" w:hAnsi="方正仿宋_GBK" w:cs="方正仿宋_GBK"/>
                <w:color w:val="auto"/>
                <w:sz w:val="21"/>
                <w:szCs w:val="21"/>
              </w:rPr>
              <w:t>”政务服务便民热线、对外联系电话、公开信箱、政务公开专区接到政策咨询后，应率先通过“政策咨询问答库”搜索匹配答复内容，能搜索匹配到答复内容且能立即答复的，要立即答复；不能搜索匹配到答复内容的，要建立登记台账，及时交办政策制定单位提供答复内容，并在</w:t>
            </w:r>
            <w:r>
              <w:rPr>
                <w:rFonts w:hint="default" w:ascii="Times New Roman" w:hAnsi="Times New Roman" w:cs="Times New Roman"/>
                <w:color w:val="auto"/>
                <w:sz w:val="21"/>
                <w:szCs w:val="21"/>
              </w:rPr>
              <w:t>5</w:t>
            </w:r>
            <w:r>
              <w:rPr>
                <w:rFonts w:hint="eastAsia" w:ascii="方正仿宋_GBK" w:hAnsi="方正仿宋_GBK" w:cs="方正仿宋_GBK"/>
                <w:color w:val="auto"/>
                <w:sz w:val="21"/>
                <w:szCs w:val="21"/>
              </w:rPr>
              <w:t>个工作日内主动回复咨询人。</w:t>
            </w:r>
          </w:p>
        </w:tc>
        <w:tc>
          <w:tcPr>
            <w:tcW w:w="1488" w:type="dxa"/>
            <w:tcBorders>
              <w:top w:val="single" w:color="auto" w:sz="2" w:space="0"/>
              <w:left w:val="single" w:color="auto" w:sz="2" w:space="0"/>
              <w:right w:val="single" w:color="auto" w:sz="2" w:space="0"/>
            </w:tcBorders>
            <w:vAlign w:val="center"/>
          </w:tcPr>
          <w:p>
            <w:pPr>
              <w:keepNext w:val="0"/>
              <w:keepLines w:val="0"/>
              <w:pageBreakBefore w:val="0"/>
              <w:widowControl/>
              <w:kinsoku/>
              <w:wordWrap/>
              <w:overflowPunct/>
              <w:topLinePunct w:val="0"/>
              <w:autoSpaceDN/>
              <w:bidi w:val="0"/>
              <w:adjustRightInd/>
              <w:snapToGrid/>
              <w:spacing w:line="320" w:lineRule="exact"/>
              <w:jc w:val="center"/>
              <w:textAlignment w:val="auto"/>
              <w:rPr>
                <w:rFonts w:hint="eastAsia" w:eastAsia="方正仿宋_GBK"/>
                <w:color w:val="auto"/>
                <w:sz w:val="21"/>
                <w:szCs w:val="21"/>
                <w:lang w:eastAsia="zh-CN"/>
              </w:rPr>
            </w:pPr>
            <w:r>
              <w:rPr>
                <w:rFonts w:hint="eastAsia"/>
                <w:color w:val="auto"/>
                <w:sz w:val="21"/>
                <w:szCs w:val="21"/>
                <w:lang w:eastAsia="zh-CN"/>
              </w:rPr>
              <w:t>区政府办公室、区行政服务中心</w:t>
            </w:r>
          </w:p>
        </w:tc>
        <w:tc>
          <w:tcPr>
            <w:tcW w:w="1710" w:type="dxa"/>
            <w:tcBorders>
              <w:top w:val="single" w:color="auto" w:sz="2" w:space="0"/>
              <w:left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20" w:lineRule="exact"/>
              <w:jc w:val="center"/>
              <w:textAlignment w:val="auto"/>
              <w:rPr>
                <w:color w:val="auto"/>
                <w:sz w:val="21"/>
                <w:szCs w:val="21"/>
              </w:rPr>
            </w:pPr>
            <w:r>
              <w:rPr>
                <w:color w:val="auto"/>
                <w:sz w:val="21"/>
                <w:szCs w:val="21"/>
              </w:rPr>
              <w:t>各</w:t>
            </w:r>
            <w:r>
              <w:rPr>
                <w:rFonts w:hint="eastAsia"/>
                <w:color w:val="auto"/>
                <w:sz w:val="21"/>
                <w:szCs w:val="21"/>
                <w:lang w:eastAsia="zh-CN"/>
              </w:rPr>
              <w:t>乡镇街道、区</w:t>
            </w:r>
            <w:r>
              <w:rPr>
                <w:color w:val="auto"/>
                <w:sz w:val="21"/>
                <w:szCs w:val="21"/>
              </w:rPr>
              <w:t>政府各部门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2" w:type="dxa"/>
            <w:vMerge w:val="continue"/>
            <w:tcBorders>
              <w:left w:val="single" w:color="auto" w:sz="6"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color w:val="auto"/>
              </w:rPr>
            </w:pPr>
          </w:p>
        </w:tc>
        <w:tc>
          <w:tcPr>
            <w:tcW w:w="1325" w:type="dxa"/>
            <w:vMerge w:val="continue"/>
            <w:tcBorders>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color w:val="auto"/>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rFonts w:hint="eastAsia" w:ascii="方正书宋_GBK" w:hAnsi="方正书宋_GBK"/>
                <w:color w:val="auto"/>
                <w:sz w:val="21"/>
                <w:szCs w:val="21"/>
                <w:lang w:val="en-US" w:eastAsia="zh-CN"/>
              </w:rPr>
            </w:pPr>
            <w:r>
              <w:rPr>
                <w:rFonts w:hint="eastAsia" w:ascii="Times New Roman" w:hAnsi="Times New Roman"/>
                <w:color w:val="auto"/>
                <w:sz w:val="21"/>
                <w:szCs w:val="21"/>
                <w:lang w:val="en-US" w:eastAsia="zh-CN"/>
              </w:rPr>
              <w:t>30</w:t>
            </w:r>
            <w:r>
              <w:rPr>
                <w:color w:val="auto"/>
                <w:sz w:val="21"/>
                <w:szCs w:val="21"/>
              </w:rPr>
              <w:t>．</w:t>
            </w:r>
            <w:r>
              <w:rPr>
                <w:rFonts w:ascii="方正书宋_GBK" w:hAnsi="方正书宋_GBK"/>
                <w:color w:val="auto"/>
                <w:sz w:val="21"/>
                <w:szCs w:val="21"/>
              </w:rPr>
              <w:t>加强人工智能等技术运用，逐步实现</w:t>
            </w:r>
            <w:r>
              <w:rPr>
                <w:rFonts w:hint="eastAsia" w:ascii="方正仿宋_GBK" w:hAnsi="方正仿宋_GBK" w:cs="方正仿宋_GBK"/>
                <w:color w:val="auto"/>
                <w:sz w:val="21"/>
                <w:szCs w:val="21"/>
              </w:rPr>
              <w:t>“咨询问题”和“答复内容”</w:t>
            </w:r>
            <w:r>
              <w:rPr>
                <w:rFonts w:ascii="方正书宋_GBK" w:hAnsi="方正书宋_GBK"/>
                <w:color w:val="auto"/>
                <w:sz w:val="21"/>
                <w:szCs w:val="21"/>
              </w:rPr>
              <w:t>智能匹配，不断提高咨询服务效率。</w:t>
            </w:r>
          </w:p>
        </w:tc>
        <w:tc>
          <w:tcPr>
            <w:tcW w:w="1488" w:type="dxa"/>
            <w:tcBorders>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jc w:val="center"/>
              <w:textAlignment w:val="auto"/>
              <w:rPr>
                <w:rFonts w:hint="eastAsia" w:ascii="方正书宋_GBK" w:hAnsi="方正书宋_GBK"/>
                <w:color w:val="auto"/>
                <w:sz w:val="21"/>
                <w:szCs w:val="21"/>
                <w:lang w:val="en-US" w:eastAsia="zh-CN"/>
              </w:rPr>
            </w:pPr>
            <w:r>
              <w:rPr>
                <w:rFonts w:hint="eastAsia"/>
                <w:color w:val="auto"/>
                <w:sz w:val="21"/>
                <w:szCs w:val="21"/>
                <w:lang w:eastAsia="zh-CN"/>
              </w:rPr>
              <w:t>区行政服务中心</w:t>
            </w:r>
          </w:p>
        </w:tc>
        <w:tc>
          <w:tcPr>
            <w:tcW w:w="1710" w:type="dxa"/>
            <w:tcBorders>
              <w:left w:val="single" w:color="auto" w:sz="2" w:space="0"/>
              <w:bottom w:val="single" w:color="auto" w:sz="2" w:space="0"/>
              <w:right w:val="single" w:color="auto" w:sz="6"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jc w:val="center"/>
              <w:textAlignment w:val="auto"/>
              <w:rPr>
                <w:rFonts w:hint="eastAsia" w:ascii="方正书宋_GBK" w:hAnsi="方正书宋_GBK"/>
                <w:color w:val="auto"/>
                <w:sz w:val="21"/>
                <w:szCs w:val="21"/>
                <w:lang w:val="en-US" w:eastAsia="zh-CN"/>
              </w:rPr>
            </w:pPr>
            <w:r>
              <w:rPr>
                <w:color w:val="auto"/>
                <w:sz w:val="21"/>
                <w:szCs w:val="21"/>
              </w:rPr>
              <w:t>各</w:t>
            </w:r>
            <w:r>
              <w:rPr>
                <w:rFonts w:hint="eastAsia"/>
                <w:color w:val="auto"/>
                <w:sz w:val="21"/>
                <w:szCs w:val="21"/>
                <w:lang w:eastAsia="zh-CN"/>
              </w:rPr>
              <w:t>乡镇街道</w:t>
            </w:r>
            <w:r>
              <w:rPr>
                <w:color w:val="auto"/>
                <w:sz w:val="21"/>
                <w:szCs w:val="21"/>
              </w:rPr>
              <w:t>、</w:t>
            </w:r>
            <w:r>
              <w:rPr>
                <w:rFonts w:hint="eastAsia"/>
                <w:color w:val="auto"/>
                <w:sz w:val="21"/>
                <w:szCs w:val="21"/>
                <w:lang w:eastAsia="zh-CN"/>
              </w:rPr>
              <w:t>区</w:t>
            </w:r>
            <w:r>
              <w:rPr>
                <w:color w:val="auto"/>
                <w:sz w:val="21"/>
                <w:szCs w:val="21"/>
              </w:rPr>
              <w:t>政府各部门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04" w:hRule="atLeast"/>
          <w:jc w:val="center"/>
        </w:trPr>
        <w:tc>
          <w:tcPr>
            <w:tcW w:w="822" w:type="dxa"/>
            <w:vMerge w:val="restart"/>
            <w:tcBorders>
              <w:top w:val="single" w:color="auto" w:sz="2" w:space="0"/>
              <w:left w:val="single" w:color="auto" w:sz="6" w:space="0"/>
              <w:right w:val="single" w:color="auto" w:sz="2" w:space="0"/>
            </w:tcBorders>
            <w:tcMar>
              <w:top w:w="57" w:type="dxa"/>
              <w:left w:w="85" w:type="dxa"/>
              <w:bottom w:w="57" w:type="dxa"/>
              <w:right w:w="85" w:type="dxa"/>
            </w:tcMar>
            <w:vAlign w:val="center"/>
          </w:tcPr>
          <w:p>
            <w:pPr>
              <w:rPr>
                <w:color w:val="auto"/>
                <w:sz w:val="21"/>
                <w:szCs w:val="21"/>
              </w:rPr>
            </w:pPr>
            <w:r>
              <w:rPr>
                <w:color w:val="auto"/>
                <w:sz w:val="21"/>
                <w:szCs w:val="21"/>
              </w:rPr>
              <w:t>四、夯实公开工作基础</w:t>
            </w:r>
          </w:p>
        </w:tc>
        <w:tc>
          <w:tcPr>
            <w:tcW w:w="1325" w:type="dxa"/>
            <w:vMerge w:val="restart"/>
            <w:tcBorders>
              <w:top w:val="single" w:color="auto" w:sz="2" w:space="0"/>
              <w:left w:val="single" w:color="auto" w:sz="2" w:space="0"/>
              <w:right w:val="single" w:color="auto" w:sz="2" w:space="0"/>
            </w:tcBorders>
            <w:tcMar>
              <w:top w:w="57" w:type="dxa"/>
              <w:left w:w="85" w:type="dxa"/>
              <w:bottom w:w="57" w:type="dxa"/>
              <w:right w:w="85" w:type="dxa"/>
            </w:tcMar>
            <w:vAlign w:val="center"/>
          </w:tcPr>
          <w:p>
            <w:pPr>
              <w:rPr>
                <w:color w:val="auto"/>
                <w:sz w:val="21"/>
                <w:szCs w:val="21"/>
              </w:rPr>
            </w:pPr>
            <w:r>
              <w:rPr>
                <w:color w:val="auto"/>
                <w:sz w:val="21"/>
                <w:szCs w:val="21"/>
              </w:rPr>
              <w:t>（十一）规范执行政府信息公开制度。</w:t>
            </w: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3</w:t>
            </w:r>
            <w:r>
              <w:rPr>
                <w:rFonts w:ascii="Times New Roman" w:hAnsi="Times New Roman"/>
                <w:color w:val="auto"/>
                <w:sz w:val="21"/>
                <w:szCs w:val="21"/>
              </w:rPr>
              <w:t>1</w:t>
            </w:r>
            <w:r>
              <w:rPr>
                <w:color w:val="auto"/>
                <w:sz w:val="21"/>
                <w:szCs w:val="21"/>
              </w:rPr>
              <w:t>．在公开工作中增强规范意识，完善政府信息公开保密审查制度，对拟公开的政府信息依法依规严格做好保密审查，防止泄露国家秘密、工作秘密和敏感信息，防范数据汇聚引发泄密风险。</w:t>
            </w:r>
          </w:p>
        </w:tc>
        <w:tc>
          <w:tcPr>
            <w:tcW w:w="1488" w:type="dxa"/>
            <w:tcBorders>
              <w:top w:val="single" w:color="auto" w:sz="2" w:space="0"/>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20" w:lineRule="exact"/>
              <w:jc w:val="center"/>
              <w:textAlignment w:val="auto"/>
              <w:rPr>
                <w:rFonts w:hint="eastAsia" w:eastAsia="方正仿宋_GBK"/>
                <w:color w:val="auto"/>
                <w:sz w:val="21"/>
                <w:szCs w:val="21"/>
                <w:lang w:eastAsia="zh-CN"/>
              </w:rPr>
            </w:pPr>
            <w:r>
              <w:rPr>
                <w:rFonts w:hint="eastAsia"/>
                <w:color w:val="auto"/>
                <w:sz w:val="21"/>
                <w:szCs w:val="21"/>
                <w:lang w:eastAsia="zh-CN"/>
              </w:rPr>
              <w:t>区政府办公室</w:t>
            </w:r>
          </w:p>
        </w:tc>
        <w:tc>
          <w:tcPr>
            <w:tcW w:w="1710" w:type="dxa"/>
            <w:tcBorders>
              <w:top w:val="single" w:color="auto" w:sz="2" w:space="0"/>
              <w:left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20" w:lineRule="exact"/>
              <w:jc w:val="center"/>
              <w:textAlignment w:val="auto"/>
              <w:rPr>
                <w:color w:val="auto"/>
                <w:sz w:val="21"/>
                <w:szCs w:val="21"/>
              </w:rPr>
            </w:pPr>
            <w:r>
              <w:rPr>
                <w:color w:val="auto"/>
                <w:sz w:val="21"/>
                <w:szCs w:val="21"/>
              </w:rPr>
              <w:t>各</w:t>
            </w:r>
            <w:r>
              <w:rPr>
                <w:rFonts w:hint="eastAsia"/>
                <w:color w:val="auto"/>
                <w:sz w:val="21"/>
                <w:szCs w:val="21"/>
                <w:lang w:eastAsia="zh-CN"/>
              </w:rPr>
              <w:t>乡镇街道</w:t>
            </w:r>
            <w:r>
              <w:rPr>
                <w:color w:val="auto"/>
                <w:sz w:val="21"/>
                <w:szCs w:val="21"/>
              </w:rPr>
              <w:t>、</w:t>
            </w:r>
            <w:r>
              <w:rPr>
                <w:rFonts w:hint="eastAsia"/>
                <w:color w:val="auto"/>
                <w:sz w:val="21"/>
                <w:szCs w:val="21"/>
                <w:lang w:eastAsia="zh-CN"/>
              </w:rPr>
              <w:t>区</w:t>
            </w:r>
            <w:r>
              <w:rPr>
                <w:color w:val="auto"/>
                <w:sz w:val="21"/>
                <w:szCs w:val="21"/>
              </w:rPr>
              <w:t>政府各部门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3" w:hRule="atLeast"/>
          <w:jc w:val="center"/>
        </w:trPr>
        <w:tc>
          <w:tcPr>
            <w:tcW w:w="822" w:type="dxa"/>
            <w:vMerge w:val="continue"/>
            <w:tcBorders>
              <w:left w:val="single" w:color="auto" w:sz="6"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color w:val="auto"/>
              </w:rPr>
            </w:pPr>
          </w:p>
        </w:tc>
        <w:tc>
          <w:tcPr>
            <w:tcW w:w="1325" w:type="dxa"/>
            <w:vMerge w:val="continue"/>
            <w:tcBorders>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color w:val="auto"/>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3</w:t>
            </w:r>
            <w:r>
              <w:rPr>
                <w:rFonts w:ascii="Times New Roman" w:hAnsi="Times New Roman"/>
                <w:color w:val="auto"/>
                <w:sz w:val="21"/>
                <w:szCs w:val="21"/>
              </w:rPr>
              <w:t>2</w:t>
            </w:r>
            <w:r>
              <w:rPr>
                <w:color w:val="auto"/>
                <w:sz w:val="21"/>
                <w:szCs w:val="21"/>
              </w:rPr>
              <w:t>．</w:t>
            </w:r>
            <w:r>
              <w:rPr>
                <w:rFonts w:hint="eastAsia"/>
                <w:color w:val="auto"/>
                <w:sz w:val="21"/>
                <w:szCs w:val="21"/>
                <w:lang w:eastAsia="zh-CN"/>
              </w:rPr>
              <w:t>严格</w:t>
            </w:r>
            <w:r>
              <w:rPr>
                <w:color w:val="auto"/>
                <w:sz w:val="21"/>
                <w:szCs w:val="21"/>
              </w:rPr>
              <w:t>执行《政府信息公开信息处理费管理办法》，</w:t>
            </w:r>
            <w:r>
              <w:rPr>
                <w:rFonts w:hint="eastAsia"/>
                <w:color w:val="auto"/>
                <w:sz w:val="21"/>
                <w:szCs w:val="21"/>
                <w:lang w:eastAsia="zh-CN"/>
              </w:rPr>
              <w:t>各乡镇街道和</w:t>
            </w:r>
            <w:r>
              <w:rPr>
                <w:color w:val="auto"/>
                <w:sz w:val="21"/>
                <w:szCs w:val="21"/>
              </w:rPr>
              <w:t>区政府</w:t>
            </w:r>
            <w:r>
              <w:rPr>
                <w:rFonts w:hint="eastAsia"/>
                <w:color w:val="auto"/>
                <w:sz w:val="21"/>
                <w:szCs w:val="21"/>
                <w:lang w:eastAsia="zh-CN"/>
              </w:rPr>
              <w:t>各</w:t>
            </w:r>
            <w:r>
              <w:rPr>
                <w:color w:val="auto"/>
                <w:sz w:val="21"/>
                <w:szCs w:val="21"/>
              </w:rPr>
              <w:t>部门收取信息处理费前，要报</w:t>
            </w:r>
            <w:r>
              <w:rPr>
                <w:rFonts w:hint="eastAsia"/>
                <w:color w:val="auto"/>
                <w:sz w:val="21"/>
                <w:szCs w:val="21"/>
                <w:lang w:eastAsia="zh-CN"/>
              </w:rPr>
              <w:t>区政府办公室进行</w:t>
            </w:r>
            <w:r>
              <w:rPr>
                <w:color w:val="auto"/>
                <w:sz w:val="21"/>
                <w:szCs w:val="21"/>
              </w:rPr>
              <w:t>核准。</w:t>
            </w:r>
          </w:p>
        </w:tc>
        <w:tc>
          <w:tcPr>
            <w:tcW w:w="1488" w:type="dxa"/>
            <w:tcBorders>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20" w:lineRule="exact"/>
              <w:jc w:val="center"/>
              <w:textAlignment w:val="auto"/>
              <w:rPr>
                <w:color w:val="auto"/>
                <w:sz w:val="21"/>
                <w:szCs w:val="21"/>
              </w:rPr>
            </w:pPr>
            <w:r>
              <w:rPr>
                <w:rFonts w:hint="eastAsia"/>
                <w:color w:val="auto"/>
                <w:sz w:val="21"/>
                <w:szCs w:val="21"/>
                <w:lang w:eastAsia="zh-CN"/>
              </w:rPr>
              <w:t>区政府办公室</w:t>
            </w:r>
          </w:p>
        </w:tc>
        <w:tc>
          <w:tcPr>
            <w:tcW w:w="1710" w:type="dxa"/>
            <w:tcBorders>
              <w:left w:val="single" w:color="auto" w:sz="2" w:space="0"/>
              <w:bottom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20" w:lineRule="exact"/>
              <w:jc w:val="center"/>
              <w:textAlignment w:val="auto"/>
              <w:rPr>
                <w:color w:val="auto"/>
                <w:sz w:val="21"/>
                <w:szCs w:val="21"/>
              </w:rPr>
            </w:pPr>
            <w:r>
              <w:rPr>
                <w:color w:val="auto"/>
                <w:sz w:val="21"/>
                <w:szCs w:val="21"/>
              </w:rPr>
              <w:t>各</w:t>
            </w:r>
            <w:r>
              <w:rPr>
                <w:rFonts w:hint="eastAsia"/>
                <w:color w:val="auto"/>
                <w:sz w:val="21"/>
                <w:szCs w:val="21"/>
                <w:lang w:eastAsia="zh-CN"/>
              </w:rPr>
              <w:t>乡镇街道</w:t>
            </w:r>
            <w:r>
              <w:rPr>
                <w:color w:val="auto"/>
                <w:sz w:val="21"/>
                <w:szCs w:val="21"/>
              </w:rPr>
              <w:t>、</w:t>
            </w:r>
            <w:r>
              <w:rPr>
                <w:rFonts w:hint="eastAsia"/>
                <w:color w:val="auto"/>
                <w:sz w:val="21"/>
                <w:szCs w:val="21"/>
                <w:lang w:eastAsia="zh-CN"/>
              </w:rPr>
              <w:t>区</w:t>
            </w:r>
            <w:r>
              <w:rPr>
                <w:color w:val="auto"/>
                <w:sz w:val="21"/>
                <w:szCs w:val="21"/>
              </w:rPr>
              <w:t>政府各部门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color w:val="auto"/>
                <w:sz w:val="21"/>
                <w:szCs w:val="21"/>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33</w:t>
            </w:r>
            <w:r>
              <w:rPr>
                <w:color w:val="auto"/>
                <w:sz w:val="21"/>
                <w:szCs w:val="21"/>
              </w:rPr>
              <w:t>．认真执行政府信息公开行政复议案件审理制度，依法审理政府信息公开行政复议案件。</w:t>
            </w:r>
          </w:p>
        </w:tc>
        <w:tc>
          <w:tcPr>
            <w:tcW w:w="1488"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20" w:lineRule="exact"/>
              <w:jc w:val="center"/>
              <w:textAlignment w:val="auto"/>
              <w:rPr>
                <w:color w:val="auto"/>
                <w:sz w:val="21"/>
                <w:szCs w:val="21"/>
              </w:rPr>
            </w:pPr>
            <w:r>
              <w:rPr>
                <w:rFonts w:hint="eastAsia"/>
                <w:color w:val="auto"/>
                <w:sz w:val="21"/>
                <w:szCs w:val="21"/>
                <w:lang w:eastAsia="zh-CN"/>
              </w:rPr>
              <w:t>区</w:t>
            </w:r>
            <w:r>
              <w:rPr>
                <w:color w:val="auto"/>
                <w:sz w:val="21"/>
                <w:szCs w:val="21"/>
              </w:rPr>
              <w:t>司法局</w:t>
            </w:r>
          </w:p>
        </w:tc>
        <w:tc>
          <w:tcPr>
            <w:tcW w:w="1710"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20" w:lineRule="exact"/>
              <w:jc w:val="center"/>
              <w:textAlignment w:val="auto"/>
              <w:rPr>
                <w:rFonts w:hint="eastAsia" w:eastAsia="方正仿宋_GBK"/>
                <w:color w:val="auto"/>
                <w:sz w:val="21"/>
                <w:szCs w:val="21"/>
                <w:lang w:eastAsia="zh-CN"/>
              </w:rPr>
            </w:pPr>
            <w:r>
              <w:rPr>
                <w:rFonts w:hint="eastAsia"/>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29"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rPr>
                <w:color w:val="auto"/>
                <w:sz w:val="21"/>
                <w:szCs w:val="21"/>
              </w:rPr>
            </w:pPr>
            <w:r>
              <w:rPr>
                <w:color w:val="auto"/>
                <w:sz w:val="21"/>
                <w:szCs w:val="21"/>
              </w:rPr>
              <w:t>（十二）科学合理确定公开方式。</w:t>
            </w: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34</w:t>
            </w:r>
            <w:r>
              <w:rPr>
                <w:color w:val="auto"/>
                <w:sz w:val="21"/>
                <w:szCs w:val="21"/>
              </w:rPr>
              <w:t>．</w:t>
            </w:r>
            <w:r>
              <w:rPr>
                <w:color w:val="auto"/>
                <w:spacing w:val="-3"/>
                <w:sz w:val="21"/>
                <w:szCs w:val="21"/>
              </w:rPr>
              <w:t>准确把握不同类型公开要求，综合考虑公开目的、公开效果、后续影响等因素，科学合理确定公开方式。公开内容涉及社会公众利益调整、需要广泛知晓的，可通过互联网等渠道公开。公开内容仅涉及部分特定对象，或者相关规定明确要求在特定范围内公示的，要选择适当的公开方式，防止危害国家安全、公共安全、经济安全、社会稳定或者泄露个人隐私、商业秘密。</w:t>
            </w:r>
          </w:p>
        </w:tc>
        <w:tc>
          <w:tcPr>
            <w:tcW w:w="1488"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20" w:lineRule="exact"/>
              <w:jc w:val="center"/>
              <w:textAlignment w:val="auto"/>
              <w:rPr>
                <w:rFonts w:hint="eastAsia" w:eastAsia="方正仿宋_GBK"/>
                <w:color w:val="auto"/>
                <w:sz w:val="21"/>
                <w:szCs w:val="21"/>
                <w:lang w:eastAsia="zh-CN"/>
              </w:rPr>
            </w:pPr>
            <w:r>
              <w:rPr>
                <w:rFonts w:hint="eastAsia"/>
                <w:color w:val="auto"/>
                <w:sz w:val="21"/>
                <w:szCs w:val="21"/>
                <w:lang w:eastAsia="zh-CN"/>
              </w:rPr>
              <w:t>区政府办公室</w:t>
            </w:r>
          </w:p>
        </w:tc>
        <w:tc>
          <w:tcPr>
            <w:tcW w:w="1710"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20" w:lineRule="exact"/>
              <w:jc w:val="center"/>
              <w:textAlignment w:val="auto"/>
              <w:rPr>
                <w:color w:val="auto"/>
                <w:sz w:val="21"/>
                <w:szCs w:val="21"/>
              </w:rPr>
            </w:pPr>
            <w:r>
              <w:rPr>
                <w:color w:val="auto"/>
                <w:sz w:val="21"/>
                <w:szCs w:val="21"/>
              </w:rPr>
              <w:t>各</w:t>
            </w:r>
            <w:r>
              <w:rPr>
                <w:rFonts w:hint="eastAsia"/>
                <w:color w:val="auto"/>
                <w:sz w:val="21"/>
                <w:szCs w:val="21"/>
                <w:lang w:eastAsia="zh-CN"/>
              </w:rPr>
              <w:t>乡镇街道</w:t>
            </w:r>
            <w:r>
              <w:rPr>
                <w:color w:val="auto"/>
                <w:sz w:val="21"/>
                <w:szCs w:val="21"/>
              </w:rPr>
              <w:t>、</w:t>
            </w:r>
            <w:r>
              <w:rPr>
                <w:rFonts w:hint="eastAsia"/>
                <w:color w:val="auto"/>
                <w:sz w:val="21"/>
                <w:szCs w:val="21"/>
                <w:lang w:eastAsia="zh-CN"/>
              </w:rPr>
              <w:t>区</w:t>
            </w:r>
            <w:r>
              <w:rPr>
                <w:color w:val="auto"/>
                <w:sz w:val="21"/>
                <w:szCs w:val="21"/>
              </w:rPr>
              <w:t>政府各部门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restart"/>
            <w:tcBorders>
              <w:top w:val="single" w:color="auto" w:sz="2" w:space="0"/>
              <w:left w:val="single" w:color="auto" w:sz="2" w:space="0"/>
              <w:right w:val="single" w:color="auto" w:sz="2" w:space="0"/>
            </w:tcBorders>
            <w:tcMar>
              <w:top w:w="57" w:type="dxa"/>
              <w:left w:w="85" w:type="dxa"/>
              <w:bottom w:w="57" w:type="dxa"/>
              <w:right w:w="85" w:type="dxa"/>
            </w:tcMar>
            <w:vAlign w:val="center"/>
          </w:tcPr>
          <w:p>
            <w:pPr>
              <w:rPr>
                <w:color w:val="auto"/>
                <w:sz w:val="21"/>
                <w:szCs w:val="21"/>
              </w:rPr>
            </w:pPr>
            <w:r>
              <w:rPr>
                <w:color w:val="auto"/>
                <w:sz w:val="21"/>
                <w:szCs w:val="21"/>
              </w:rPr>
              <w:t>（十三）加强公开平台建设。</w:t>
            </w: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35</w:t>
            </w:r>
            <w:r>
              <w:rPr>
                <w:color w:val="auto"/>
                <w:sz w:val="21"/>
                <w:szCs w:val="21"/>
              </w:rPr>
              <w:t>．</w:t>
            </w:r>
            <w:r>
              <w:rPr>
                <w:rFonts w:ascii="方正书宋_GBK" w:hAnsi="方正书宋_GBK"/>
                <w:color w:val="auto"/>
                <w:sz w:val="21"/>
                <w:szCs w:val="21"/>
              </w:rPr>
              <w:t>严格落实网络意识形态责任制，切实履行政府网站和政务新媒体主管、主办、承办职责，确保安全平稳运行。</w:t>
            </w:r>
          </w:p>
        </w:tc>
        <w:tc>
          <w:tcPr>
            <w:tcW w:w="1488" w:type="dxa"/>
            <w:tcBorders>
              <w:top w:val="single" w:color="auto" w:sz="2" w:space="0"/>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80" w:lineRule="exact"/>
              <w:jc w:val="center"/>
              <w:textAlignment w:val="auto"/>
              <w:rPr>
                <w:rFonts w:hint="eastAsia" w:eastAsia="方正仿宋_GBK"/>
                <w:color w:val="auto"/>
                <w:sz w:val="21"/>
                <w:szCs w:val="21"/>
                <w:lang w:eastAsia="zh-CN"/>
              </w:rPr>
            </w:pPr>
            <w:r>
              <w:rPr>
                <w:rFonts w:hint="eastAsia"/>
                <w:color w:val="auto"/>
                <w:sz w:val="21"/>
                <w:szCs w:val="21"/>
                <w:lang w:eastAsia="zh-CN"/>
              </w:rPr>
              <w:t>区政府办公室、区行政服务中心</w:t>
            </w:r>
          </w:p>
        </w:tc>
        <w:tc>
          <w:tcPr>
            <w:tcW w:w="1710" w:type="dxa"/>
            <w:tcBorders>
              <w:top w:val="single" w:color="auto" w:sz="2" w:space="0"/>
              <w:left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80" w:lineRule="exact"/>
              <w:jc w:val="center"/>
              <w:textAlignment w:val="auto"/>
              <w:rPr>
                <w:color w:val="auto"/>
                <w:sz w:val="21"/>
                <w:szCs w:val="21"/>
              </w:rPr>
            </w:pPr>
            <w:r>
              <w:rPr>
                <w:rFonts w:hint="eastAsia"/>
                <w:color w:val="auto"/>
                <w:sz w:val="21"/>
                <w:szCs w:val="21"/>
                <w:lang w:eastAsia="zh-CN"/>
              </w:rPr>
              <w:t>各乡镇街道、区政府各部门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color w:val="auto"/>
              </w:rPr>
            </w:pPr>
          </w:p>
        </w:tc>
        <w:tc>
          <w:tcPr>
            <w:tcW w:w="1325" w:type="dxa"/>
            <w:vMerge w:val="continue"/>
            <w:tcBorders>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color w:val="auto"/>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36</w:t>
            </w:r>
            <w:r>
              <w:rPr>
                <w:color w:val="auto"/>
                <w:sz w:val="21"/>
                <w:szCs w:val="21"/>
              </w:rPr>
              <w:t>．全面梳理政府网站和政务新媒体栏目，逐一明确栏目内容、更新周期、责任单位、责任人员，不断改进和提升运维水平。</w:t>
            </w:r>
          </w:p>
        </w:tc>
        <w:tc>
          <w:tcPr>
            <w:tcW w:w="1488" w:type="dxa"/>
            <w:tcBorders>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jc w:val="center"/>
              <w:textAlignment w:val="auto"/>
              <w:rPr>
                <w:rFonts w:hint="eastAsia" w:eastAsia="方正仿宋_GBK"/>
                <w:color w:val="auto"/>
                <w:sz w:val="21"/>
                <w:szCs w:val="21"/>
                <w:lang w:eastAsia="zh-CN"/>
              </w:rPr>
            </w:pPr>
            <w:r>
              <w:rPr>
                <w:rFonts w:hint="eastAsia"/>
                <w:color w:val="auto"/>
                <w:sz w:val="21"/>
                <w:szCs w:val="21"/>
                <w:lang w:eastAsia="zh-CN"/>
              </w:rPr>
              <w:t>区政府办公室、区行政服务中心</w:t>
            </w:r>
          </w:p>
        </w:tc>
        <w:tc>
          <w:tcPr>
            <w:tcW w:w="1710" w:type="dxa"/>
            <w:tcBorders>
              <w:left w:val="single" w:color="auto" w:sz="2" w:space="0"/>
              <w:right w:val="single" w:color="auto" w:sz="6"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jc w:val="center"/>
              <w:textAlignment w:val="auto"/>
              <w:rPr>
                <w:rFonts w:hint="eastAsia" w:eastAsia="方正仿宋_GBK"/>
                <w:color w:val="auto"/>
                <w:sz w:val="21"/>
                <w:szCs w:val="21"/>
                <w:lang w:eastAsia="zh-CN"/>
              </w:rPr>
            </w:pPr>
            <w:r>
              <w:rPr>
                <w:rFonts w:hint="eastAsia"/>
                <w:color w:val="auto"/>
                <w:sz w:val="21"/>
                <w:szCs w:val="21"/>
                <w:lang w:eastAsia="zh-CN"/>
              </w:rPr>
              <w:t>各乡镇街道、区政府各部门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13"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color w:val="auto"/>
                <w:sz w:val="21"/>
                <w:szCs w:val="21"/>
              </w:rPr>
            </w:pPr>
          </w:p>
        </w:tc>
        <w:tc>
          <w:tcPr>
            <w:tcW w:w="1325" w:type="dxa"/>
            <w:vMerge w:val="continue"/>
            <w:tcBorders>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color w:val="auto"/>
                <w:sz w:val="21"/>
                <w:szCs w:val="21"/>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37</w:t>
            </w:r>
            <w:r>
              <w:rPr>
                <w:color w:val="auto"/>
                <w:sz w:val="21"/>
                <w:szCs w:val="21"/>
              </w:rPr>
              <w:t>．</w:t>
            </w:r>
            <w:r>
              <w:rPr>
                <w:rFonts w:hint="eastAsia" w:ascii="方正仿宋_GBK" w:hAnsi="方正仿宋_GBK" w:eastAsia="方正仿宋_GBK" w:cs="方正仿宋_GBK"/>
                <w:color w:val="auto"/>
                <w:sz w:val="21"/>
                <w:szCs w:val="21"/>
              </w:rPr>
              <w:t>规范高效办理“我为政府网站找错”平台网民留言。</w:t>
            </w:r>
          </w:p>
        </w:tc>
        <w:tc>
          <w:tcPr>
            <w:tcW w:w="1488" w:type="dxa"/>
            <w:tcBorders>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jc w:val="center"/>
              <w:textAlignment w:val="auto"/>
              <w:rPr>
                <w:rFonts w:hint="eastAsia" w:eastAsia="方正仿宋_GBK"/>
                <w:color w:val="auto"/>
                <w:sz w:val="21"/>
                <w:szCs w:val="21"/>
                <w:lang w:eastAsia="zh-CN"/>
              </w:rPr>
            </w:pPr>
            <w:r>
              <w:rPr>
                <w:rFonts w:hint="eastAsia"/>
                <w:color w:val="auto"/>
                <w:sz w:val="21"/>
                <w:szCs w:val="21"/>
                <w:lang w:eastAsia="zh-CN"/>
              </w:rPr>
              <w:t>区行政服务中心</w:t>
            </w:r>
          </w:p>
        </w:tc>
        <w:tc>
          <w:tcPr>
            <w:tcW w:w="1710" w:type="dxa"/>
            <w:tcBorders>
              <w:left w:val="single" w:color="auto" w:sz="2" w:space="0"/>
              <w:right w:val="single" w:color="auto" w:sz="6"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jc w:val="center"/>
              <w:textAlignment w:val="auto"/>
              <w:rPr>
                <w:color w:val="auto"/>
                <w:sz w:val="21"/>
                <w:szCs w:val="21"/>
              </w:rPr>
            </w:pPr>
            <w:r>
              <w:rPr>
                <w:rFonts w:hint="eastAsia"/>
                <w:color w:val="auto"/>
                <w:sz w:val="21"/>
                <w:szCs w:val="21"/>
                <w:lang w:eastAsia="zh-CN"/>
              </w:rPr>
              <w:t>各乡镇街道、区政府各部门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2" w:type="dxa"/>
            <w:vMerge w:val="continue"/>
            <w:tcBorders>
              <w:left w:val="single" w:color="auto" w:sz="6"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color w:val="auto"/>
              </w:rPr>
            </w:pPr>
          </w:p>
        </w:tc>
        <w:tc>
          <w:tcPr>
            <w:tcW w:w="1325" w:type="dxa"/>
            <w:vMerge w:val="continue"/>
            <w:tcBorders>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color w:val="auto"/>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jc w:val="both"/>
              <w:textAlignment w:val="auto"/>
              <w:rPr>
                <w:color w:val="auto"/>
                <w:sz w:val="21"/>
                <w:szCs w:val="21"/>
              </w:rPr>
            </w:pPr>
            <w:r>
              <w:rPr>
                <w:rFonts w:hint="eastAsia" w:ascii="Times New Roman" w:hAnsi="Times New Roman"/>
                <w:color w:val="auto"/>
                <w:sz w:val="21"/>
                <w:szCs w:val="21"/>
                <w:lang w:val="en-US" w:eastAsia="zh-CN"/>
              </w:rPr>
              <w:t>38</w:t>
            </w:r>
            <w:r>
              <w:rPr>
                <w:color w:val="auto"/>
                <w:sz w:val="21"/>
                <w:szCs w:val="21"/>
              </w:rPr>
              <w:t>．全面实施IPv</w:t>
            </w:r>
            <w:r>
              <w:rPr>
                <w:rFonts w:ascii="Times New Roman" w:hAnsi="Times New Roman"/>
                <w:color w:val="auto"/>
                <w:sz w:val="21"/>
                <w:szCs w:val="21"/>
              </w:rPr>
              <w:t>6</w:t>
            </w:r>
            <w:r>
              <w:rPr>
                <w:rFonts w:ascii="方正书宋_GBK" w:hAnsi="方正书宋_GBK"/>
                <w:color w:val="auto"/>
                <w:sz w:val="21"/>
                <w:szCs w:val="21"/>
              </w:rPr>
              <w:t>改造，确保</w:t>
            </w:r>
            <w:r>
              <w:rPr>
                <w:rFonts w:ascii="Times New Roman" w:hAnsi="Times New Roman"/>
                <w:color w:val="auto"/>
                <w:sz w:val="21"/>
                <w:szCs w:val="21"/>
              </w:rPr>
              <w:t>2022</w:t>
            </w:r>
            <w:r>
              <w:rPr>
                <w:rFonts w:ascii="方正书宋_GBK" w:hAnsi="方正书宋_GBK"/>
                <w:color w:val="auto"/>
                <w:sz w:val="21"/>
                <w:szCs w:val="21"/>
              </w:rPr>
              <w:t>年底前政府网站所有页面均支持互联网协议第</w:t>
            </w:r>
            <w:r>
              <w:rPr>
                <w:rFonts w:ascii="Times New Roman" w:hAnsi="Times New Roman"/>
                <w:color w:val="auto"/>
                <w:sz w:val="21"/>
                <w:szCs w:val="21"/>
              </w:rPr>
              <w:t>6</w:t>
            </w:r>
            <w:r>
              <w:rPr>
                <w:rFonts w:ascii="方正书宋_GBK" w:hAnsi="方正书宋_GBK"/>
                <w:color w:val="auto"/>
                <w:sz w:val="21"/>
                <w:szCs w:val="21"/>
              </w:rPr>
              <w:t>版。</w:t>
            </w:r>
          </w:p>
        </w:tc>
        <w:tc>
          <w:tcPr>
            <w:tcW w:w="1488" w:type="dxa"/>
            <w:tcBorders>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jc w:val="center"/>
              <w:textAlignment w:val="auto"/>
              <w:rPr>
                <w:rFonts w:hint="eastAsia" w:eastAsia="方正仿宋_GBK"/>
                <w:color w:val="auto"/>
                <w:sz w:val="21"/>
                <w:szCs w:val="21"/>
                <w:lang w:eastAsia="zh-CN"/>
              </w:rPr>
            </w:pPr>
            <w:r>
              <w:rPr>
                <w:rFonts w:hint="eastAsia"/>
                <w:color w:val="auto"/>
                <w:sz w:val="21"/>
                <w:szCs w:val="21"/>
                <w:lang w:eastAsia="zh-CN"/>
              </w:rPr>
              <w:t>区行政服务中心</w:t>
            </w:r>
          </w:p>
        </w:tc>
        <w:tc>
          <w:tcPr>
            <w:tcW w:w="1710" w:type="dxa"/>
            <w:tcBorders>
              <w:left w:val="single" w:color="auto" w:sz="2" w:space="0"/>
              <w:right w:val="single" w:color="auto" w:sz="6"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jc w:val="center"/>
              <w:textAlignment w:val="auto"/>
              <w:rPr>
                <w:rFonts w:hint="eastAsia" w:eastAsia="方正仿宋_GBK"/>
                <w:color w:val="auto"/>
                <w:sz w:val="21"/>
                <w:szCs w:val="21"/>
                <w:lang w:eastAsia="zh-CN"/>
              </w:rPr>
            </w:pPr>
            <w:r>
              <w:rPr>
                <w:rFonts w:hint="eastAsia"/>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54" w:hRule="atLeast"/>
          <w:jc w:val="center"/>
        </w:trPr>
        <w:tc>
          <w:tcPr>
            <w:tcW w:w="822" w:type="dxa"/>
            <w:vMerge w:val="continue"/>
            <w:tcBorders>
              <w:left w:val="single" w:color="auto" w:sz="6"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color w:val="auto"/>
              </w:rPr>
            </w:pPr>
          </w:p>
        </w:tc>
        <w:tc>
          <w:tcPr>
            <w:tcW w:w="1325" w:type="dxa"/>
            <w:vMerge w:val="continue"/>
            <w:tcBorders>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color w:val="auto"/>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39</w:t>
            </w:r>
            <w:r>
              <w:rPr>
                <w:color w:val="auto"/>
                <w:sz w:val="21"/>
                <w:szCs w:val="21"/>
              </w:rPr>
              <w:t>．</w:t>
            </w:r>
            <w:r>
              <w:rPr>
                <w:rFonts w:ascii="方正书宋_GBK" w:hAnsi="方正书宋_GBK"/>
                <w:color w:val="auto"/>
                <w:sz w:val="21"/>
                <w:szCs w:val="21"/>
              </w:rPr>
              <w:t>依托政府网站集约化平台，建立全</w:t>
            </w:r>
            <w:r>
              <w:rPr>
                <w:rFonts w:hint="eastAsia" w:ascii="方正书宋_GBK" w:hAnsi="方正书宋_GBK"/>
                <w:color w:val="auto"/>
                <w:sz w:val="21"/>
                <w:szCs w:val="21"/>
                <w:lang w:eastAsia="zh-CN"/>
              </w:rPr>
              <w:t>区</w:t>
            </w:r>
            <w:r>
              <w:rPr>
                <w:rFonts w:ascii="方正书宋_GBK" w:hAnsi="方正书宋_GBK"/>
                <w:color w:val="auto"/>
                <w:sz w:val="21"/>
                <w:szCs w:val="21"/>
              </w:rPr>
              <w:t>政府网站、政务新媒体整体联动、协作发声机制，及时准确传递党和政府权威声音。</w:t>
            </w:r>
          </w:p>
        </w:tc>
        <w:tc>
          <w:tcPr>
            <w:tcW w:w="1488" w:type="dxa"/>
            <w:tcBorders>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jc w:val="center"/>
              <w:textAlignment w:val="auto"/>
              <w:rPr>
                <w:color w:val="auto"/>
                <w:sz w:val="21"/>
                <w:szCs w:val="21"/>
              </w:rPr>
            </w:pPr>
            <w:r>
              <w:rPr>
                <w:rFonts w:hint="eastAsia"/>
                <w:color w:val="auto"/>
                <w:sz w:val="21"/>
                <w:szCs w:val="21"/>
                <w:lang w:eastAsia="zh-CN"/>
              </w:rPr>
              <w:t>区政府办公室、区行政服务中心</w:t>
            </w:r>
          </w:p>
        </w:tc>
        <w:tc>
          <w:tcPr>
            <w:tcW w:w="1710" w:type="dxa"/>
            <w:tcBorders>
              <w:left w:val="single" w:color="auto" w:sz="2" w:space="0"/>
              <w:right w:val="single" w:color="auto" w:sz="6"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jc w:val="center"/>
              <w:textAlignment w:val="auto"/>
              <w:rPr>
                <w:color w:val="auto"/>
                <w:sz w:val="21"/>
                <w:szCs w:val="21"/>
              </w:rPr>
            </w:pPr>
            <w:r>
              <w:rPr>
                <w:rFonts w:hint="eastAsia"/>
                <w:color w:val="auto"/>
                <w:sz w:val="21"/>
                <w:szCs w:val="21"/>
                <w:lang w:eastAsia="zh-CN"/>
              </w:rPr>
              <w:t>各乡镇街道、区政府各部门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822" w:type="dxa"/>
            <w:vMerge w:val="continue"/>
            <w:tcBorders>
              <w:left w:val="single" w:color="auto" w:sz="6"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color w:val="auto"/>
                <w:sz w:val="21"/>
                <w:szCs w:val="21"/>
              </w:rPr>
            </w:pPr>
          </w:p>
        </w:tc>
        <w:tc>
          <w:tcPr>
            <w:tcW w:w="1325" w:type="dxa"/>
            <w:vMerge w:val="continue"/>
            <w:tcBorders>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0" w:firstLineChars="0"/>
              <w:textAlignment w:val="auto"/>
              <w:rPr>
                <w:color w:val="auto"/>
                <w:sz w:val="21"/>
                <w:szCs w:val="21"/>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40</w:t>
            </w:r>
            <w:r>
              <w:rPr>
                <w:color w:val="auto"/>
                <w:sz w:val="21"/>
                <w:szCs w:val="21"/>
              </w:rPr>
              <w:t>．</w:t>
            </w:r>
            <w:r>
              <w:rPr>
                <w:color w:val="auto"/>
                <w:spacing w:val="3"/>
                <w:sz w:val="21"/>
                <w:szCs w:val="21"/>
              </w:rPr>
              <w:t>强化人员保障，配备</w:t>
            </w:r>
            <w:r>
              <w:rPr>
                <w:rFonts w:ascii="Times New Roman" w:hAnsi="Times New Roman"/>
                <w:color w:val="auto"/>
                <w:spacing w:val="3"/>
                <w:sz w:val="21"/>
                <w:szCs w:val="21"/>
              </w:rPr>
              <w:t>1</w:t>
            </w:r>
            <w:r>
              <w:rPr>
                <w:rFonts w:ascii="方正书宋_GBK" w:hAnsi="方正书宋_GBK"/>
                <w:color w:val="auto"/>
                <w:spacing w:val="3"/>
                <w:sz w:val="21"/>
                <w:szCs w:val="21"/>
              </w:rPr>
              <w:t>—</w:t>
            </w:r>
            <w:r>
              <w:rPr>
                <w:rFonts w:ascii="Times New Roman" w:hAnsi="Times New Roman"/>
                <w:color w:val="auto"/>
                <w:spacing w:val="3"/>
                <w:sz w:val="21"/>
                <w:szCs w:val="21"/>
              </w:rPr>
              <w:t>2</w:t>
            </w:r>
            <w:r>
              <w:rPr>
                <w:rFonts w:ascii="方正书宋_GBK" w:hAnsi="方正书宋_GBK"/>
                <w:color w:val="auto"/>
                <w:spacing w:val="3"/>
                <w:sz w:val="21"/>
                <w:szCs w:val="21"/>
              </w:rPr>
              <w:t>名具备较强互联网能力和行政管理思维的工作人员</w:t>
            </w:r>
            <w:r>
              <w:rPr>
                <w:rFonts w:hint="eastAsia" w:ascii="方正书宋_GBK" w:hAnsi="方正书宋_GBK"/>
                <w:color w:val="auto"/>
                <w:spacing w:val="3"/>
                <w:sz w:val="21"/>
                <w:szCs w:val="21"/>
                <w:lang w:eastAsia="zh-CN"/>
              </w:rPr>
              <w:t>，并通过购买服务组建内容运维团队和技术运维团队，</w:t>
            </w:r>
            <w:r>
              <w:rPr>
                <w:rFonts w:ascii="方正书宋_GBK" w:hAnsi="方正书宋_GBK"/>
                <w:color w:val="auto"/>
                <w:spacing w:val="3"/>
                <w:sz w:val="21"/>
                <w:szCs w:val="21"/>
              </w:rPr>
              <w:t>打造一支具备信息采集、选题策划、编辑加工、大数据分析和安全保障等综合能力，具有高度政治责任感和工作担当的专业化队伍，把政府网站和政务新媒体建设成为</w:t>
            </w:r>
            <w:r>
              <w:rPr>
                <w:rFonts w:hint="eastAsia" w:ascii="方正仿宋_GBK" w:hAnsi="方正仿宋_GBK" w:cs="方正仿宋_GBK"/>
                <w:color w:val="auto"/>
                <w:spacing w:val="3"/>
                <w:sz w:val="21"/>
                <w:szCs w:val="21"/>
              </w:rPr>
              <w:t>“</w:t>
            </w:r>
            <w:r>
              <w:rPr>
                <w:rFonts w:hint="eastAsia" w:ascii="Times New Roman" w:hAnsi="Times New Roman" w:cs="方正仿宋_GBK"/>
                <w:color w:val="auto"/>
                <w:spacing w:val="3"/>
                <w:sz w:val="21"/>
                <w:szCs w:val="21"/>
              </w:rPr>
              <w:t>24</w:t>
            </w:r>
            <w:r>
              <w:rPr>
                <w:rFonts w:hint="eastAsia" w:ascii="方正仿宋_GBK" w:hAnsi="方正仿宋_GBK" w:cs="方正仿宋_GBK"/>
                <w:color w:val="auto"/>
                <w:spacing w:val="3"/>
                <w:sz w:val="21"/>
                <w:szCs w:val="21"/>
              </w:rPr>
              <w:t>小时不打烊的网上政府”</w:t>
            </w:r>
            <w:r>
              <w:rPr>
                <w:rFonts w:ascii="方正书宋_GBK" w:hAnsi="方正书宋_GBK"/>
                <w:color w:val="auto"/>
                <w:spacing w:val="3"/>
                <w:sz w:val="21"/>
                <w:szCs w:val="21"/>
              </w:rPr>
              <w:t>。</w:t>
            </w:r>
          </w:p>
        </w:tc>
        <w:tc>
          <w:tcPr>
            <w:tcW w:w="1488" w:type="dxa"/>
            <w:tcBorders>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jc w:val="center"/>
              <w:textAlignment w:val="auto"/>
              <w:rPr>
                <w:rFonts w:hint="eastAsia" w:eastAsia="方正仿宋_GBK"/>
                <w:color w:val="auto"/>
                <w:sz w:val="21"/>
                <w:szCs w:val="21"/>
                <w:lang w:eastAsia="zh-CN"/>
              </w:rPr>
            </w:pPr>
            <w:r>
              <w:rPr>
                <w:rFonts w:hint="eastAsia"/>
                <w:color w:val="auto"/>
                <w:sz w:val="21"/>
                <w:szCs w:val="21"/>
                <w:lang w:eastAsia="zh-CN"/>
              </w:rPr>
              <w:t>区政府办公室</w:t>
            </w:r>
          </w:p>
        </w:tc>
        <w:tc>
          <w:tcPr>
            <w:tcW w:w="1710" w:type="dxa"/>
            <w:tcBorders>
              <w:left w:val="single" w:color="auto" w:sz="2" w:space="0"/>
              <w:bottom w:val="single" w:color="auto" w:sz="2" w:space="0"/>
              <w:right w:val="single" w:color="auto" w:sz="6"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jc w:val="center"/>
              <w:textAlignment w:val="auto"/>
              <w:rPr>
                <w:color w:val="auto"/>
                <w:sz w:val="21"/>
                <w:szCs w:val="21"/>
              </w:rPr>
            </w:pPr>
            <w:r>
              <w:rPr>
                <w:rFonts w:hint="eastAsia"/>
                <w:color w:val="auto"/>
                <w:sz w:val="21"/>
                <w:szCs w:val="21"/>
                <w:lang w:eastAsia="zh-CN"/>
              </w:rPr>
              <w:t>区行政服务中心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02"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restart"/>
            <w:tcBorders>
              <w:top w:val="single" w:color="auto" w:sz="2" w:space="0"/>
              <w:left w:val="single" w:color="auto" w:sz="2" w:space="0"/>
              <w:right w:val="single" w:color="auto" w:sz="2" w:space="0"/>
            </w:tcBorders>
            <w:vAlign w:val="center"/>
          </w:tcPr>
          <w:p>
            <w:pPr>
              <w:widowControl/>
              <w:jc w:val="both"/>
              <w:rPr>
                <w:rFonts w:hint="eastAsia" w:eastAsia="方正仿宋_GBK"/>
                <w:color w:val="auto"/>
                <w:sz w:val="21"/>
                <w:szCs w:val="21"/>
                <w:lang w:eastAsia="zh-CN"/>
              </w:rPr>
            </w:pPr>
            <w:r>
              <w:rPr>
                <w:rFonts w:hint="eastAsia" w:ascii="方正仿宋_GBK" w:hAnsi="方正仿宋_GBK" w:eastAsia="方正仿宋_GBK" w:cs="方正仿宋_GBK"/>
                <w:color w:val="auto"/>
                <w:sz w:val="21"/>
                <w:szCs w:val="21"/>
                <w:lang w:eastAsia="zh-CN"/>
              </w:rPr>
              <w:t>（十四）扎实推进基层政务公开</w:t>
            </w: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41</w:t>
            </w:r>
            <w:r>
              <w:rPr>
                <w:color w:val="auto"/>
                <w:sz w:val="21"/>
                <w:szCs w:val="21"/>
              </w:rPr>
              <w:t>．</w:t>
            </w:r>
            <w:r>
              <w:rPr>
                <w:color w:val="auto"/>
                <w:spacing w:val="-3"/>
                <w:sz w:val="21"/>
                <w:szCs w:val="21"/>
              </w:rPr>
              <w:t>动态更新基层政务公开标准目录，</w:t>
            </w:r>
            <w:r>
              <w:rPr>
                <w:color w:val="auto"/>
                <w:sz w:val="21"/>
                <w:szCs w:val="21"/>
              </w:rPr>
              <w:t>认真落实各领域基层政务公开标准指引，全面、及时、准确地公开相关信息。</w:t>
            </w:r>
          </w:p>
        </w:tc>
        <w:tc>
          <w:tcPr>
            <w:tcW w:w="148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N/>
              <w:bidi w:val="0"/>
              <w:adjustRightInd/>
              <w:snapToGrid/>
              <w:spacing w:line="280" w:lineRule="exact"/>
              <w:jc w:val="center"/>
              <w:textAlignment w:val="auto"/>
              <w:rPr>
                <w:rFonts w:hint="eastAsia" w:eastAsia="方正仿宋_GBK"/>
                <w:color w:val="auto"/>
                <w:sz w:val="21"/>
                <w:szCs w:val="21"/>
                <w:lang w:eastAsia="zh-CN"/>
              </w:rPr>
            </w:pPr>
            <w:r>
              <w:rPr>
                <w:rFonts w:hint="eastAsia"/>
                <w:color w:val="auto"/>
                <w:sz w:val="21"/>
                <w:szCs w:val="21"/>
                <w:lang w:eastAsia="zh-CN"/>
              </w:rPr>
              <w:t>区政府办公室</w:t>
            </w:r>
          </w:p>
        </w:tc>
        <w:tc>
          <w:tcPr>
            <w:tcW w:w="1710"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80" w:lineRule="exact"/>
              <w:jc w:val="center"/>
              <w:textAlignment w:val="auto"/>
              <w:rPr>
                <w:rFonts w:hint="eastAsia" w:eastAsia="方正仿宋_GBK"/>
                <w:color w:val="auto"/>
                <w:sz w:val="21"/>
                <w:szCs w:val="21"/>
                <w:lang w:eastAsia="zh-CN"/>
              </w:rPr>
            </w:pPr>
            <w:r>
              <w:rPr>
                <w:color w:val="auto"/>
                <w:sz w:val="21"/>
                <w:szCs w:val="21"/>
              </w:rPr>
              <w:t>各</w:t>
            </w:r>
            <w:r>
              <w:rPr>
                <w:rFonts w:hint="eastAsia"/>
                <w:color w:val="auto"/>
                <w:sz w:val="21"/>
                <w:szCs w:val="21"/>
                <w:lang w:eastAsia="zh-CN"/>
              </w:rPr>
              <w:t>乡镇街道、区政府有关部门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54"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continue"/>
            <w:tcBorders>
              <w:left w:val="single" w:color="auto" w:sz="2" w:space="0"/>
              <w:right w:val="single" w:color="auto" w:sz="2" w:space="0"/>
            </w:tcBorders>
            <w:vAlign w:val="center"/>
          </w:tcPr>
          <w:p>
            <w:pPr>
              <w:widowControl/>
              <w:jc w:val="left"/>
              <w:rPr>
                <w:color w:val="auto"/>
                <w:sz w:val="21"/>
                <w:szCs w:val="21"/>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42</w:t>
            </w:r>
            <w:r>
              <w:rPr>
                <w:rFonts w:hint="eastAsia"/>
                <w:color w:val="auto"/>
                <w:sz w:val="21"/>
                <w:szCs w:val="21"/>
                <w:lang w:eastAsia="zh-CN"/>
              </w:rPr>
              <w:t>．</w:t>
            </w:r>
            <w:r>
              <w:rPr>
                <w:rFonts w:ascii="方正书宋_GBK" w:hAnsi="方正书宋_GBK"/>
                <w:color w:val="auto"/>
                <w:sz w:val="21"/>
                <w:szCs w:val="21"/>
              </w:rPr>
              <w:t>及时公开惠民惠农财政补贴依据文件、政策清单、申报指南、申报信息、发放信息、投诉举报渠道等信息。加强惠民惠农财政补贴政策宣传，采取简明问答、图表图解、案例说明等多种方式，制作一批政策宣传读物，免费向村（居）民发放。</w:t>
            </w:r>
          </w:p>
        </w:tc>
        <w:tc>
          <w:tcPr>
            <w:tcW w:w="1488" w:type="dxa"/>
            <w:tcBorders>
              <w:top w:val="single" w:color="auto" w:sz="2" w:space="0"/>
              <w:left w:val="single" w:color="auto" w:sz="2" w:space="0"/>
              <w:right w:val="single" w:color="auto" w:sz="2" w:space="0"/>
            </w:tcBorders>
            <w:vAlign w:val="center"/>
          </w:tcPr>
          <w:p>
            <w:pPr>
              <w:keepNext w:val="0"/>
              <w:keepLines w:val="0"/>
              <w:pageBreakBefore w:val="0"/>
              <w:widowControl/>
              <w:kinsoku/>
              <w:wordWrap/>
              <w:overflowPunct/>
              <w:topLinePunct w:val="0"/>
              <w:autoSpaceDN/>
              <w:bidi w:val="0"/>
              <w:adjustRightInd/>
              <w:snapToGrid/>
              <w:spacing w:line="280" w:lineRule="exact"/>
              <w:jc w:val="center"/>
              <w:textAlignment w:val="auto"/>
              <w:rPr>
                <w:rFonts w:hint="eastAsia" w:eastAsia="方正仿宋_GBK"/>
                <w:color w:val="auto"/>
                <w:sz w:val="21"/>
                <w:szCs w:val="21"/>
                <w:lang w:eastAsia="zh-CN"/>
              </w:rPr>
            </w:pPr>
            <w:r>
              <w:rPr>
                <w:rFonts w:hint="eastAsia"/>
                <w:color w:val="auto"/>
                <w:sz w:val="21"/>
                <w:szCs w:val="21"/>
                <w:lang w:eastAsia="zh-CN"/>
              </w:rPr>
              <w:t>区财政局</w:t>
            </w:r>
          </w:p>
        </w:tc>
        <w:tc>
          <w:tcPr>
            <w:tcW w:w="1710" w:type="dxa"/>
            <w:tcBorders>
              <w:top w:val="single" w:color="auto" w:sz="2" w:space="0"/>
              <w:left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80" w:lineRule="exact"/>
              <w:jc w:val="center"/>
              <w:textAlignment w:val="auto"/>
              <w:rPr>
                <w:rFonts w:hint="eastAsia" w:eastAsia="方正仿宋_GBK"/>
                <w:color w:val="auto"/>
                <w:sz w:val="21"/>
                <w:szCs w:val="21"/>
                <w:lang w:eastAsia="zh-CN"/>
              </w:rPr>
            </w:pPr>
            <w:r>
              <w:rPr>
                <w:color w:val="auto"/>
                <w:sz w:val="21"/>
                <w:szCs w:val="21"/>
              </w:rPr>
              <w:t>各</w:t>
            </w:r>
            <w:r>
              <w:rPr>
                <w:rFonts w:hint="eastAsia"/>
                <w:color w:val="auto"/>
                <w:sz w:val="21"/>
                <w:szCs w:val="21"/>
                <w:lang w:eastAsia="zh-CN"/>
              </w:rPr>
              <w:t>乡镇街道、区政府有关部门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822" w:type="dxa"/>
            <w:vMerge w:val="continue"/>
            <w:tcBorders>
              <w:left w:val="single" w:color="auto" w:sz="6"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color w:val="auto"/>
              </w:rPr>
            </w:pPr>
          </w:p>
        </w:tc>
        <w:tc>
          <w:tcPr>
            <w:tcW w:w="1325" w:type="dxa"/>
            <w:vMerge w:val="continue"/>
            <w:tcBorders>
              <w:left w:val="single" w:color="auto" w:sz="2" w:space="0"/>
              <w:right w:val="single" w:color="auto" w:sz="2" w:space="0"/>
            </w:tcBorders>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color w:val="auto"/>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43</w:t>
            </w:r>
            <w:r>
              <w:rPr>
                <w:rFonts w:hint="eastAsia"/>
                <w:color w:val="auto"/>
                <w:sz w:val="21"/>
                <w:szCs w:val="21"/>
                <w:lang w:eastAsia="zh-CN"/>
              </w:rPr>
              <w:t>．</w:t>
            </w:r>
            <w:r>
              <w:rPr>
                <w:rFonts w:ascii="方正书宋_GBK" w:hAnsi="方正书宋_GBK"/>
                <w:color w:val="auto"/>
                <w:sz w:val="21"/>
                <w:szCs w:val="21"/>
              </w:rPr>
              <w:t>分领域汇总当年面向农村的各类惠民惠农财政补贴资金实际发放结果，年底前以村为单位在村务公开栏、</w:t>
            </w:r>
            <w:r>
              <w:rPr>
                <w:rFonts w:hint="eastAsia" w:ascii="方正书宋_GBK" w:hAnsi="方正书宋_GBK"/>
                <w:color w:val="auto"/>
                <w:sz w:val="21"/>
                <w:szCs w:val="21"/>
                <w:lang w:eastAsia="zh-CN"/>
              </w:rPr>
              <w:t>各乡镇街道便民服务中心</w:t>
            </w:r>
            <w:r>
              <w:rPr>
                <w:rFonts w:ascii="方正书宋_GBK" w:hAnsi="方正书宋_GBK"/>
                <w:color w:val="auto"/>
                <w:sz w:val="21"/>
                <w:szCs w:val="21"/>
              </w:rPr>
              <w:t>政务公开专区公开</w:t>
            </w:r>
            <w:r>
              <w:rPr>
                <w:rFonts w:ascii="Times New Roman" w:hAnsi="Times New Roman"/>
                <w:color w:val="auto"/>
                <w:sz w:val="21"/>
                <w:szCs w:val="21"/>
              </w:rPr>
              <w:t>7</w:t>
            </w:r>
            <w:r>
              <w:rPr>
                <w:rFonts w:ascii="方正书宋_GBK" w:hAnsi="方正书宋_GBK"/>
                <w:color w:val="auto"/>
                <w:sz w:val="21"/>
                <w:szCs w:val="21"/>
              </w:rPr>
              <w:t>个工作日，公开期满</w:t>
            </w:r>
            <w:r>
              <w:rPr>
                <w:color w:val="auto"/>
                <w:sz w:val="21"/>
                <w:szCs w:val="21"/>
              </w:rPr>
              <w:t>后相关材料留存村委会、政务公开专区供群众查阅。</w:t>
            </w:r>
          </w:p>
        </w:tc>
        <w:tc>
          <w:tcPr>
            <w:tcW w:w="1488" w:type="dxa"/>
            <w:tcBorders>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N/>
              <w:bidi w:val="0"/>
              <w:adjustRightInd/>
              <w:snapToGrid/>
              <w:spacing w:line="280" w:lineRule="exact"/>
              <w:jc w:val="center"/>
              <w:textAlignment w:val="auto"/>
              <w:rPr>
                <w:color w:val="auto"/>
                <w:sz w:val="21"/>
                <w:szCs w:val="21"/>
              </w:rPr>
            </w:pPr>
            <w:r>
              <w:rPr>
                <w:rFonts w:hint="eastAsia"/>
                <w:color w:val="auto"/>
                <w:sz w:val="21"/>
                <w:szCs w:val="21"/>
                <w:lang w:eastAsia="zh-CN"/>
              </w:rPr>
              <w:t>区财政局</w:t>
            </w:r>
          </w:p>
        </w:tc>
        <w:tc>
          <w:tcPr>
            <w:tcW w:w="1710" w:type="dxa"/>
            <w:tcBorders>
              <w:left w:val="single" w:color="auto" w:sz="2" w:space="0"/>
              <w:bottom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80" w:lineRule="exact"/>
              <w:jc w:val="center"/>
              <w:textAlignment w:val="auto"/>
              <w:rPr>
                <w:color w:val="auto"/>
                <w:sz w:val="21"/>
                <w:szCs w:val="21"/>
              </w:rPr>
            </w:pPr>
            <w:r>
              <w:rPr>
                <w:color w:val="auto"/>
                <w:sz w:val="21"/>
                <w:szCs w:val="21"/>
              </w:rPr>
              <w:t>各</w:t>
            </w:r>
            <w:r>
              <w:rPr>
                <w:rFonts w:hint="eastAsia"/>
                <w:color w:val="auto"/>
                <w:sz w:val="21"/>
                <w:szCs w:val="21"/>
                <w:lang w:eastAsia="zh-CN"/>
              </w:rPr>
              <w:t>乡镇街道、区政府有关部门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continue"/>
            <w:tcBorders>
              <w:left w:val="single" w:color="auto" w:sz="2" w:space="0"/>
              <w:right w:val="single" w:color="auto" w:sz="2" w:space="0"/>
            </w:tcBorders>
            <w:vAlign w:val="center"/>
          </w:tcPr>
          <w:p>
            <w:pPr>
              <w:widowControl/>
              <w:jc w:val="left"/>
              <w:rPr>
                <w:color w:val="auto"/>
                <w:sz w:val="21"/>
                <w:szCs w:val="21"/>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44</w:t>
            </w:r>
            <w:r>
              <w:rPr>
                <w:rFonts w:hint="eastAsia"/>
                <w:color w:val="auto"/>
                <w:sz w:val="21"/>
                <w:szCs w:val="21"/>
                <w:lang w:eastAsia="zh-CN"/>
              </w:rPr>
              <w:t>．</w:t>
            </w:r>
            <w:r>
              <w:rPr>
                <w:color w:val="auto"/>
                <w:sz w:val="21"/>
                <w:szCs w:val="21"/>
              </w:rPr>
              <w:t>以公开促服务，更好适应基层群众信息获取习惯和现实条件，着力加强电话解答、现场解答等政策咨询渠道建设，推动政务公开与村（居）务公开的协调联动。</w:t>
            </w:r>
          </w:p>
        </w:tc>
        <w:tc>
          <w:tcPr>
            <w:tcW w:w="1488"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80" w:lineRule="exact"/>
              <w:jc w:val="center"/>
              <w:textAlignment w:val="auto"/>
              <w:rPr>
                <w:color w:val="auto"/>
                <w:sz w:val="21"/>
                <w:szCs w:val="21"/>
              </w:rPr>
            </w:pPr>
            <w:r>
              <w:rPr>
                <w:rFonts w:hint="eastAsia"/>
                <w:color w:val="auto"/>
                <w:sz w:val="21"/>
                <w:szCs w:val="21"/>
                <w:lang w:eastAsia="zh-CN"/>
              </w:rPr>
              <w:t>区政府办公室</w:t>
            </w:r>
            <w:r>
              <w:rPr>
                <w:color w:val="auto"/>
                <w:sz w:val="21"/>
                <w:szCs w:val="21"/>
              </w:rPr>
              <w:t>、</w:t>
            </w:r>
            <w:r>
              <w:rPr>
                <w:rFonts w:hint="eastAsia"/>
                <w:color w:val="auto"/>
                <w:sz w:val="21"/>
                <w:szCs w:val="21"/>
                <w:lang w:eastAsia="zh-CN"/>
              </w:rPr>
              <w:t>区</w:t>
            </w:r>
            <w:r>
              <w:rPr>
                <w:color w:val="auto"/>
                <w:sz w:val="21"/>
                <w:szCs w:val="21"/>
              </w:rPr>
              <w:t>民政局</w:t>
            </w:r>
          </w:p>
        </w:tc>
        <w:tc>
          <w:tcPr>
            <w:tcW w:w="1710"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80" w:lineRule="exact"/>
              <w:jc w:val="center"/>
              <w:textAlignment w:val="auto"/>
              <w:rPr>
                <w:rFonts w:hint="eastAsia" w:eastAsia="方正仿宋_GBK"/>
                <w:color w:val="auto"/>
                <w:sz w:val="21"/>
                <w:szCs w:val="21"/>
                <w:lang w:eastAsia="zh-CN"/>
              </w:rPr>
            </w:pPr>
            <w:r>
              <w:rPr>
                <w:rFonts w:hint="eastAsia"/>
                <w:color w:val="auto"/>
                <w:sz w:val="21"/>
                <w:szCs w:val="21"/>
                <w:lang w:eastAsia="zh-CN"/>
              </w:rPr>
              <w:t>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continue"/>
            <w:tcBorders>
              <w:left w:val="single" w:color="auto" w:sz="2" w:space="0"/>
              <w:bottom w:val="single" w:color="auto" w:sz="2" w:space="0"/>
              <w:right w:val="single" w:color="auto" w:sz="2" w:space="0"/>
            </w:tcBorders>
            <w:vAlign w:val="center"/>
          </w:tcPr>
          <w:p>
            <w:pPr>
              <w:widowControl/>
              <w:jc w:val="left"/>
              <w:rPr>
                <w:color w:val="auto"/>
                <w:sz w:val="21"/>
                <w:szCs w:val="21"/>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45</w:t>
            </w:r>
            <w:r>
              <w:rPr>
                <w:rFonts w:hint="eastAsia"/>
                <w:color w:val="auto"/>
                <w:sz w:val="21"/>
                <w:szCs w:val="21"/>
                <w:lang w:eastAsia="zh-CN"/>
              </w:rPr>
              <w:t>．</w:t>
            </w:r>
            <w:r>
              <w:rPr>
                <w:color w:val="auto"/>
                <w:sz w:val="21"/>
                <w:szCs w:val="21"/>
              </w:rPr>
              <w:t>抓好政务公开专区提档升级，加大宣传推广力度，优化政府信息网上查询、政府信息公开申请接收、政策咨询等服务，不断提升群众获取政府信息的便捷度和满意度。</w:t>
            </w:r>
          </w:p>
        </w:tc>
        <w:tc>
          <w:tcPr>
            <w:tcW w:w="1488"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80" w:lineRule="exact"/>
              <w:jc w:val="center"/>
              <w:textAlignment w:val="auto"/>
              <w:rPr>
                <w:rFonts w:hint="eastAsia" w:eastAsia="方正仿宋_GBK"/>
                <w:color w:val="auto"/>
                <w:sz w:val="21"/>
                <w:szCs w:val="21"/>
                <w:lang w:eastAsia="zh-CN"/>
              </w:rPr>
            </w:pPr>
            <w:r>
              <w:rPr>
                <w:rFonts w:hint="eastAsia"/>
                <w:color w:val="auto"/>
                <w:sz w:val="21"/>
                <w:szCs w:val="21"/>
                <w:lang w:eastAsia="zh-CN"/>
              </w:rPr>
              <w:t>区政府办公室</w:t>
            </w:r>
          </w:p>
        </w:tc>
        <w:tc>
          <w:tcPr>
            <w:tcW w:w="1710"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80" w:lineRule="exact"/>
              <w:jc w:val="center"/>
              <w:textAlignment w:val="auto"/>
              <w:rPr>
                <w:rFonts w:hint="eastAsia" w:eastAsia="方正仿宋_GBK"/>
                <w:color w:val="auto"/>
                <w:sz w:val="21"/>
                <w:szCs w:val="21"/>
                <w:lang w:eastAsia="zh-CN"/>
              </w:rPr>
            </w:pPr>
            <w:r>
              <w:rPr>
                <w:rFonts w:hint="eastAsia"/>
                <w:color w:val="auto"/>
                <w:sz w:val="21"/>
                <w:szCs w:val="21"/>
                <w:lang w:eastAsia="zh-CN"/>
              </w:rPr>
              <w:t>区文化旅游委、区行政服务中心、区档案馆、各乡镇街道</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73" w:hRule="atLeast"/>
          <w:jc w:val="center"/>
        </w:trPr>
        <w:tc>
          <w:tcPr>
            <w:tcW w:w="822" w:type="dxa"/>
            <w:vMerge w:val="restart"/>
            <w:tcBorders>
              <w:top w:val="single" w:color="auto" w:sz="2" w:space="0"/>
              <w:left w:val="single" w:color="auto" w:sz="6" w:space="0"/>
              <w:right w:val="single" w:color="auto" w:sz="2" w:space="0"/>
            </w:tcBorders>
            <w:tcMar>
              <w:top w:w="57" w:type="dxa"/>
              <w:left w:w="85" w:type="dxa"/>
              <w:bottom w:w="57" w:type="dxa"/>
              <w:right w:w="85" w:type="dxa"/>
            </w:tcMar>
            <w:vAlign w:val="center"/>
          </w:tcPr>
          <w:p>
            <w:pPr>
              <w:rPr>
                <w:color w:val="auto"/>
                <w:sz w:val="21"/>
                <w:szCs w:val="21"/>
              </w:rPr>
            </w:pPr>
            <w:r>
              <w:rPr>
                <w:color w:val="auto"/>
                <w:sz w:val="21"/>
                <w:szCs w:val="21"/>
              </w:rPr>
              <w:t>五、强化工作指导监督</w:t>
            </w:r>
          </w:p>
        </w:tc>
        <w:tc>
          <w:tcPr>
            <w:tcW w:w="1325" w:type="dxa"/>
            <w:vMerge w:val="restart"/>
            <w:tcBorders>
              <w:top w:val="single" w:color="auto" w:sz="2" w:space="0"/>
              <w:left w:val="single" w:color="auto" w:sz="2" w:space="0"/>
              <w:right w:val="single" w:color="auto" w:sz="2" w:space="0"/>
            </w:tcBorders>
            <w:tcMar>
              <w:top w:w="57" w:type="dxa"/>
              <w:left w:w="85" w:type="dxa"/>
              <w:bottom w:w="57" w:type="dxa"/>
              <w:right w:w="85" w:type="dxa"/>
            </w:tcMar>
            <w:vAlign w:val="center"/>
          </w:tcPr>
          <w:p>
            <w:pPr>
              <w:rPr>
                <w:color w:val="auto"/>
                <w:sz w:val="21"/>
                <w:szCs w:val="21"/>
              </w:rPr>
            </w:pPr>
            <w:r>
              <w:rPr>
                <w:color w:val="auto"/>
                <w:sz w:val="21"/>
                <w:szCs w:val="21"/>
              </w:rPr>
              <w:t>（十五）严格落实主体责任。</w:t>
            </w: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46</w:t>
            </w:r>
            <w:r>
              <w:rPr>
                <w:rFonts w:ascii="方正书宋_GBK" w:hAnsi="方正书宋_GBK"/>
                <w:color w:val="auto"/>
                <w:sz w:val="21"/>
                <w:szCs w:val="21"/>
              </w:rPr>
              <w:t>．按照</w:t>
            </w:r>
            <w:r>
              <w:rPr>
                <w:rFonts w:hint="eastAsia" w:ascii="方正仿宋_GBK" w:hAnsi="方正仿宋_GBK" w:cs="方正仿宋_GBK"/>
                <w:color w:val="auto"/>
                <w:sz w:val="21"/>
                <w:szCs w:val="21"/>
              </w:rPr>
              <w:t>“谁起草、谁公开”</w:t>
            </w:r>
            <w:r>
              <w:rPr>
                <w:rFonts w:ascii="方正书宋_GBK" w:hAnsi="方正书宋_GBK"/>
                <w:color w:val="auto"/>
                <w:sz w:val="21"/>
                <w:szCs w:val="21"/>
              </w:rPr>
              <w:t>原则，政府信息起草单位</w:t>
            </w:r>
            <w:r>
              <w:rPr>
                <w:rFonts w:hint="eastAsia" w:ascii="方正书宋_GBK" w:hAnsi="方正书宋_GBK"/>
                <w:color w:val="auto"/>
                <w:sz w:val="21"/>
                <w:szCs w:val="21"/>
                <w:lang w:eastAsia="zh-CN"/>
              </w:rPr>
              <w:t>，要进一步压实</w:t>
            </w:r>
            <w:r>
              <w:rPr>
                <w:rFonts w:ascii="方正书宋_GBK" w:hAnsi="方正书宋_GBK"/>
                <w:color w:val="auto"/>
                <w:sz w:val="21"/>
                <w:szCs w:val="21"/>
              </w:rPr>
              <w:t>信息发布</w:t>
            </w:r>
            <w:r>
              <w:rPr>
                <w:rFonts w:hint="eastAsia" w:ascii="方正书宋_GBK" w:hAnsi="方正书宋_GBK"/>
                <w:color w:val="auto"/>
                <w:sz w:val="21"/>
                <w:szCs w:val="21"/>
                <w:lang w:eastAsia="zh-CN"/>
              </w:rPr>
              <w:t>责任</w:t>
            </w:r>
            <w:r>
              <w:rPr>
                <w:rFonts w:ascii="方正书宋_GBK" w:hAnsi="方正书宋_GBK"/>
                <w:color w:val="auto"/>
                <w:sz w:val="21"/>
                <w:szCs w:val="21"/>
              </w:rPr>
              <w:t>。拟公开的政府信息，起草单位要从政治、法律、政策、保密、文字等方面进行全面审查，并充分评估政策本身可能带来的各种影响，以及时机和形势可能产生的附加作用，科学确定发布时间，避免发生误解误读。</w:t>
            </w:r>
          </w:p>
        </w:tc>
        <w:tc>
          <w:tcPr>
            <w:tcW w:w="1488" w:type="dxa"/>
            <w:tcBorders>
              <w:top w:val="single" w:color="auto" w:sz="2" w:space="0"/>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80" w:lineRule="exact"/>
              <w:jc w:val="center"/>
              <w:textAlignment w:val="auto"/>
              <w:rPr>
                <w:rFonts w:hint="eastAsia" w:eastAsia="方正仿宋_GBK"/>
                <w:color w:val="auto"/>
                <w:sz w:val="21"/>
                <w:szCs w:val="21"/>
                <w:lang w:eastAsia="zh-CN"/>
              </w:rPr>
            </w:pPr>
            <w:r>
              <w:rPr>
                <w:rFonts w:hint="eastAsia"/>
                <w:color w:val="auto"/>
                <w:sz w:val="21"/>
                <w:szCs w:val="21"/>
                <w:lang w:eastAsia="zh-CN"/>
              </w:rPr>
              <w:t>区政府办公室</w:t>
            </w:r>
          </w:p>
        </w:tc>
        <w:tc>
          <w:tcPr>
            <w:tcW w:w="1710" w:type="dxa"/>
            <w:tcBorders>
              <w:top w:val="single" w:color="auto" w:sz="2" w:space="0"/>
              <w:left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80" w:lineRule="exact"/>
              <w:jc w:val="center"/>
              <w:textAlignment w:val="auto"/>
              <w:rPr>
                <w:color w:val="auto"/>
                <w:sz w:val="21"/>
                <w:szCs w:val="21"/>
              </w:rPr>
            </w:pPr>
            <w:r>
              <w:rPr>
                <w:color w:val="auto"/>
                <w:sz w:val="21"/>
                <w:szCs w:val="21"/>
              </w:rPr>
              <w:t>各</w:t>
            </w:r>
            <w:r>
              <w:rPr>
                <w:rFonts w:hint="eastAsia"/>
                <w:color w:val="auto"/>
                <w:sz w:val="21"/>
                <w:szCs w:val="21"/>
                <w:lang w:eastAsia="zh-CN"/>
              </w:rPr>
              <w:t>乡镇街道</w:t>
            </w:r>
            <w:r>
              <w:rPr>
                <w:color w:val="auto"/>
                <w:sz w:val="21"/>
                <w:szCs w:val="21"/>
              </w:rPr>
              <w:t>、</w:t>
            </w:r>
            <w:r>
              <w:rPr>
                <w:rFonts w:hint="eastAsia"/>
                <w:color w:val="auto"/>
                <w:sz w:val="21"/>
                <w:szCs w:val="21"/>
                <w:lang w:eastAsia="zh-CN"/>
              </w:rPr>
              <w:t>区</w:t>
            </w:r>
            <w:r>
              <w:rPr>
                <w:color w:val="auto"/>
                <w:sz w:val="21"/>
                <w:szCs w:val="21"/>
              </w:rPr>
              <w:t>政府各部门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604" w:hRule="atLeast"/>
          <w:jc w:val="center"/>
        </w:trPr>
        <w:tc>
          <w:tcPr>
            <w:tcW w:w="822" w:type="dxa"/>
            <w:vMerge w:val="continue"/>
            <w:tcBorders>
              <w:left w:val="single" w:color="auto" w:sz="6"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color w:val="auto"/>
              </w:rPr>
            </w:pPr>
          </w:p>
        </w:tc>
        <w:tc>
          <w:tcPr>
            <w:tcW w:w="1325" w:type="dxa"/>
            <w:vMerge w:val="continue"/>
            <w:tcBorders>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color w:val="auto"/>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47</w:t>
            </w:r>
            <w:r>
              <w:rPr>
                <w:rFonts w:ascii="方正书宋_GBK" w:hAnsi="方正书宋_GBK"/>
                <w:color w:val="auto"/>
                <w:sz w:val="21"/>
                <w:szCs w:val="21"/>
              </w:rPr>
              <w:t>．按照</w:t>
            </w:r>
            <w:r>
              <w:rPr>
                <w:rFonts w:hint="eastAsia" w:ascii="方正仿宋_GBK" w:hAnsi="方正仿宋_GBK" w:cs="方正仿宋_GBK"/>
                <w:color w:val="auto"/>
                <w:sz w:val="21"/>
                <w:szCs w:val="21"/>
              </w:rPr>
              <w:t>“谁起草、谁解读”</w:t>
            </w:r>
            <w:r>
              <w:rPr>
                <w:rFonts w:ascii="方正书宋_GBK" w:hAnsi="方正书宋_GBK"/>
                <w:color w:val="auto"/>
                <w:sz w:val="21"/>
                <w:szCs w:val="21"/>
              </w:rPr>
              <w:t>原则，</w:t>
            </w:r>
            <w:r>
              <w:rPr>
                <w:rFonts w:hint="eastAsia" w:ascii="方正书宋_GBK" w:hAnsi="方正书宋_GBK"/>
                <w:color w:val="auto"/>
                <w:sz w:val="21"/>
                <w:szCs w:val="21"/>
                <w:lang w:eastAsia="zh-CN"/>
              </w:rPr>
              <w:t>政策性文件起草单位，要</w:t>
            </w:r>
            <w:r>
              <w:rPr>
                <w:rFonts w:hint="eastAsia" w:ascii="方正书宋_GBK" w:hAnsi="方正书宋_GBK"/>
                <w:color w:val="auto"/>
                <w:sz w:val="21"/>
                <w:szCs w:val="21"/>
              </w:rPr>
              <w:t>坚持政策性文件与解读方案、解读材料同步组织、同步审签、同步部署。</w:t>
            </w:r>
            <w:r>
              <w:rPr>
                <w:rFonts w:ascii="方正书宋_GBK" w:hAnsi="方正书宋_GBK"/>
                <w:color w:val="auto"/>
                <w:sz w:val="21"/>
                <w:szCs w:val="21"/>
              </w:rPr>
              <w:t>加大助企纾困、减税降费、投资审批、基础设施、重大建设项目、疫情防控、稳岗就业等政策解读力度。政策出台前，要通过公开征求意见、政策吹风会等方式吸纳公众意见、引导社会预期；政策公布时，要同步发布权威解读，并通过短视频、图文等形式提高传播到达率；政策执行过程中，要密切跟踪舆情，分段、多次、持续开展解读，及时解疑释惑。</w:t>
            </w:r>
          </w:p>
        </w:tc>
        <w:tc>
          <w:tcPr>
            <w:tcW w:w="1488" w:type="dxa"/>
            <w:tcBorders>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80" w:lineRule="exact"/>
              <w:jc w:val="center"/>
              <w:textAlignment w:val="auto"/>
              <w:rPr>
                <w:color w:val="auto"/>
                <w:sz w:val="21"/>
                <w:szCs w:val="21"/>
              </w:rPr>
            </w:pPr>
            <w:r>
              <w:rPr>
                <w:rFonts w:hint="eastAsia"/>
                <w:color w:val="auto"/>
                <w:sz w:val="21"/>
                <w:szCs w:val="21"/>
                <w:lang w:eastAsia="zh-CN"/>
              </w:rPr>
              <w:t>区政府办公室</w:t>
            </w:r>
          </w:p>
        </w:tc>
        <w:tc>
          <w:tcPr>
            <w:tcW w:w="1710" w:type="dxa"/>
            <w:tcBorders>
              <w:left w:val="single" w:color="auto" w:sz="2" w:space="0"/>
              <w:bottom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80" w:lineRule="exact"/>
              <w:jc w:val="center"/>
              <w:textAlignment w:val="auto"/>
              <w:rPr>
                <w:color w:val="auto"/>
                <w:sz w:val="21"/>
                <w:szCs w:val="21"/>
              </w:rPr>
            </w:pPr>
            <w:r>
              <w:rPr>
                <w:color w:val="auto"/>
                <w:sz w:val="21"/>
                <w:szCs w:val="21"/>
              </w:rPr>
              <w:t>各</w:t>
            </w:r>
            <w:r>
              <w:rPr>
                <w:rFonts w:hint="eastAsia"/>
                <w:color w:val="auto"/>
                <w:sz w:val="21"/>
                <w:szCs w:val="21"/>
                <w:lang w:eastAsia="zh-CN"/>
              </w:rPr>
              <w:t>乡镇街道</w:t>
            </w:r>
            <w:r>
              <w:rPr>
                <w:color w:val="auto"/>
                <w:sz w:val="21"/>
                <w:szCs w:val="21"/>
              </w:rPr>
              <w:t>、</w:t>
            </w:r>
            <w:r>
              <w:rPr>
                <w:rFonts w:hint="eastAsia"/>
                <w:color w:val="auto"/>
                <w:sz w:val="21"/>
                <w:szCs w:val="21"/>
                <w:lang w:eastAsia="zh-CN"/>
              </w:rPr>
              <w:t>区</w:t>
            </w:r>
            <w:r>
              <w:rPr>
                <w:color w:val="auto"/>
                <w:sz w:val="21"/>
                <w:szCs w:val="21"/>
              </w:rPr>
              <w:t>政府各部门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color w:val="auto"/>
                <w:sz w:val="21"/>
                <w:szCs w:val="21"/>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48</w:t>
            </w:r>
            <w:r>
              <w:rPr>
                <w:rFonts w:ascii="方正书宋_GBK" w:hAnsi="方正书宋_GBK"/>
                <w:color w:val="auto"/>
                <w:sz w:val="21"/>
                <w:szCs w:val="21"/>
              </w:rPr>
              <w:t>．</w:t>
            </w:r>
            <w:r>
              <w:rPr>
                <w:color w:val="auto"/>
                <w:sz w:val="21"/>
                <w:szCs w:val="21"/>
              </w:rPr>
              <w:t>严格落实涉事部门政务舆情回应第一主体责任。密切关注助企纾困、减税降费、投资审批、基础设施、重大建设项目、疫情防控、稳岗就业等领域的政务舆情，不断增强回应的主动性、针对性和时效性。</w:t>
            </w:r>
            <w:r>
              <w:rPr>
                <w:rFonts w:hint="eastAsia"/>
                <w:color w:val="auto"/>
                <w:sz w:val="21"/>
                <w:szCs w:val="21"/>
                <w:lang w:eastAsia="zh-CN"/>
              </w:rPr>
              <w:t>各单位</w:t>
            </w:r>
            <w:r>
              <w:rPr>
                <w:color w:val="auto"/>
                <w:sz w:val="21"/>
                <w:szCs w:val="21"/>
              </w:rPr>
              <w:t>主要负责人要积极参加</w:t>
            </w:r>
            <w:r>
              <w:rPr>
                <w:rFonts w:hint="eastAsia" w:ascii="方正仿宋_GBK" w:hAnsi="方正仿宋_GBK" w:cs="方正仿宋_GBK"/>
                <w:color w:val="auto"/>
                <w:sz w:val="21"/>
                <w:szCs w:val="21"/>
              </w:rPr>
              <w:t>“发言人来了”“提问一把手”</w:t>
            </w:r>
            <w:r>
              <w:rPr>
                <w:color w:val="auto"/>
                <w:sz w:val="21"/>
                <w:szCs w:val="21"/>
              </w:rPr>
              <w:t>活动，发出权威声音，主动回应社会关切。</w:t>
            </w:r>
          </w:p>
        </w:tc>
        <w:tc>
          <w:tcPr>
            <w:tcW w:w="1488"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80" w:lineRule="exact"/>
              <w:jc w:val="center"/>
              <w:textAlignment w:val="auto"/>
              <w:rPr>
                <w:color w:val="auto"/>
                <w:sz w:val="21"/>
                <w:szCs w:val="21"/>
              </w:rPr>
            </w:pPr>
            <w:r>
              <w:rPr>
                <w:rFonts w:hint="eastAsia"/>
                <w:color w:val="auto"/>
                <w:sz w:val="21"/>
                <w:szCs w:val="21"/>
                <w:lang w:eastAsia="zh-CN"/>
              </w:rPr>
              <w:t>区</w:t>
            </w:r>
            <w:r>
              <w:rPr>
                <w:color w:val="auto"/>
                <w:sz w:val="21"/>
                <w:szCs w:val="21"/>
              </w:rPr>
              <w:t>政府新闻办、</w:t>
            </w:r>
            <w:r>
              <w:rPr>
                <w:rFonts w:hint="eastAsia"/>
                <w:color w:val="auto"/>
                <w:sz w:val="21"/>
                <w:szCs w:val="21"/>
                <w:lang w:eastAsia="zh-CN"/>
              </w:rPr>
              <w:t>区</w:t>
            </w:r>
            <w:r>
              <w:rPr>
                <w:color w:val="auto"/>
                <w:sz w:val="21"/>
                <w:szCs w:val="21"/>
              </w:rPr>
              <w:t>网信办</w:t>
            </w:r>
          </w:p>
        </w:tc>
        <w:tc>
          <w:tcPr>
            <w:tcW w:w="1710" w:type="dxa"/>
            <w:tcBorders>
              <w:top w:val="single" w:color="auto" w:sz="2" w:space="0"/>
              <w:left w:val="single" w:color="auto" w:sz="2" w:space="0"/>
              <w:bottom w:val="single" w:color="auto" w:sz="2" w:space="0"/>
              <w:right w:val="single" w:color="auto" w:sz="6" w:space="0"/>
            </w:tcBorders>
            <w:vAlign w:val="center"/>
          </w:tcPr>
          <w:p>
            <w:pPr>
              <w:keepNext w:val="0"/>
              <w:keepLines w:val="0"/>
              <w:pageBreakBefore w:val="0"/>
              <w:widowControl/>
              <w:kinsoku/>
              <w:wordWrap/>
              <w:overflowPunct/>
              <w:topLinePunct w:val="0"/>
              <w:autoSpaceDN/>
              <w:bidi w:val="0"/>
              <w:adjustRightInd/>
              <w:snapToGrid/>
              <w:spacing w:line="280" w:lineRule="exact"/>
              <w:jc w:val="center"/>
              <w:textAlignment w:val="auto"/>
              <w:rPr>
                <w:color w:val="auto"/>
                <w:sz w:val="21"/>
                <w:szCs w:val="21"/>
              </w:rPr>
            </w:pPr>
            <w:r>
              <w:rPr>
                <w:color w:val="auto"/>
                <w:sz w:val="21"/>
                <w:szCs w:val="21"/>
              </w:rPr>
              <w:t>各</w:t>
            </w:r>
            <w:r>
              <w:rPr>
                <w:rFonts w:hint="eastAsia"/>
                <w:color w:val="auto"/>
                <w:sz w:val="21"/>
                <w:szCs w:val="21"/>
                <w:lang w:eastAsia="zh-CN"/>
              </w:rPr>
              <w:t>乡镇街道</w:t>
            </w:r>
            <w:r>
              <w:rPr>
                <w:color w:val="auto"/>
                <w:sz w:val="21"/>
                <w:szCs w:val="21"/>
              </w:rPr>
              <w:t>、</w:t>
            </w:r>
            <w:r>
              <w:rPr>
                <w:rFonts w:hint="eastAsia"/>
                <w:color w:val="auto"/>
                <w:sz w:val="21"/>
                <w:szCs w:val="21"/>
                <w:lang w:eastAsia="zh-CN"/>
              </w:rPr>
              <w:t>区</w:t>
            </w:r>
            <w:r>
              <w:rPr>
                <w:color w:val="auto"/>
                <w:sz w:val="21"/>
                <w:szCs w:val="21"/>
              </w:rPr>
              <w:t>政府各部门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restart"/>
            <w:tcBorders>
              <w:top w:val="single" w:color="auto" w:sz="2" w:space="0"/>
              <w:left w:val="single" w:color="auto" w:sz="2" w:space="0"/>
              <w:right w:val="single" w:color="auto" w:sz="2" w:space="0"/>
            </w:tcBorders>
            <w:tcMar>
              <w:top w:w="57" w:type="dxa"/>
              <w:left w:w="85" w:type="dxa"/>
              <w:bottom w:w="57" w:type="dxa"/>
              <w:right w:w="85" w:type="dxa"/>
            </w:tcMar>
            <w:vAlign w:val="center"/>
          </w:tcPr>
          <w:p>
            <w:pPr>
              <w:rPr>
                <w:color w:val="auto"/>
                <w:sz w:val="21"/>
                <w:szCs w:val="21"/>
              </w:rPr>
            </w:pPr>
            <w:r>
              <w:rPr>
                <w:color w:val="auto"/>
                <w:sz w:val="21"/>
                <w:szCs w:val="21"/>
              </w:rPr>
              <w:t>（十六）有效改进工作作风。</w:t>
            </w: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color w:val="auto"/>
                <w:sz w:val="21"/>
                <w:szCs w:val="21"/>
              </w:rPr>
            </w:pPr>
            <w:r>
              <w:rPr>
                <w:rFonts w:hint="eastAsia" w:ascii="Times New Roman" w:hAnsi="Times New Roman"/>
                <w:color w:val="auto"/>
                <w:sz w:val="21"/>
                <w:szCs w:val="21"/>
                <w:lang w:val="en-US" w:eastAsia="zh-CN"/>
              </w:rPr>
              <w:t>49</w:t>
            </w:r>
            <w:r>
              <w:rPr>
                <w:rFonts w:ascii="方正书宋_GBK" w:hAnsi="方正书宋_GBK"/>
                <w:color w:val="auto"/>
                <w:sz w:val="21"/>
                <w:szCs w:val="21"/>
              </w:rPr>
              <w:t>．</w:t>
            </w:r>
            <w:r>
              <w:rPr>
                <w:rFonts w:hint="eastAsia" w:ascii="方正书宋_GBK" w:hAnsi="方正书宋_GBK"/>
                <w:color w:val="auto"/>
                <w:sz w:val="21"/>
                <w:szCs w:val="21"/>
                <w:lang w:eastAsia="zh-CN"/>
              </w:rPr>
              <w:t>深入贯彻落实</w:t>
            </w:r>
            <w:r>
              <w:rPr>
                <w:rFonts w:ascii="方正书宋_GBK" w:hAnsi="方正书宋_GBK"/>
                <w:color w:val="auto"/>
                <w:sz w:val="21"/>
                <w:szCs w:val="21"/>
              </w:rPr>
              <w:t>《</w:t>
            </w:r>
            <w:r>
              <w:rPr>
                <w:rFonts w:hint="eastAsia" w:ascii="方正书宋_GBK" w:hAnsi="方正书宋_GBK"/>
                <w:color w:val="auto"/>
                <w:sz w:val="21"/>
                <w:szCs w:val="21"/>
                <w:lang w:eastAsia="zh-CN"/>
              </w:rPr>
              <w:t>中华人民共和国</w:t>
            </w:r>
            <w:r>
              <w:rPr>
                <w:rFonts w:ascii="方正书宋_GBK" w:hAnsi="方正书宋_GBK"/>
                <w:color w:val="auto"/>
                <w:sz w:val="21"/>
                <w:szCs w:val="21"/>
              </w:rPr>
              <w:t>政府信息公开条例》</w:t>
            </w:r>
            <w:r>
              <w:rPr>
                <w:rFonts w:hint="eastAsia" w:ascii="方正书宋_GBK" w:hAnsi="方正书宋_GBK"/>
                <w:color w:val="auto"/>
                <w:sz w:val="21"/>
                <w:szCs w:val="21"/>
                <w:lang w:eastAsia="zh-CN"/>
              </w:rPr>
              <w:t>规定，每年至少开展</w:t>
            </w:r>
            <w:r>
              <w:rPr>
                <w:rFonts w:hint="default" w:ascii="Times New Roman" w:hAnsi="Times New Roman" w:cs="Times New Roman"/>
                <w:color w:val="auto"/>
                <w:sz w:val="21"/>
                <w:szCs w:val="21"/>
                <w:lang w:val="en-US" w:eastAsia="zh-CN"/>
              </w:rPr>
              <w:t>1次</w:t>
            </w:r>
            <w:r>
              <w:rPr>
                <w:rFonts w:ascii="方正书宋_GBK" w:hAnsi="方正书宋_GBK"/>
                <w:color w:val="auto"/>
                <w:sz w:val="21"/>
                <w:szCs w:val="21"/>
              </w:rPr>
              <w:t>政务公开工作培训，不定期</w:t>
            </w:r>
            <w:r>
              <w:rPr>
                <w:rFonts w:hint="eastAsia" w:ascii="方正书宋_GBK" w:hAnsi="方正书宋_GBK"/>
                <w:color w:val="auto"/>
                <w:sz w:val="21"/>
                <w:szCs w:val="21"/>
                <w:lang w:eastAsia="zh-CN"/>
              </w:rPr>
              <w:t>组织</w:t>
            </w:r>
            <w:r>
              <w:rPr>
                <w:rFonts w:ascii="方正书宋_GBK" w:hAnsi="方正书宋_GBK"/>
                <w:color w:val="auto"/>
                <w:sz w:val="21"/>
                <w:szCs w:val="21"/>
              </w:rPr>
              <w:t>政务公开研讨交流。针对</w:t>
            </w:r>
            <w:r>
              <w:rPr>
                <w:rFonts w:hint="eastAsia" w:ascii="方正书宋_GBK" w:hAnsi="方正书宋_GBK"/>
                <w:color w:val="auto"/>
                <w:sz w:val="21"/>
                <w:szCs w:val="21"/>
                <w:lang w:eastAsia="zh-CN"/>
              </w:rPr>
              <w:t>各乡镇街道、区政府各部门存在的</w:t>
            </w:r>
            <w:r>
              <w:rPr>
                <w:rFonts w:ascii="方正书宋_GBK" w:hAnsi="方正书宋_GBK"/>
                <w:color w:val="auto"/>
                <w:sz w:val="21"/>
                <w:szCs w:val="21"/>
              </w:rPr>
              <w:t>薄弱环节，开展</w:t>
            </w:r>
            <w:r>
              <w:rPr>
                <w:rFonts w:hint="eastAsia" w:ascii="方正仿宋_GBK" w:hAnsi="方正仿宋_GBK" w:eastAsia="方正仿宋_GBK" w:cs="方正仿宋_GBK"/>
                <w:color w:val="auto"/>
                <w:sz w:val="21"/>
                <w:szCs w:val="21"/>
              </w:rPr>
              <w:t>“点对点”</w:t>
            </w:r>
            <w:r>
              <w:rPr>
                <w:rFonts w:ascii="方正书宋_GBK" w:hAnsi="方正书宋_GBK"/>
                <w:color w:val="auto"/>
                <w:sz w:val="21"/>
                <w:szCs w:val="21"/>
              </w:rPr>
              <w:t>上门服务，帮助解决工作中存在的重大疑难问题。</w:t>
            </w:r>
            <w:r>
              <w:rPr>
                <w:rFonts w:hint="eastAsia" w:ascii="方正书宋_GBK" w:hAnsi="方正书宋_GBK"/>
                <w:color w:val="auto"/>
                <w:sz w:val="21"/>
                <w:szCs w:val="21"/>
                <w:lang w:eastAsia="zh-CN"/>
              </w:rPr>
              <w:t>加大全区</w:t>
            </w:r>
            <w:r>
              <w:rPr>
                <w:rFonts w:ascii="方正书宋_GBK" w:hAnsi="方正书宋_GBK"/>
                <w:color w:val="auto"/>
                <w:sz w:val="21"/>
                <w:szCs w:val="21"/>
              </w:rPr>
              <w:t>政务公开工作检查</w:t>
            </w:r>
            <w:r>
              <w:rPr>
                <w:rFonts w:hint="eastAsia" w:ascii="方正书宋_GBK" w:hAnsi="方正书宋_GBK"/>
                <w:color w:val="auto"/>
                <w:sz w:val="21"/>
                <w:szCs w:val="21"/>
                <w:lang w:eastAsia="zh-CN"/>
              </w:rPr>
              <w:t>的检查力度</w:t>
            </w:r>
            <w:r>
              <w:rPr>
                <w:rFonts w:ascii="方正书宋_GBK" w:hAnsi="方正书宋_GBK"/>
                <w:color w:val="auto"/>
                <w:sz w:val="21"/>
                <w:szCs w:val="21"/>
              </w:rPr>
              <w:t>，及时办理政府信息公开投诉，确保各项工作平稳有序。</w:t>
            </w:r>
          </w:p>
        </w:tc>
        <w:tc>
          <w:tcPr>
            <w:tcW w:w="1488"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80" w:lineRule="exact"/>
              <w:jc w:val="center"/>
              <w:textAlignment w:val="auto"/>
              <w:rPr>
                <w:rFonts w:hint="eastAsia" w:eastAsia="方正仿宋_GBK"/>
                <w:color w:val="auto"/>
                <w:sz w:val="21"/>
                <w:szCs w:val="21"/>
                <w:lang w:eastAsia="zh-CN"/>
              </w:rPr>
            </w:pPr>
            <w:r>
              <w:rPr>
                <w:rFonts w:hint="eastAsia"/>
                <w:color w:val="auto"/>
                <w:sz w:val="21"/>
                <w:szCs w:val="21"/>
                <w:lang w:eastAsia="zh-CN"/>
              </w:rPr>
              <w:t>区政府办公室</w:t>
            </w:r>
          </w:p>
        </w:tc>
        <w:tc>
          <w:tcPr>
            <w:tcW w:w="1710"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280" w:lineRule="exact"/>
              <w:jc w:val="center"/>
              <w:textAlignment w:val="auto"/>
              <w:rPr>
                <w:rFonts w:hint="eastAsia" w:eastAsia="方正仿宋_GBK"/>
                <w:color w:val="auto"/>
                <w:sz w:val="21"/>
                <w:szCs w:val="21"/>
                <w:lang w:eastAsia="zh-CN"/>
              </w:rPr>
            </w:pPr>
            <w:r>
              <w:rPr>
                <w:rFonts w:hint="eastAsia"/>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continue"/>
            <w:tcBorders>
              <w:left w:val="single" w:color="auto" w:sz="2" w:space="0"/>
              <w:right w:val="single" w:color="auto" w:sz="2" w:space="0"/>
            </w:tcBorders>
            <w:tcMar>
              <w:top w:w="57" w:type="dxa"/>
              <w:left w:w="85" w:type="dxa"/>
              <w:bottom w:w="57" w:type="dxa"/>
              <w:right w:w="85" w:type="dxa"/>
            </w:tcMar>
            <w:vAlign w:val="center"/>
          </w:tcPr>
          <w:p>
            <w:pPr>
              <w:rPr>
                <w:color w:val="auto"/>
                <w:sz w:val="21"/>
                <w:szCs w:val="21"/>
              </w:rPr>
            </w:pPr>
          </w:p>
        </w:tc>
        <w:tc>
          <w:tcPr>
            <w:tcW w:w="4619"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tcPr>
          <w:p>
            <w:pPr>
              <w:keepNext w:val="0"/>
              <w:keepLines w:val="0"/>
              <w:pageBreakBefore w:val="0"/>
              <w:widowControl w:val="0"/>
              <w:kinsoku/>
              <w:wordWrap/>
              <w:overflowPunct/>
              <w:topLinePunct w:val="0"/>
              <w:autoSpaceDE w:val="0"/>
              <w:autoSpaceDN/>
              <w:bidi w:val="0"/>
              <w:adjustRightInd/>
              <w:snapToGrid/>
              <w:spacing w:line="280" w:lineRule="exact"/>
              <w:ind w:firstLine="0" w:firstLineChars="0"/>
              <w:textAlignment w:val="auto"/>
              <w:rPr>
                <w:rFonts w:hint="eastAsia"/>
                <w:color w:val="auto"/>
                <w:sz w:val="21"/>
                <w:szCs w:val="21"/>
                <w:lang w:val="en-US" w:eastAsia="zh-CN"/>
              </w:rPr>
            </w:pPr>
            <w:r>
              <w:rPr>
                <w:rFonts w:hint="eastAsia" w:ascii="Times New Roman" w:hAnsi="Times New Roman"/>
                <w:color w:val="auto"/>
                <w:sz w:val="21"/>
                <w:szCs w:val="21"/>
                <w:lang w:val="en-US" w:eastAsia="zh-CN"/>
              </w:rPr>
              <w:t>50</w:t>
            </w:r>
            <w:r>
              <w:rPr>
                <w:rFonts w:ascii="方正书宋_GBK" w:hAnsi="方正书宋_GBK"/>
                <w:color w:val="auto"/>
                <w:sz w:val="21"/>
                <w:szCs w:val="21"/>
              </w:rPr>
              <w:t>．</w:t>
            </w:r>
            <w:r>
              <w:rPr>
                <w:rFonts w:hint="eastAsia" w:ascii="Times New Roman" w:hAnsi="Times New Roman" w:cs="Times New Roman"/>
                <w:color w:val="auto"/>
                <w:sz w:val="21"/>
                <w:szCs w:val="21"/>
                <w:lang w:val="en-US" w:eastAsia="zh-CN"/>
              </w:rPr>
              <w:t>各乡镇街道、区</w:t>
            </w:r>
            <w:r>
              <w:rPr>
                <w:rFonts w:hint="eastAsia" w:ascii="Times New Roman" w:hAnsi="Times New Roman" w:cs="Times New Roman"/>
                <w:color w:val="auto"/>
                <w:sz w:val="21"/>
                <w:szCs w:val="21"/>
              </w:rPr>
              <w:t>政府各部门要坚持政务公开工作和业务工作同步部署、同步推进、同步落实，每年至少</w:t>
            </w:r>
            <w:r>
              <w:rPr>
                <w:rFonts w:hint="eastAsia" w:ascii="Times New Roman" w:hAnsi="Times New Roman" w:cs="Times New Roman"/>
                <w:color w:val="auto"/>
                <w:sz w:val="21"/>
                <w:szCs w:val="21"/>
                <w:lang w:eastAsia="zh-CN"/>
              </w:rPr>
              <w:t>组织</w:t>
            </w:r>
            <w:r>
              <w:rPr>
                <w:rFonts w:hint="eastAsia" w:ascii="Times New Roman" w:hAnsi="Times New Roman" w:cs="Times New Roman"/>
                <w:color w:val="auto"/>
                <w:sz w:val="21"/>
                <w:szCs w:val="21"/>
              </w:rPr>
              <w:t>开展1次本系统</w:t>
            </w:r>
            <w:r>
              <w:rPr>
                <w:rFonts w:hint="eastAsia" w:ascii="Times New Roman" w:hAnsi="Times New Roman" w:cs="Times New Roman"/>
                <w:color w:val="auto"/>
                <w:sz w:val="21"/>
                <w:szCs w:val="21"/>
                <w:lang w:eastAsia="zh-CN"/>
              </w:rPr>
              <w:t>本单位</w:t>
            </w:r>
            <w:r>
              <w:rPr>
                <w:rFonts w:hint="eastAsia" w:ascii="Times New Roman" w:hAnsi="Times New Roman" w:cs="Times New Roman"/>
                <w:color w:val="auto"/>
                <w:sz w:val="21"/>
                <w:szCs w:val="21"/>
              </w:rPr>
              <w:t>政务公开工作培训，实现以公开促落实、以公开强监管。</w:t>
            </w:r>
          </w:p>
        </w:tc>
        <w:tc>
          <w:tcPr>
            <w:tcW w:w="1488"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jc w:val="center"/>
              <w:textAlignment w:val="auto"/>
              <w:rPr>
                <w:rFonts w:hint="eastAsia"/>
                <w:color w:val="auto"/>
                <w:sz w:val="21"/>
                <w:szCs w:val="21"/>
                <w:lang w:eastAsia="zh-CN"/>
              </w:rPr>
            </w:pPr>
            <w:r>
              <w:rPr>
                <w:color w:val="auto"/>
                <w:sz w:val="21"/>
                <w:szCs w:val="21"/>
              </w:rPr>
              <w:t>各</w:t>
            </w:r>
            <w:r>
              <w:rPr>
                <w:rFonts w:hint="eastAsia"/>
                <w:color w:val="auto"/>
                <w:sz w:val="21"/>
                <w:szCs w:val="21"/>
                <w:lang w:eastAsia="zh-CN"/>
              </w:rPr>
              <w:t>乡镇街道</w:t>
            </w:r>
            <w:r>
              <w:rPr>
                <w:color w:val="auto"/>
                <w:sz w:val="21"/>
                <w:szCs w:val="21"/>
              </w:rPr>
              <w:t>、</w:t>
            </w:r>
            <w:r>
              <w:rPr>
                <w:rFonts w:hint="eastAsia"/>
                <w:color w:val="auto"/>
                <w:sz w:val="21"/>
                <w:szCs w:val="21"/>
                <w:lang w:eastAsia="zh-CN"/>
              </w:rPr>
              <w:t>区</w:t>
            </w:r>
            <w:r>
              <w:rPr>
                <w:color w:val="auto"/>
                <w:sz w:val="21"/>
                <w:szCs w:val="21"/>
              </w:rPr>
              <w:t>政府各部门</w:t>
            </w:r>
          </w:p>
        </w:tc>
        <w:tc>
          <w:tcPr>
            <w:tcW w:w="1710"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jc w:val="center"/>
              <w:textAlignment w:val="auto"/>
              <w:rPr>
                <w:rFonts w:hint="eastAsia"/>
                <w:color w:val="auto"/>
                <w:sz w:val="21"/>
                <w:szCs w:val="21"/>
                <w:lang w:eastAsia="zh-CN"/>
              </w:rPr>
            </w:pPr>
            <w:r>
              <w:rPr>
                <w:rFonts w:hint="eastAsia"/>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widowControl/>
              <w:jc w:val="left"/>
              <w:rPr>
                <w:color w:val="auto"/>
                <w:sz w:val="21"/>
                <w:szCs w:val="21"/>
              </w:rPr>
            </w:pPr>
          </w:p>
        </w:tc>
        <w:tc>
          <w:tcPr>
            <w:tcW w:w="1325" w:type="dxa"/>
            <w:vMerge w:val="restart"/>
            <w:tcBorders>
              <w:top w:val="single" w:color="auto" w:sz="2" w:space="0"/>
              <w:left w:val="single" w:color="auto" w:sz="2" w:space="0"/>
              <w:right w:val="single" w:color="auto" w:sz="2" w:space="0"/>
            </w:tcBorders>
            <w:tcMar>
              <w:top w:w="57" w:type="dxa"/>
              <w:left w:w="85" w:type="dxa"/>
              <w:bottom w:w="57" w:type="dxa"/>
              <w:right w:w="85" w:type="dxa"/>
            </w:tcMar>
            <w:vAlign w:val="center"/>
          </w:tcPr>
          <w:p>
            <w:pPr>
              <w:rPr>
                <w:color w:val="auto"/>
                <w:sz w:val="21"/>
                <w:szCs w:val="21"/>
              </w:rPr>
            </w:pPr>
            <w:r>
              <w:rPr>
                <w:color w:val="auto"/>
                <w:sz w:val="21"/>
                <w:szCs w:val="21"/>
              </w:rPr>
              <w:t>（十七）认真抓好工作落实。</w:t>
            </w:r>
          </w:p>
        </w:tc>
        <w:tc>
          <w:tcPr>
            <w:tcW w:w="4619" w:type="dxa"/>
            <w:tcBorders>
              <w:top w:val="single" w:color="auto" w:sz="2" w:space="0"/>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rFonts w:hint="eastAsia"/>
                <w:color w:val="auto"/>
                <w:sz w:val="21"/>
                <w:szCs w:val="21"/>
                <w:lang w:eastAsia="zh-CN"/>
              </w:rPr>
            </w:pPr>
            <w:r>
              <w:rPr>
                <w:rFonts w:hint="eastAsia" w:ascii="Times New Roman" w:hAnsi="Times New Roman"/>
                <w:color w:val="auto"/>
                <w:sz w:val="21"/>
                <w:szCs w:val="21"/>
                <w:lang w:val="en-US" w:eastAsia="zh-CN"/>
              </w:rPr>
              <w:t>51</w:t>
            </w:r>
            <w:r>
              <w:rPr>
                <w:rFonts w:hint="eastAsia"/>
                <w:color w:val="auto"/>
                <w:sz w:val="21"/>
                <w:szCs w:val="21"/>
                <w:lang w:val="en-US" w:eastAsia="zh-CN"/>
              </w:rPr>
              <w:t>．</w:t>
            </w:r>
            <w:r>
              <w:rPr>
                <w:color w:val="auto"/>
                <w:sz w:val="21"/>
                <w:szCs w:val="21"/>
              </w:rPr>
              <w:t>将</w:t>
            </w:r>
            <w:r>
              <w:rPr>
                <w:rFonts w:hint="eastAsia"/>
                <w:color w:val="auto"/>
                <w:sz w:val="21"/>
                <w:szCs w:val="21"/>
                <w:lang w:eastAsia="zh-CN"/>
              </w:rPr>
              <w:t>国务院办公厅</w:t>
            </w:r>
            <w:r>
              <w:rPr>
                <w:rFonts w:hint="eastAsia" w:ascii="Times New Roman" w:hAnsi="Times New Roman"/>
                <w:color w:val="auto"/>
                <w:sz w:val="21"/>
                <w:szCs w:val="21"/>
                <w:lang w:val="en-US" w:eastAsia="zh-CN"/>
              </w:rPr>
              <w:t>2022</w:t>
            </w:r>
            <w:r>
              <w:rPr>
                <w:rFonts w:hint="eastAsia"/>
                <w:color w:val="auto"/>
                <w:sz w:val="21"/>
                <w:szCs w:val="21"/>
                <w:lang w:val="en-US" w:eastAsia="zh-CN"/>
              </w:rPr>
              <w:t>年政务公开工作要点</w:t>
            </w:r>
            <w:r>
              <w:rPr>
                <w:color w:val="auto"/>
                <w:sz w:val="21"/>
                <w:szCs w:val="21"/>
              </w:rPr>
              <w:t>落实情况纳入政府信息公开工作年度报告予以公开，接受社会监督。</w:t>
            </w:r>
          </w:p>
        </w:tc>
        <w:tc>
          <w:tcPr>
            <w:tcW w:w="1488" w:type="dxa"/>
            <w:tcBorders>
              <w:top w:val="single" w:color="auto" w:sz="2" w:space="0"/>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jc w:val="center"/>
              <w:textAlignment w:val="auto"/>
              <w:rPr>
                <w:rFonts w:hint="eastAsia" w:eastAsia="方正仿宋_GBK"/>
                <w:color w:val="auto"/>
                <w:sz w:val="21"/>
                <w:szCs w:val="21"/>
                <w:lang w:eastAsia="zh-CN"/>
              </w:rPr>
            </w:pPr>
            <w:r>
              <w:rPr>
                <w:rFonts w:hint="eastAsia"/>
                <w:color w:val="auto"/>
                <w:sz w:val="21"/>
                <w:szCs w:val="21"/>
                <w:lang w:eastAsia="zh-CN"/>
              </w:rPr>
              <w:t>区政府办公室</w:t>
            </w:r>
          </w:p>
        </w:tc>
        <w:tc>
          <w:tcPr>
            <w:tcW w:w="1710" w:type="dxa"/>
            <w:tcBorders>
              <w:top w:val="single" w:color="auto" w:sz="2" w:space="0"/>
              <w:left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jc w:val="center"/>
              <w:textAlignment w:val="auto"/>
              <w:rPr>
                <w:color w:val="auto"/>
                <w:sz w:val="21"/>
                <w:szCs w:val="21"/>
              </w:rPr>
            </w:pPr>
            <w:r>
              <w:rPr>
                <w:color w:val="auto"/>
                <w:sz w:val="21"/>
                <w:szCs w:val="21"/>
              </w:rPr>
              <w:t>各</w:t>
            </w:r>
            <w:r>
              <w:rPr>
                <w:rFonts w:hint="eastAsia"/>
                <w:color w:val="auto"/>
                <w:sz w:val="21"/>
                <w:szCs w:val="21"/>
                <w:lang w:eastAsia="zh-CN"/>
              </w:rPr>
              <w:t>乡镇街道</w:t>
            </w:r>
            <w:r>
              <w:rPr>
                <w:color w:val="auto"/>
                <w:sz w:val="21"/>
                <w:szCs w:val="21"/>
              </w:rPr>
              <w:t>、</w:t>
            </w:r>
            <w:r>
              <w:rPr>
                <w:rFonts w:hint="eastAsia"/>
                <w:color w:val="auto"/>
                <w:sz w:val="21"/>
                <w:szCs w:val="21"/>
                <w:lang w:eastAsia="zh-CN"/>
              </w:rPr>
              <w:t>区</w:t>
            </w:r>
            <w:r>
              <w:rPr>
                <w:color w:val="auto"/>
                <w:sz w:val="21"/>
                <w:szCs w:val="21"/>
              </w:rPr>
              <w:t>政府各部门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67"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color w:val="auto"/>
              </w:rPr>
            </w:pPr>
          </w:p>
        </w:tc>
        <w:tc>
          <w:tcPr>
            <w:tcW w:w="1325" w:type="dxa"/>
            <w:vMerge w:val="continue"/>
            <w:tcBorders>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color w:val="auto"/>
              </w:rPr>
            </w:pPr>
          </w:p>
        </w:tc>
        <w:tc>
          <w:tcPr>
            <w:tcW w:w="4619" w:type="dxa"/>
            <w:tcBorders>
              <w:top w:val="single" w:color="auto" w:sz="2" w:space="0"/>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rFonts w:hint="eastAsia"/>
                <w:color w:val="auto"/>
                <w:sz w:val="21"/>
                <w:szCs w:val="21"/>
                <w:lang w:val="en-US" w:eastAsia="zh-CN"/>
              </w:rPr>
            </w:pPr>
            <w:r>
              <w:rPr>
                <w:rFonts w:hint="eastAsia" w:ascii="Times New Roman" w:hAnsi="Times New Roman"/>
                <w:color w:val="auto"/>
                <w:sz w:val="21"/>
                <w:szCs w:val="21"/>
                <w:lang w:val="en-US" w:eastAsia="zh-CN"/>
              </w:rPr>
              <w:t>52</w:t>
            </w:r>
            <w:r>
              <w:rPr>
                <w:rFonts w:hint="eastAsia"/>
                <w:color w:val="auto"/>
                <w:sz w:val="21"/>
                <w:szCs w:val="21"/>
                <w:lang w:val="en-US" w:eastAsia="zh-CN"/>
              </w:rPr>
              <w:t>．</w:t>
            </w:r>
            <w:r>
              <w:rPr>
                <w:color w:val="auto"/>
                <w:sz w:val="21"/>
                <w:szCs w:val="21"/>
              </w:rPr>
              <w:t>对</w:t>
            </w:r>
            <w:r>
              <w:rPr>
                <w:rFonts w:hint="eastAsia"/>
                <w:color w:val="auto"/>
                <w:sz w:val="21"/>
                <w:szCs w:val="21"/>
                <w:lang w:eastAsia="zh-CN"/>
              </w:rPr>
              <w:t>国务院办公厅</w:t>
            </w:r>
            <w:r>
              <w:rPr>
                <w:rFonts w:ascii="Times New Roman" w:hAnsi="Times New Roman"/>
                <w:color w:val="auto"/>
                <w:sz w:val="21"/>
                <w:szCs w:val="21"/>
              </w:rPr>
              <w:t>2021</w:t>
            </w:r>
            <w:r>
              <w:rPr>
                <w:rFonts w:ascii="方正书宋_GBK" w:hAnsi="方正书宋_GBK"/>
                <w:color w:val="auto"/>
                <w:sz w:val="21"/>
                <w:szCs w:val="21"/>
              </w:rPr>
              <w:t>年政务公开工作要点落实情况开展</w:t>
            </w:r>
            <w:r>
              <w:rPr>
                <w:rFonts w:hint="eastAsia" w:ascii="方正仿宋_GBK" w:hAnsi="方正仿宋_GBK" w:eastAsia="方正仿宋_GBK" w:cs="方正仿宋_GBK"/>
                <w:color w:val="auto"/>
                <w:sz w:val="21"/>
                <w:szCs w:val="21"/>
              </w:rPr>
              <w:t>“回头看”，重点针对有明确责任主体和时限要求的工作任务，逐项核查落实情况，对未完成的要建立工作台账，实行打表推进、销号管理。</w:t>
            </w:r>
          </w:p>
        </w:tc>
        <w:tc>
          <w:tcPr>
            <w:tcW w:w="1488" w:type="dxa"/>
            <w:tcBorders>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jc w:val="center"/>
              <w:textAlignment w:val="auto"/>
              <w:rPr>
                <w:rFonts w:hint="eastAsia"/>
                <w:color w:val="auto"/>
                <w:sz w:val="21"/>
                <w:szCs w:val="21"/>
                <w:lang w:val="en-US" w:eastAsia="zh-CN"/>
              </w:rPr>
            </w:pPr>
            <w:r>
              <w:rPr>
                <w:rFonts w:hint="eastAsia"/>
                <w:color w:val="auto"/>
                <w:sz w:val="21"/>
                <w:szCs w:val="21"/>
                <w:lang w:eastAsia="zh-CN"/>
              </w:rPr>
              <w:t>区政府办公室</w:t>
            </w:r>
          </w:p>
        </w:tc>
        <w:tc>
          <w:tcPr>
            <w:tcW w:w="1710" w:type="dxa"/>
            <w:tcBorders>
              <w:left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jc w:val="center"/>
              <w:textAlignment w:val="auto"/>
              <w:rPr>
                <w:rFonts w:hint="eastAsia"/>
                <w:color w:val="auto"/>
                <w:sz w:val="21"/>
                <w:szCs w:val="21"/>
                <w:lang w:val="en-US" w:eastAsia="zh-CN"/>
              </w:rPr>
            </w:pPr>
            <w:r>
              <w:rPr>
                <w:color w:val="auto"/>
                <w:sz w:val="21"/>
                <w:szCs w:val="21"/>
              </w:rPr>
              <w:t>各</w:t>
            </w:r>
            <w:r>
              <w:rPr>
                <w:rFonts w:hint="eastAsia"/>
                <w:color w:val="auto"/>
                <w:sz w:val="21"/>
                <w:szCs w:val="21"/>
                <w:lang w:eastAsia="zh-CN"/>
              </w:rPr>
              <w:t>乡镇街道</w:t>
            </w:r>
            <w:r>
              <w:rPr>
                <w:color w:val="auto"/>
                <w:sz w:val="21"/>
                <w:szCs w:val="21"/>
              </w:rPr>
              <w:t>、</w:t>
            </w:r>
            <w:r>
              <w:rPr>
                <w:rFonts w:hint="eastAsia"/>
                <w:color w:val="auto"/>
                <w:sz w:val="21"/>
                <w:szCs w:val="21"/>
                <w:lang w:eastAsia="zh-CN"/>
              </w:rPr>
              <w:t>区</w:t>
            </w:r>
            <w:r>
              <w:rPr>
                <w:color w:val="auto"/>
                <w:sz w:val="21"/>
                <w:szCs w:val="21"/>
              </w:rPr>
              <w:t>政府各部门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2" w:type="dxa"/>
            <w:vMerge w:val="continue"/>
            <w:tcBorders>
              <w:left w:val="single" w:color="auto" w:sz="6"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rFonts w:hint="eastAsia"/>
                <w:color w:val="auto"/>
                <w:sz w:val="21"/>
                <w:szCs w:val="21"/>
                <w:lang w:val="en-US" w:eastAsia="zh-CN"/>
              </w:rPr>
            </w:pPr>
          </w:p>
        </w:tc>
        <w:tc>
          <w:tcPr>
            <w:tcW w:w="1325" w:type="dxa"/>
            <w:vMerge w:val="continue"/>
            <w:tcBorders>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rFonts w:hint="eastAsia"/>
                <w:color w:val="auto"/>
                <w:sz w:val="21"/>
                <w:szCs w:val="21"/>
                <w:lang w:val="en-US" w:eastAsia="zh-CN"/>
              </w:rPr>
            </w:pPr>
          </w:p>
        </w:tc>
        <w:tc>
          <w:tcPr>
            <w:tcW w:w="4619" w:type="dxa"/>
            <w:tcBorders>
              <w:top w:val="single" w:color="auto" w:sz="2" w:space="0"/>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textAlignment w:val="auto"/>
              <w:rPr>
                <w:rFonts w:hint="eastAsia"/>
                <w:color w:val="auto"/>
                <w:sz w:val="21"/>
                <w:szCs w:val="21"/>
                <w:lang w:val="en-US" w:eastAsia="zh-CN"/>
              </w:rPr>
            </w:pPr>
            <w:r>
              <w:rPr>
                <w:rFonts w:hint="eastAsia" w:ascii="Times New Roman" w:hAnsi="Times New Roman"/>
                <w:color w:val="auto"/>
                <w:sz w:val="21"/>
                <w:szCs w:val="21"/>
                <w:lang w:val="en-US" w:eastAsia="zh-CN"/>
              </w:rPr>
              <w:t>53</w:t>
            </w:r>
            <w:r>
              <w:rPr>
                <w:rFonts w:hint="eastAsia"/>
                <w:color w:val="auto"/>
                <w:sz w:val="21"/>
                <w:szCs w:val="21"/>
                <w:lang w:val="en-US" w:eastAsia="zh-CN"/>
              </w:rPr>
              <w:t>．</w:t>
            </w:r>
            <w:r>
              <w:rPr>
                <w:color w:val="auto"/>
                <w:sz w:val="21"/>
                <w:szCs w:val="21"/>
              </w:rPr>
              <w:t>健全工作机制，落实工作经费，配齐配强专职工作人员</w:t>
            </w:r>
            <w:r>
              <w:rPr>
                <w:rFonts w:ascii="方正书宋_GBK" w:hAnsi="方正书宋_GBK"/>
                <w:color w:val="auto"/>
                <w:sz w:val="21"/>
                <w:szCs w:val="21"/>
              </w:rPr>
              <w:t>。</w:t>
            </w:r>
          </w:p>
        </w:tc>
        <w:tc>
          <w:tcPr>
            <w:tcW w:w="1488" w:type="dxa"/>
            <w:tcBorders>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jc w:val="center"/>
              <w:textAlignment w:val="auto"/>
              <w:rPr>
                <w:rFonts w:hint="eastAsia"/>
                <w:color w:val="auto"/>
                <w:sz w:val="21"/>
                <w:szCs w:val="21"/>
                <w:lang w:val="en-US" w:eastAsia="zh-CN"/>
              </w:rPr>
            </w:pPr>
            <w:r>
              <w:rPr>
                <w:color w:val="auto"/>
                <w:sz w:val="21"/>
                <w:szCs w:val="21"/>
              </w:rPr>
              <w:t>各</w:t>
            </w:r>
            <w:r>
              <w:rPr>
                <w:rFonts w:hint="eastAsia"/>
                <w:color w:val="auto"/>
                <w:sz w:val="21"/>
                <w:szCs w:val="21"/>
                <w:lang w:eastAsia="zh-CN"/>
              </w:rPr>
              <w:t>乡镇街道</w:t>
            </w:r>
            <w:r>
              <w:rPr>
                <w:color w:val="auto"/>
                <w:sz w:val="21"/>
                <w:szCs w:val="21"/>
              </w:rPr>
              <w:t>、</w:t>
            </w:r>
            <w:r>
              <w:rPr>
                <w:rFonts w:hint="eastAsia"/>
                <w:color w:val="auto"/>
                <w:sz w:val="21"/>
                <w:szCs w:val="21"/>
                <w:lang w:eastAsia="zh-CN"/>
              </w:rPr>
              <w:t>区</w:t>
            </w:r>
            <w:r>
              <w:rPr>
                <w:color w:val="auto"/>
                <w:sz w:val="21"/>
                <w:szCs w:val="21"/>
              </w:rPr>
              <w:t>政府各部门</w:t>
            </w:r>
          </w:p>
        </w:tc>
        <w:tc>
          <w:tcPr>
            <w:tcW w:w="1710" w:type="dxa"/>
            <w:tcBorders>
              <w:left w:val="single" w:color="auto" w:sz="2" w:space="0"/>
              <w:right w:val="single" w:color="auto" w:sz="6" w:space="0"/>
            </w:tcBorders>
            <w:tcMar>
              <w:top w:w="57" w:type="dxa"/>
              <w:left w:w="85" w:type="dxa"/>
              <w:bottom w:w="57" w:type="dxa"/>
              <w:right w:w="85" w:type="dxa"/>
            </w:tcMar>
            <w:vAlign w:val="center"/>
          </w:tcPr>
          <w:p>
            <w:pPr>
              <w:keepNext w:val="0"/>
              <w:keepLines w:val="0"/>
              <w:pageBreakBefore w:val="0"/>
              <w:widowControl w:val="0"/>
              <w:kinsoku/>
              <w:wordWrap/>
              <w:overflowPunct/>
              <w:topLinePunct w:val="0"/>
              <w:autoSpaceDE w:val="0"/>
              <w:autoSpaceDN/>
              <w:bidi w:val="0"/>
              <w:adjustRightInd/>
              <w:snapToGrid/>
              <w:spacing w:line="300" w:lineRule="exact"/>
              <w:ind w:firstLine="0" w:firstLineChars="0"/>
              <w:jc w:val="center"/>
              <w:textAlignment w:val="auto"/>
              <w:rPr>
                <w:rFonts w:hint="eastAsia"/>
                <w:color w:val="auto"/>
                <w:sz w:val="21"/>
                <w:szCs w:val="21"/>
                <w:lang w:val="en-US" w:eastAsia="zh-CN"/>
              </w:rPr>
            </w:pPr>
            <w:r>
              <w:rPr>
                <w:rFonts w:hint="eastAsia"/>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2" w:type="dxa"/>
            <w:vMerge w:val="continue"/>
            <w:tcBorders>
              <w:top w:val="single" w:color="auto" w:sz="2" w:space="0"/>
              <w:left w:val="single" w:color="auto" w:sz="6" w:space="0"/>
              <w:bottom w:val="single" w:color="auto" w:sz="2" w:space="0"/>
              <w:right w:val="single" w:color="auto" w:sz="2" w:space="0"/>
            </w:tcBorders>
            <w:vAlign w:val="center"/>
          </w:tcPr>
          <w:p>
            <w:pPr>
              <w:rPr>
                <w:rFonts w:hint="eastAsia"/>
                <w:color w:val="auto"/>
                <w:sz w:val="21"/>
                <w:szCs w:val="21"/>
                <w:lang w:eastAsia="zh-CN"/>
              </w:rPr>
            </w:pPr>
          </w:p>
        </w:tc>
        <w:tc>
          <w:tcPr>
            <w:tcW w:w="1325" w:type="dxa"/>
            <w:vMerge w:val="continue"/>
            <w:tcBorders>
              <w:left w:val="single" w:color="auto" w:sz="2" w:space="0"/>
              <w:right w:val="single" w:color="auto" w:sz="2" w:space="0"/>
            </w:tcBorders>
            <w:tcMar>
              <w:top w:w="57" w:type="dxa"/>
              <w:left w:w="85" w:type="dxa"/>
              <w:bottom w:w="57" w:type="dxa"/>
              <w:right w:w="85" w:type="dxa"/>
            </w:tcMar>
            <w:vAlign w:val="center"/>
          </w:tcPr>
          <w:p>
            <w:pPr>
              <w:rPr>
                <w:rFonts w:hint="eastAsia"/>
                <w:color w:val="auto"/>
                <w:sz w:val="21"/>
                <w:szCs w:val="21"/>
                <w:lang w:eastAsia="zh-CN"/>
              </w:rPr>
            </w:pPr>
          </w:p>
        </w:tc>
        <w:tc>
          <w:tcPr>
            <w:tcW w:w="4619" w:type="dxa"/>
            <w:tcBorders>
              <w:left w:val="single" w:color="auto" w:sz="2" w:space="0"/>
              <w:bottom w:val="single" w:color="auto" w:sz="6"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textAlignment w:val="auto"/>
              <w:rPr>
                <w:rFonts w:hint="eastAsia"/>
                <w:color w:val="auto"/>
                <w:sz w:val="21"/>
                <w:szCs w:val="21"/>
                <w:lang w:eastAsia="zh-CN"/>
              </w:rPr>
            </w:pPr>
            <w:r>
              <w:rPr>
                <w:rFonts w:hint="eastAsia" w:ascii="Times New Roman" w:hAnsi="Times New Roman"/>
                <w:color w:val="auto"/>
                <w:sz w:val="21"/>
                <w:szCs w:val="21"/>
                <w:lang w:val="en-US" w:eastAsia="zh-CN"/>
              </w:rPr>
              <w:t>54</w:t>
            </w:r>
            <w:r>
              <w:rPr>
                <w:rFonts w:hint="eastAsia"/>
                <w:color w:val="auto"/>
                <w:sz w:val="21"/>
                <w:szCs w:val="21"/>
                <w:lang w:val="en-US" w:eastAsia="zh-CN"/>
              </w:rPr>
              <w:t>．将</w:t>
            </w:r>
            <w:r>
              <w:rPr>
                <w:color w:val="auto"/>
                <w:sz w:val="21"/>
                <w:szCs w:val="21"/>
              </w:rPr>
              <w:t>政务公开纳入绩效考核体系且分值权重不低于</w:t>
            </w:r>
            <w:r>
              <w:rPr>
                <w:rFonts w:ascii="Times New Roman" w:hAnsi="Times New Roman"/>
                <w:color w:val="auto"/>
                <w:sz w:val="21"/>
                <w:szCs w:val="21"/>
              </w:rPr>
              <w:t>4</w:t>
            </w:r>
            <w:r>
              <w:rPr>
                <w:color w:val="auto"/>
                <w:sz w:val="21"/>
                <w:szCs w:val="21"/>
              </w:rPr>
              <w:t>%</w:t>
            </w:r>
            <w:r>
              <w:rPr>
                <w:rFonts w:ascii="方正书宋_GBK" w:hAnsi="方正书宋_GBK"/>
                <w:color w:val="auto"/>
                <w:sz w:val="21"/>
                <w:szCs w:val="21"/>
              </w:rPr>
              <w:t>。</w:t>
            </w:r>
          </w:p>
        </w:tc>
        <w:tc>
          <w:tcPr>
            <w:tcW w:w="1488" w:type="dxa"/>
            <w:tcBorders>
              <w:top w:val="single" w:color="auto" w:sz="2" w:space="0"/>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jc w:val="center"/>
              <w:textAlignment w:val="auto"/>
              <w:rPr>
                <w:rFonts w:hint="eastAsia"/>
                <w:color w:val="auto"/>
                <w:sz w:val="21"/>
                <w:szCs w:val="21"/>
                <w:lang w:eastAsia="zh-CN"/>
              </w:rPr>
            </w:pPr>
            <w:r>
              <w:rPr>
                <w:rFonts w:hint="eastAsia"/>
                <w:color w:val="auto"/>
                <w:sz w:val="21"/>
                <w:szCs w:val="21"/>
                <w:lang w:eastAsia="zh-CN"/>
              </w:rPr>
              <w:t>区政府办公室</w:t>
            </w:r>
          </w:p>
        </w:tc>
        <w:tc>
          <w:tcPr>
            <w:tcW w:w="1710" w:type="dxa"/>
            <w:tcBorders>
              <w:left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jc w:val="center"/>
              <w:textAlignment w:val="auto"/>
              <w:rPr>
                <w:rFonts w:hint="eastAsia"/>
                <w:color w:val="auto"/>
                <w:sz w:val="21"/>
                <w:szCs w:val="21"/>
                <w:lang w:eastAsia="zh-CN"/>
              </w:rPr>
            </w:pPr>
            <w:r>
              <w:rPr>
                <w:rFonts w:hint="eastAsia"/>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12" w:hRule="atLeast"/>
          <w:jc w:val="center"/>
        </w:trPr>
        <w:tc>
          <w:tcPr>
            <w:tcW w:w="822" w:type="dxa"/>
            <w:vMerge w:val="continue"/>
            <w:tcBorders>
              <w:left w:val="single" w:color="auto" w:sz="6" w:space="0"/>
              <w:bottom w:val="single" w:color="auto" w:sz="2" w:space="0"/>
              <w:right w:val="single" w:color="auto" w:sz="2" w:space="0"/>
            </w:tcBorders>
            <w:vAlign w:val="center"/>
          </w:tcPr>
          <w:p>
            <w:pPr>
              <w:keepNext w:val="0"/>
              <w:keepLines w:val="0"/>
              <w:pageBreakBefore w:val="0"/>
              <w:kinsoku/>
              <w:wordWrap/>
              <w:overflowPunct/>
              <w:topLinePunct w:val="0"/>
              <w:autoSpaceDN/>
              <w:bidi w:val="0"/>
              <w:adjustRightInd/>
              <w:snapToGrid/>
              <w:spacing w:line="300" w:lineRule="exact"/>
              <w:textAlignment w:val="auto"/>
              <w:rPr>
                <w:color w:val="auto"/>
              </w:rPr>
            </w:pPr>
          </w:p>
        </w:tc>
        <w:tc>
          <w:tcPr>
            <w:tcW w:w="1325" w:type="dxa"/>
            <w:vMerge w:val="continue"/>
            <w:tcBorders>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textAlignment w:val="auto"/>
              <w:rPr>
                <w:color w:val="auto"/>
              </w:rPr>
            </w:pPr>
          </w:p>
        </w:tc>
        <w:tc>
          <w:tcPr>
            <w:tcW w:w="4619" w:type="dxa"/>
            <w:tcBorders>
              <w:left w:val="single" w:color="auto" w:sz="2" w:space="0"/>
              <w:bottom w:val="single" w:color="auto" w:sz="6"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textAlignment w:val="auto"/>
              <w:rPr>
                <w:rFonts w:hint="eastAsia"/>
                <w:color w:val="auto"/>
                <w:sz w:val="21"/>
                <w:szCs w:val="21"/>
                <w:lang w:val="en-US" w:eastAsia="zh-CN"/>
              </w:rPr>
            </w:pPr>
            <w:r>
              <w:rPr>
                <w:rFonts w:hint="eastAsia" w:ascii="Times New Roman" w:hAnsi="Times New Roman"/>
                <w:color w:val="auto"/>
                <w:sz w:val="21"/>
                <w:szCs w:val="21"/>
                <w:lang w:val="en-US" w:eastAsia="zh-CN"/>
              </w:rPr>
              <w:t>55</w:t>
            </w:r>
            <w:r>
              <w:rPr>
                <w:rFonts w:hint="eastAsia"/>
                <w:color w:val="auto"/>
                <w:sz w:val="21"/>
                <w:szCs w:val="21"/>
                <w:lang w:val="en-US" w:eastAsia="zh-CN"/>
              </w:rPr>
              <w:t>．</w:t>
            </w:r>
            <w:r>
              <w:rPr>
                <w:color w:val="auto"/>
                <w:sz w:val="21"/>
                <w:szCs w:val="21"/>
              </w:rPr>
              <w:t>强化激励和问责，对政务公开工作推动有力、积极参与的单位和个人，予以通报表扬；对重要信息不发布、重大政策不解读、热点问题不回应的，予以通报批评，造成严重社会影响的，</w:t>
            </w:r>
            <w:r>
              <w:rPr>
                <w:rFonts w:hint="eastAsia"/>
                <w:color w:val="auto"/>
                <w:sz w:val="21"/>
                <w:szCs w:val="21"/>
                <w:lang w:eastAsia="zh-CN"/>
              </w:rPr>
              <w:t>将</w:t>
            </w:r>
            <w:r>
              <w:rPr>
                <w:color w:val="auto"/>
                <w:sz w:val="21"/>
                <w:szCs w:val="21"/>
              </w:rPr>
              <w:t>依纪依法追究责任。</w:t>
            </w:r>
          </w:p>
        </w:tc>
        <w:tc>
          <w:tcPr>
            <w:tcW w:w="1488" w:type="dxa"/>
            <w:tcBorders>
              <w:left w:val="single" w:color="auto" w:sz="2" w:space="0"/>
              <w:right w:val="single" w:color="auto" w:sz="2"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jc w:val="center"/>
              <w:textAlignment w:val="auto"/>
              <w:rPr>
                <w:rFonts w:hint="eastAsia"/>
                <w:color w:val="auto"/>
                <w:sz w:val="21"/>
                <w:szCs w:val="21"/>
                <w:lang w:val="en-US" w:eastAsia="zh-CN"/>
              </w:rPr>
            </w:pPr>
            <w:r>
              <w:rPr>
                <w:rFonts w:hint="eastAsia"/>
                <w:color w:val="auto"/>
                <w:sz w:val="21"/>
                <w:szCs w:val="21"/>
                <w:lang w:eastAsia="zh-CN"/>
              </w:rPr>
              <w:t>区政府办公室</w:t>
            </w:r>
          </w:p>
        </w:tc>
        <w:tc>
          <w:tcPr>
            <w:tcW w:w="1710" w:type="dxa"/>
            <w:tcBorders>
              <w:left w:val="single" w:color="auto" w:sz="2" w:space="0"/>
              <w:right w:val="single" w:color="auto" w:sz="6" w:space="0"/>
            </w:tcBorders>
            <w:tcMar>
              <w:top w:w="57" w:type="dxa"/>
              <w:left w:w="85" w:type="dxa"/>
              <w:bottom w:w="57" w:type="dxa"/>
              <w:right w:w="85" w:type="dxa"/>
            </w:tcMar>
            <w:vAlign w:val="center"/>
          </w:tcPr>
          <w:p>
            <w:pPr>
              <w:keepNext w:val="0"/>
              <w:keepLines w:val="0"/>
              <w:pageBreakBefore w:val="0"/>
              <w:kinsoku/>
              <w:wordWrap/>
              <w:overflowPunct/>
              <w:topLinePunct w:val="0"/>
              <w:autoSpaceDN/>
              <w:bidi w:val="0"/>
              <w:adjustRightInd/>
              <w:snapToGrid/>
              <w:spacing w:line="300" w:lineRule="exact"/>
              <w:jc w:val="center"/>
              <w:textAlignment w:val="auto"/>
              <w:rPr>
                <w:rFonts w:hint="eastAsia"/>
                <w:color w:val="auto"/>
                <w:sz w:val="21"/>
                <w:szCs w:val="21"/>
                <w:lang w:val="en-US" w:eastAsia="zh-CN"/>
              </w:rPr>
            </w:pPr>
            <w:r>
              <w:rPr>
                <w:color w:val="auto"/>
                <w:sz w:val="21"/>
                <w:szCs w:val="21"/>
              </w:rPr>
              <w:t>各</w:t>
            </w:r>
            <w:r>
              <w:rPr>
                <w:rFonts w:hint="eastAsia"/>
                <w:color w:val="auto"/>
                <w:sz w:val="21"/>
                <w:szCs w:val="21"/>
                <w:lang w:eastAsia="zh-CN"/>
              </w:rPr>
              <w:t>乡镇街道</w:t>
            </w:r>
            <w:r>
              <w:rPr>
                <w:color w:val="auto"/>
                <w:sz w:val="21"/>
                <w:szCs w:val="21"/>
              </w:rPr>
              <w:t>、</w:t>
            </w:r>
            <w:r>
              <w:rPr>
                <w:rFonts w:hint="eastAsia"/>
                <w:color w:val="auto"/>
                <w:sz w:val="21"/>
                <w:szCs w:val="21"/>
                <w:lang w:eastAsia="zh-CN"/>
              </w:rPr>
              <w:t>区</w:t>
            </w:r>
            <w:r>
              <w:rPr>
                <w:color w:val="auto"/>
                <w:sz w:val="21"/>
                <w:szCs w:val="21"/>
              </w:rPr>
              <w:t>政府各部门</w:t>
            </w:r>
          </w:p>
        </w:tc>
      </w:tr>
    </w:tbl>
    <w:p>
      <w:pPr>
        <w:autoSpaceDE w:val="0"/>
        <w:rPr>
          <w:rFonts w:hint="eastAsia"/>
        </w:rPr>
      </w:pPr>
    </w:p>
    <w:sectPr>
      <w:headerReference r:id="rId3" w:type="default"/>
      <w:footerReference r:id="rId4" w:type="default"/>
      <w:pgSz w:w="11906" w:h="16838"/>
      <w:pgMar w:top="2098" w:right="1474" w:bottom="1984" w:left="1587" w:header="851" w:footer="1417"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Helvetica">
    <w:altName w:val="Arial"/>
    <w:panose1 w:val="020B0504020202030204"/>
    <w:charset w:val="00"/>
    <w:family w:val="swiss"/>
    <w:pitch w:val="default"/>
    <w:sig w:usb0="00000000"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default" w:eastAsia="方正仿宋_GBK"/>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default" w:eastAsia="方正仿宋_GBK"/>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11"/>
    <w:rsid w:val="00280C7E"/>
    <w:rsid w:val="00BC7595"/>
    <w:rsid w:val="00BE7376"/>
    <w:rsid w:val="00FC5611"/>
    <w:rsid w:val="011F3590"/>
    <w:rsid w:val="01346DF2"/>
    <w:rsid w:val="015A15A8"/>
    <w:rsid w:val="016C79B5"/>
    <w:rsid w:val="018241D6"/>
    <w:rsid w:val="01840139"/>
    <w:rsid w:val="0196659F"/>
    <w:rsid w:val="01D1606C"/>
    <w:rsid w:val="01F7230E"/>
    <w:rsid w:val="0203165D"/>
    <w:rsid w:val="027F5E3C"/>
    <w:rsid w:val="028E3DE5"/>
    <w:rsid w:val="03294E57"/>
    <w:rsid w:val="03566CA1"/>
    <w:rsid w:val="03AB722A"/>
    <w:rsid w:val="03CC6257"/>
    <w:rsid w:val="04132F80"/>
    <w:rsid w:val="042D5214"/>
    <w:rsid w:val="0449795F"/>
    <w:rsid w:val="044B6A14"/>
    <w:rsid w:val="04622978"/>
    <w:rsid w:val="04702495"/>
    <w:rsid w:val="04EE28F7"/>
    <w:rsid w:val="04FB7680"/>
    <w:rsid w:val="056E0D5E"/>
    <w:rsid w:val="05C94CC9"/>
    <w:rsid w:val="05DA16CC"/>
    <w:rsid w:val="061C3F26"/>
    <w:rsid w:val="06284171"/>
    <w:rsid w:val="06823F94"/>
    <w:rsid w:val="06967E3A"/>
    <w:rsid w:val="069D1C03"/>
    <w:rsid w:val="07193B33"/>
    <w:rsid w:val="07400918"/>
    <w:rsid w:val="07634180"/>
    <w:rsid w:val="077D3AEA"/>
    <w:rsid w:val="077E4300"/>
    <w:rsid w:val="078F71F6"/>
    <w:rsid w:val="07A96C39"/>
    <w:rsid w:val="07B367C2"/>
    <w:rsid w:val="07D64DF7"/>
    <w:rsid w:val="07DB35B3"/>
    <w:rsid w:val="07FB31FC"/>
    <w:rsid w:val="085F1586"/>
    <w:rsid w:val="08B35B3F"/>
    <w:rsid w:val="08BE44AA"/>
    <w:rsid w:val="08DC5270"/>
    <w:rsid w:val="08FA4C1B"/>
    <w:rsid w:val="090E5A7A"/>
    <w:rsid w:val="09766E7B"/>
    <w:rsid w:val="098B5105"/>
    <w:rsid w:val="0A1D509A"/>
    <w:rsid w:val="0A651CCE"/>
    <w:rsid w:val="0A8A127F"/>
    <w:rsid w:val="0B15744E"/>
    <w:rsid w:val="0B3C085B"/>
    <w:rsid w:val="0B8C6605"/>
    <w:rsid w:val="0BAC3EEA"/>
    <w:rsid w:val="0BE041FD"/>
    <w:rsid w:val="0C1018F6"/>
    <w:rsid w:val="0C215A50"/>
    <w:rsid w:val="0C2C25C5"/>
    <w:rsid w:val="0C454040"/>
    <w:rsid w:val="0CB216F5"/>
    <w:rsid w:val="0CC6779E"/>
    <w:rsid w:val="0CDB6E4A"/>
    <w:rsid w:val="0D0A7586"/>
    <w:rsid w:val="0DC371FB"/>
    <w:rsid w:val="0E0B2DFD"/>
    <w:rsid w:val="0E2108E8"/>
    <w:rsid w:val="0E50606E"/>
    <w:rsid w:val="0E883C5A"/>
    <w:rsid w:val="0F545960"/>
    <w:rsid w:val="0F5909E5"/>
    <w:rsid w:val="0F5F5C3F"/>
    <w:rsid w:val="0F7731AA"/>
    <w:rsid w:val="0F7E29C3"/>
    <w:rsid w:val="0F8E5221"/>
    <w:rsid w:val="0FBB3460"/>
    <w:rsid w:val="0FD1401E"/>
    <w:rsid w:val="101043A2"/>
    <w:rsid w:val="10410BDD"/>
    <w:rsid w:val="109C5AEB"/>
    <w:rsid w:val="10C506DD"/>
    <w:rsid w:val="10C8780E"/>
    <w:rsid w:val="112F65EE"/>
    <w:rsid w:val="113C7D1B"/>
    <w:rsid w:val="11A87AC9"/>
    <w:rsid w:val="12360AEF"/>
    <w:rsid w:val="123932AD"/>
    <w:rsid w:val="12A71350"/>
    <w:rsid w:val="12BA4D4C"/>
    <w:rsid w:val="13072FF9"/>
    <w:rsid w:val="13275763"/>
    <w:rsid w:val="14044D41"/>
    <w:rsid w:val="146F56AB"/>
    <w:rsid w:val="14710E23"/>
    <w:rsid w:val="14DC53F6"/>
    <w:rsid w:val="14E9437F"/>
    <w:rsid w:val="151340EA"/>
    <w:rsid w:val="15280EF0"/>
    <w:rsid w:val="156C3696"/>
    <w:rsid w:val="15843AAE"/>
    <w:rsid w:val="16873ADF"/>
    <w:rsid w:val="170E6449"/>
    <w:rsid w:val="17183A13"/>
    <w:rsid w:val="1752431E"/>
    <w:rsid w:val="17F918EE"/>
    <w:rsid w:val="183C1631"/>
    <w:rsid w:val="18400D41"/>
    <w:rsid w:val="18737E5F"/>
    <w:rsid w:val="18814C25"/>
    <w:rsid w:val="18D661E8"/>
    <w:rsid w:val="18F46D52"/>
    <w:rsid w:val="190401D3"/>
    <w:rsid w:val="19B364A6"/>
    <w:rsid w:val="19F647FB"/>
    <w:rsid w:val="1A627358"/>
    <w:rsid w:val="1A807118"/>
    <w:rsid w:val="1AED5F50"/>
    <w:rsid w:val="1B07011B"/>
    <w:rsid w:val="1B4279D6"/>
    <w:rsid w:val="1B544D93"/>
    <w:rsid w:val="1BAB22E4"/>
    <w:rsid w:val="1C286288"/>
    <w:rsid w:val="1C336271"/>
    <w:rsid w:val="1C9E62D9"/>
    <w:rsid w:val="1CBE38D2"/>
    <w:rsid w:val="1CFA2A9C"/>
    <w:rsid w:val="1CFD7747"/>
    <w:rsid w:val="1D1804B1"/>
    <w:rsid w:val="1DA8708B"/>
    <w:rsid w:val="1DD36605"/>
    <w:rsid w:val="1DF277C9"/>
    <w:rsid w:val="1E1041F9"/>
    <w:rsid w:val="1E2A6429"/>
    <w:rsid w:val="1E342580"/>
    <w:rsid w:val="1EA9340A"/>
    <w:rsid w:val="1F125914"/>
    <w:rsid w:val="1F392514"/>
    <w:rsid w:val="1F411F60"/>
    <w:rsid w:val="1F7B1A32"/>
    <w:rsid w:val="1FA75F8C"/>
    <w:rsid w:val="20D56F5A"/>
    <w:rsid w:val="21B118B8"/>
    <w:rsid w:val="21B46D3F"/>
    <w:rsid w:val="221519CB"/>
    <w:rsid w:val="221A04BB"/>
    <w:rsid w:val="229E2FC5"/>
    <w:rsid w:val="23240C6A"/>
    <w:rsid w:val="235D2B57"/>
    <w:rsid w:val="2373605F"/>
    <w:rsid w:val="237A6E48"/>
    <w:rsid w:val="23CA7E2E"/>
    <w:rsid w:val="249D1A16"/>
    <w:rsid w:val="24A872E7"/>
    <w:rsid w:val="25096A90"/>
    <w:rsid w:val="252D177E"/>
    <w:rsid w:val="259D2FA5"/>
    <w:rsid w:val="26303B97"/>
    <w:rsid w:val="26397B03"/>
    <w:rsid w:val="26991A67"/>
    <w:rsid w:val="26E06BD1"/>
    <w:rsid w:val="27025650"/>
    <w:rsid w:val="274B3700"/>
    <w:rsid w:val="27ED088A"/>
    <w:rsid w:val="280179F6"/>
    <w:rsid w:val="28721F16"/>
    <w:rsid w:val="29EA67F7"/>
    <w:rsid w:val="2A79201E"/>
    <w:rsid w:val="2AD330DF"/>
    <w:rsid w:val="2ADA41FA"/>
    <w:rsid w:val="2AE214C7"/>
    <w:rsid w:val="2B1A1CEC"/>
    <w:rsid w:val="2C0101C6"/>
    <w:rsid w:val="2C1E3D02"/>
    <w:rsid w:val="2C7423F5"/>
    <w:rsid w:val="2D5435A1"/>
    <w:rsid w:val="2DC75167"/>
    <w:rsid w:val="2E034703"/>
    <w:rsid w:val="2E125946"/>
    <w:rsid w:val="2E2E6AC5"/>
    <w:rsid w:val="2E414397"/>
    <w:rsid w:val="2E5D78F8"/>
    <w:rsid w:val="2E5E1C08"/>
    <w:rsid w:val="2EAD69C8"/>
    <w:rsid w:val="2ED067B2"/>
    <w:rsid w:val="2ED976BB"/>
    <w:rsid w:val="2F1D4593"/>
    <w:rsid w:val="2F1D7128"/>
    <w:rsid w:val="2F293062"/>
    <w:rsid w:val="2F841562"/>
    <w:rsid w:val="2FAD0500"/>
    <w:rsid w:val="2FBC04B2"/>
    <w:rsid w:val="2FD873EE"/>
    <w:rsid w:val="2FDC7EFB"/>
    <w:rsid w:val="30356512"/>
    <w:rsid w:val="303B3320"/>
    <w:rsid w:val="303E28B6"/>
    <w:rsid w:val="306918C1"/>
    <w:rsid w:val="30BD4C00"/>
    <w:rsid w:val="310129FE"/>
    <w:rsid w:val="310471E4"/>
    <w:rsid w:val="31BC47C6"/>
    <w:rsid w:val="32250BCD"/>
    <w:rsid w:val="322B33A9"/>
    <w:rsid w:val="32690B28"/>
    <w:rsid w:val="32B52066"/>
    <w:rsid w:val="32C15962"/>
    <w:rsid w:val="32D22F4A"/>
    <w:rsid w:val="33137C2B"/>
    <w:rsid w:val="331E705C"/>
    <w:rsid w:val="333360D5"/>
    <w:rsid w:val="334F76CB"/>
    <w:rsid w:val="339B0F67"/>
    <w:rsid w:val="33A12F4B"/>
    <w:rsid w:val="33BF5D71"/>
    <w:rsid w:val="3403189A"/>
    <w:rsid w:val="344C39F6"/>
    <w:rsid w:val="3466081B"/>
    <w:rsid w:val="349069D8"/>
    <w:rsid w:val="34B95E02"/>
    <w:rsid w:val="35006E20"/>
    <w:rsid w:val="350F5CBD"/>
    <w:rsid w:val="351F071F"/>
    <w:rsid w:val="35596745"/>
    <w:rsid w:val="357E0C72"/>
    <w:rsid w:val="35DF5D92"/>
    <w:rsid w:val="3606505F"/>
    <w:rsid w:val="36416635"/>
    <w:rsid w:val="366D189D"/>
    <w:rsid w:val="367C32D7"/>
    <w:rsid w:val="368125CE"/>
    <w:rsid w:val="36A52ED8"/>
    <w:rsid w:val="36E81293"/>
    <w:rsid w:val="370B5021"/>
    <w:rsid w:val="373D5D5F"/>
    <w:rsid w:val="37541FF8"/>
    <w:rsid w:val="37596C0A"/>
    <w:rsid w:val="37772A9A"/>
    <w:rsid w:val="3871766D"/>
    <w:rsid w:val="38881165"/>
    <w:rsid w:val="38B666B9"/>
    <w:rsid w:val="38D5548D"/>
    <w:rsid w:val="39215CA5"/>
    <w:rsid w:val="3A421230"/>
    <w:rsid w:val="3A5F0861"/>
    <w:rsid w:val="3AB05E47"/>
    <w:rsid w:val="3AE051CC"/>
    <w:rsid w:val="3B49066C"/>
    <w:rsid w:val="3B5F4741"/>
    <w:rsid w:val="3B9E74FA"/>
    <w:rsid w:val="3BD00B2F"/>
    <w:rsid w:val="3BEC4F4D"/>
    <w:rsid w:val="3C195E18"/>
    <w:rsid w:val="3C5102DD"/>
    <w:rsid w:val="3C5A5433"/>
    <w:rsid w:val="3C5D1DC8"/>
    <w:rsid w:val="3C731612"/>
    <w:rsid w:val="3CD7615F"/>
    <w:rsid w:val="3CFB13D0"/>
    <w:rsid w:val="3CFF4F36"/>
    <w:rsid w:val="3D603AA3"/>
    <w:rsid w:val="3D666F39"/>
    <w:rsid w:val="3E214D75"/>
    <w:rsid w:val="3E2A6DC7"/>
    <w:rsid w:val="3E2B2E5F"/>
    <w:rsid w:val="3E4460F6"/>
    <w:rsid w:val="3E7E0DAD"/>
    <w:rsid w:val="3F051DF7"/>
    <w:rsid w:val="3F052C99"/>
    <w:rsid w:val="3F0569A3"/>
    <w:rsid w:val="3F5340C7"/>
    <w:rsid w:val="3F5E13D8"/>
    <w:rsid w:val="3F9546DF"/>
    <w:rsid w:val="3FC22DDC"/>
    <w:rsid w:val="3FC702C3"/>
    <w:rsid w:val="402E0A2D"/>
    <w:rsid w:val="40470D65"/>
    <w:rsid w:val="408D4DD3"/>
    <w:rsid w:val="40973EF9"/>
    <w:rsid w:val="40B81B12"/>
    <w:rsid w:val="40D2728A"/>
    <w:rsid w:val="41223967"/>
    <w:rsid w:val="413F14FB"/>
    <w:rsid w:val="417B44B7"/>
    <w:rsid w:val="419961F0"/>
    <w:rsid w:val="41EB0617"/>
    <w:rsid w:val="4204104A"/>
    <w:rsid w:val="43103B91"/>
    <w:rsid w:val="4328422C"/>
    <w:rsid w:val="43505957"/>
    <w:rsid w:val="435422BB"/>
    <w:rsid w:val="43EA2DBF"/>
    <w:rsid w:val="445A6B2B"/>
    <w:rsid w:val="446215C1"/>
    <w:rsid w:val="449D44F7"/>
    <w:rsid w:val="44D601DF"/>
    <w:rsid w:val="44E36F58"/>
    <w:rsid w:val="45776A8A"/>
    <w:rsid w:val="45A218A9"/>
    <w:rsid w:val="45DD653A"/>
    <w:rsid w:val="46427413"/>
    <w:rsid w:val="46923FFB"/>
    <w:rsid w:val="46BA027F"/>
    <w:rsid w:val="46D012D7"/>
    <w:rsid w:val="46EF5D93"/>
    <w:rsid w:val="46F62DB2"/>
    <w:rsid w:val="47111A98"/>
    <w:rsid w:val="47852775"/>
    <w:rsid w:val="4799561C"/>
    <w:rsid w:val="47EC3310"/>
    <w:rsid w:val="48035048"/>
    <w:rsid w:val="482525FE"/>
    <w:rsid w:val="483062AB"/>
    <w:rsid w:val="486A1F18"/>
    <w:rsid w:val="486B513D"/>
    <w:rsid w:val="48BE51BE"/>
    <w:rsid w:val="48F62DA1"/>
    <w:rsid w:val="48FF2BEC"/>
    <w:rsid w:val="495931CC"/>
    <w:rsid w:val="49BE422F"/>
    <w:rsid w:val="49E643B3"/>
    <w:rsid w:val="4A696014"/>
    <w:rsid w:val="4A6C52BB"/>
    <w:rsid w:val="4AB3361A"/>
    <w:rsid w:val="4AB40F0A"/>
    <w:rsid w:val="4B1625F5"/>
    <w:rsid w:val="4B797896"/>
    <w:rsid w:val="4B9E2AB7"/>
    <w:rsid w:val="4BC17704"/>
    <w:rsid w:val="4BC739EB"/>
    <w:rsid w:val="4C60677B"/>
    <w:rsid w:val="4C910D2D"/>
    <w:rsid w:val="4CDD07ED"/>
    <w:rsid w:val="4CE961E9"/>
    <w:rsid w:val="4CFA6B71"/>
    <w:rsid w:val="4D6572EA"/>
    <w:rsid w:val="4D6A3514"/>
    <w:rsid w:val="4DA27CA6"/>
    <w:rsid w:val="4DD83DEC"/>
    <w:rsid w:val="4E006051"/>
    <w:rsid w:val="4E082DC1"/>
    <w:rsid w:val="4E3B2B25"/>
    <w:rsid w:val="4E8D6FD7"/>
    <w:rsid w:val="4ECE372F"/>
    <w:rsid w:val="4EE904CA"/>
    <w:rsid w:val="4EF3085D"/>
    <w:rsid w:val="4EF34DF3"/>
    <w:rsid w:val="4F107DD7"/>
    <w:rsid w:val="4F23449B"/>
    <w:rsid w:val="4FC6564D"/>
    <w:rsid w:val="50FC1DC2"/>
    <w:rsid w:val="5105030A"/>
    <w:rsid w:val="512320E1"/>
    <w:rsid w:val="5162776C"/>
    <w:rsid w:val="51671C28"/>
    <w:rsid w:val="51A104CA"/>
    <w:rsid w:val="521C20EF"/>
    <w:rsid w:val="524568B2"/>
    <w:rsid w:val="5308637E"/>
    <w:rsid w:val="53126DA9"/>
    <w:rsid w:val="536C5EC8"/>
    <w:rsid w:val="53A51556"/>
    <w:rsid w:val="53BD3167"/>
    <w:rsid w:val="53DE5D41"/>
    <w:rsid w:val="54325741"/>
    <w:rsid w:val="54697F21"/>
    <w:rsid w:val="548574C9"/>
    <w:rsid w:val="54B02B04"/>
    <w:rsid w:val="54DB4752"/>
    <w:rsid w:val="551D2C00"/>
    <w:rsid w:val="554D2C1F"/>
    <w:rsid w:val="55864D8B"/>
    <w:rsid w:val="55A10F70"/>
    <w:rsid w:val="55DC5E50"/>
    <w:rsid w:val="55F75799"/>
    <w:rsid w:val="572C4770"/>
    <w:rsid w:val="57650925"/>
    <w:rsid w:val="57B97FE2"/>
    <w:rsid w:val="57D12005"/>
    <w:rsid w:val="586A0339"/>
    <w:rsid w:val="586B34C1"/>
    <w:rsid w:val="58803ADE"/>
    <w:rsid w:val="58C726D3"/>
    <w:rsid w:val="58DE5609"/>
    <w:rsid w:val="59296DE9"/>
    <w:rsid w:val="599F6B38"/>
    <w:rsid w:val="59E34079"/>
    <w:rsid w:val="59E43B77"/>
    <w:rsid w:val="59E648D0"/>
    <w:rsid w:val="5A181544"/>
    <w:rsid w:val="5A3E611C"/>
    <w:rsid w:val="5A6A625C"/>
    <w:rsid w:val="5AC9308C"/>
    <w:rsid w:val="5B0336F3"/>
    <w:rsid w:val="5B2E2A3B"/>
    <w:rsid w:val="5B594F18"/>
    <w:rsid w:val="5BC06915"/>
    <w:rsid w:val="5BCC36E6"/>
    <w:rsid w:val="5C540735"/>
    <w:rsid w:val="5C6A3628"/>
    <w:rsid w:val="5C6C3529"/>
    <w:rsid w:val="5C9A5F8D"/>
    <w:rsid w:val="5CBF45A4"/>
    <w:rsid w:val="5D1F5B1F"/>
    <w:rsid w:val="5D6257AF"/>
    <w:rsid w:val="5D7864BA"/>
    <w:rsid w:val="5EC57C47"/>
    <w:rsid w:val="5ECD4399"/>
    <w:rsid w:val="5ED616DD"/>
    <w:rsid w:val="5EF4232C"/>
    <w:rsid w:val="5F0912BB"/>
    <w:rsid w:val="5FB559B4"/>
    <w:rsid w:val="5FBC68D4"/>
    <w:rsid w:val="601646E1"/>
    <w:rsid w:val="60400556"/>
    <w:rsid w:val="60721695"/>
    <w:rsid w:val="61026C82"/>
    <w:rsid w:val="61235D5F"/>
    <w:rsid w:val="618E54AE"/>
    <w:rsid w:val="62465CB0"/>
    <w:rsid w:val="624D787D"/>
    <w:rsid w:val="62CE5C5C"/>
    <w:rsid w:val="631E15A3"/>
    <w:rsid w:val="63205B58"/>
    <w:rsid w:val="63701040"/>
    <w:rsid w:val="63785EDF"/>
    <w:rsid w:val="639C19C4"/>
    <w:rsid w:val="641D0105"/>
    <w:rsid w:val="64CC6186"/>
    <w:rsid w:val="64DF6C07"/>
    <w:rsid w:val="64EE5879"/>
    <w:rsid w:val="64F8592D"/>
    <w:rsid w:val="65120FCA"/>
    <w:rsid w:val="651C2BD7"/>
    <w:rsid w:val="65260916"/>
    <w:rsid w:val="65902ADE"/>
    <w:rsid w:val="65C90971"/>
    <w:rsid w:val="660249C9"/>
    <w:rsid w:val="66106AB7"/>
    <w:rsid w:val="66156A00"/>
    <w:rsid w:val="66664EE4"/>
    <w:rsid w:val="66F27AD1"/>
    <w:rsid w:val="66F870A2"/>
    <w:rsid w:val="67AA1793"/>
    <w:rsid w:val="680376FF"/>
    <w:rsid w:val="68546F6F"/>
    <w:rsid w:val="68550925"/>
    <w:rsid w:val="6866473F"/>
    <w:rsid w:val="68EA4FBD"/>
    <w:rsid w:val="693B3F25"/>
    <w:rsid w:val="6987671C"/>
    <w:rsid w:val="69B43A4F"/>
    <w:rsid w:val="6A3B1B88"/>
    <w:rsid w:val="6AD6394B"/>
    <w:rsid w:val="6BF147E2"/>
    <w:rsid w:val="6C86671B"/>
    <w:rsid w:val="6CBA278D"/>
    <w:rsid w:val="6CF9151B"/>
    <w:rsid w:val="6DB77F82"/>
    <w:rsid w:val="6DD310EA"/>
    <w:rsid w:val="6E0657D3"/>
    <w:rsid w:val="6E0D7F14"/>
    <w:rsid w:val="6E2A33F1"/>
    <w:rsid w:val="6E2D3DDB"/>
    <w:rsid w:val="6E343944"/>
    <w:rsid w:val="6E5C7EC5"/>
    <w:rsid w:val="6E66767E"/>
    <w:rsid w:val="6E9A3385"/>
    <w:rsid w:val="6EA939E6"/>
    <w:rsid w:val="6EBF44A1"/>
    <w:rsid w:val="6ECD0524"/>
    <w:rsid w:val="6EEE63DC"/>
    <w:rsid w:val="6F022512"/>
    <w:rsid w:val="6F155A80"/>
    <w:rsid w:val="6F4A6FB6"/>
    <w:rsid w:val="6F75166C"/>
    <w:rsid w:val="6FDB3CA8"/>
    <w:rsid w:val="6FE15539"/>
    <w:rsid w:val="6FF570CE"/>
    <w:rsid w:val="70352E1F"/>
    <w:rsid w:val="70590A5A"/>
    <w:rsid w:val="7064716C"/>
    <w:rsid w:val="70675097"/>
    <w:rsid w:val="708D7770"/>
    <w:rsid w:val="70C345BD"/>
    <w:rsid w:val="70D11495"/>
    <w:rsid w:val="7167062D"/>
    <w:rsid w:val="71815532"/>
    <w:rsid w:val="71835846"/>
    <w:rsid w:val="71B71FED"/>
    <w:rsid w:val="71E41D17"/>
    <w:rsid w:val="71E71AAF"/>
    <w:rsid w:val="725231E7"/>
    <w:rsid w:val="73361386"/>
    <w:rsid w:val="73AC3F18"/>
    <w:rsid w:val="73B83C44"/>
    <w:rsid w:val="73EF1227"/>
    <w:rsid w:val="740B78E6"/>
    <w:rsid w:val="7421274E"/>
    <w:rsid w:val="744620A8"/>
    <w:rsid w:val="7490189A"/>
    <w:rsid w:val="74C03BB8"/>
    <w:rsid w:val="758153F2"/>
    <w:rsid w:val="75B446B2"/>
    <w:rsid w:val="75C4730B"/>
    <w:rsid w:val="76532955"/>
    <w:rsid w:val="766F3C7B"/>
    <w:rsid w:val="76B0380B"/>
    <w:rsid w:val="76E87338"/>
    <w:rsid w:val="76F27212"/>
    <w:rsid w:val="77337AF1"/>
    <w:rsid w:val="77666E4C"/>
    <w:rsid w:val="776D134E"/>
    <w:rsid w:val="776E03A5"/>
    <w:rsid w:val="77A707FC"/>
    <w:rsid w:val="77FA2167"/>
    <w:rsid w:val="78E46B11"/>
    <w:rsid w:val="791926B8"/>
    <w:rsid w:val="794806C3"/>
    <w:rsid w:val="799036E3"/>
    <w:rsid w:val="79943DF5"/>
    <w:rsid w:val="79A7578C"/>
    <w:rsid w:val="79EF6C46"/>
    <w:rsid w:val="79F12716"/>
    <w:rsid w:val="7AA7463F"/>
    <w:rsid w:val="7ABF73DD"/>
    <w:rsid w:val="7BC6651D"/>
    <w:rsid w:val="7BC71A22"/>
    <w:rsid w:val="7BD81FF0"/>
    <w:rsid w:val="7C4C536A"/>
    <w:rsid w:val="7C9B0558"/>
    <w:rsid w:val="7CAC0956"/>
    <w:rsid w:val="7CD92C65"/>
    <w:rsid w:val="7D32122C"/>
    <w:rsid w:val="7D993765"/>
    <w:rsid w:val="7DB44268"/>
    <w:rsid w:val="7DB54B68"/>
    <w:rsid w:val="7DB73FEB"/>
    <w:rsid w:val="7DD31936"/>
    <w:rsid w:val="7DFE5C13"/>
    <w:rsid w:val="7E500040"/>
    <w:rsid w:val="7E630CEE"/>
    <w:rsid w:val="7E655A2C"/>
    <w:rsid w:val="7E727B59"/>
    <w:rsid w:val="7EA353BB"/>
    <w:rsid w:val="7F214128"/>
    <w:rsid w:val="7FAF1640"/>
    <w:rsid w:val="7FC65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579" w:lineRule="exact"/>
      <w:ind w:firstLine="872" w:firstLineChars="200"/>
    </w:pPr>
    <w:rPr>
      <w:rFonts w:ascii="Times New Roman" w:hAnsi="Times New Roman" w:cs="hakuyoxingshu7000"/>
      <w:szCs w:val="31"/>
      <w:lang w:val="zh-CN" w:bidi="zh-CN"/>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Title"/>
    <w:basedOn w:val="1"/>
    <w:qFormat/>
    <w:uiPriority w:val="0"/>
    <w:pPr>
      <w:spacing w:before="240" w:after="60"/>
      <w:jc w:val="center"/>
      <w:outlineLvl w:val="0"/>
    </w:pPr>
    <w:rPr>
      <w:rFonts w:ascii="Arial" w:hAnsi="Arial" w:eastAsia="宋体"/>
      <w:b/>
      <w:szCs w:val="24"/>
    </w:rPr>
  </w:style>
  <w:style w:type="character" w:styleId="10">
    <w:name w:val="Strong"/>
    <w:basedOn w:val="9"/>
    <w:qFormat/>
    <w:uiPriority w:val="22"/>
    <w:rPr>
      <w:b/>
    </w:rPr>
  </w:style>
  <w:style w:type="character" w:styleId="11">
    <w:name w:val="Emphasis"/>
    <w:basedOn w:val="9"/>
    <w:qFormat/>
    <w:uiPriority w:val="2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1196</Words>
  <Characters>6820</Characters>
  <Lines>56</Lines>
  <Paragraphs>15</Paragraphs>
  <TotalTime>9</TotalTime>
  <ScaleCrop>false</ScaleCrop>
  <LinksUpToDate>false</LinksUpToDate>
  <CharactersWithSpaces>8001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2022-05-20T09:28:00Z</dcterms:created>
  <dc:creator>小 黑</dc:creator>
  <cp:lastModifiedBy>浪子king</cp:lastModifiedBy>
  <cp:lastPrinted>2022-05-31T02:16:00Z</cp:lastPrinted>
  <dcterms:modified xsi:type="dcterms:W3CDTF">2022-06-21T07:31:19Z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A136E99CD29F4F28A27D7E09FB826D2D</vt:lpwstr>
  </property>
</Properties>
</file>