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C032A">
      <w:pPr>
        <w:spacing w:line="579" w:lineRule="exact"/>
        <w:jc w:val="both"/>
        <w:rPr>
          <w:rFonts w:hint="default" w:ascii="Times New Roman" w:hAnsi="Times New Roman" w:cs="Times New Roman"/>
        </w:rPr>
      </w:pPr>
    </w:p>
    <w:p w14:paraId="485CCA2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w:t>
      </w:r>
    </w:p>
    <w:p w14:paraId="2DFCE11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关于公布黔江区城镇国有建设用地土地级别和基准地价的通知</w:t>
      </w:r>
    </w:p>
    <w:p w14:paraId="40D1F37B">
      <w:pPr>
        <w:pStyle w:val="2"/>
        <w:numPr>
          <w:ilvl w:val="3"/>
          <w:numId w:val="0"/>
        </w:numPr>
        <w:ind w:leftChars="200"/>
        <w:jc w:val="center"/>
        <w:rPr>
          <w:rFonts w:hint="default" w:ascii="Times New Roman" w:hAnsi="Times New Roman" w:eastAsia="方正仿宋_GBK" w:cs="Times New Roman"/>
          <w:b w:val="0"/>
          <w:bCs/>
        </w:rPr>
      </w:pPr>
      <w:r>
        <w:rPr>
          <w:rFonts w:hint="default" w:ascii="Times New Roman" w:hAnsi="Times New Roman" w:eastAsia="方正仿宋_GBK" w:cs="Times New Roman"/>
          <w:b w:val="0"/>
          <w:bCs/>
          <w:color w:val="000000"/>
          <w:szCs w:val="32"/>
        </w:rPr>
        <w:t>黔江府发﹝2022﹞</w:t>
      </w:r>
      <w:r>
        <w:rPr>
          <w:rFonts w:hint="default" w:ascii="Times New Roman" w:hAnsi="Times New Roman" w:eastAsia="方正仿宋_GBK" w:cs="Times New Roman"/>
          <w:b w:val="0"/>
          <w:bCs/>
          <w:color w:val="000000"/>
          <w:szCs w:val="32"/>
          <w:lang w:val="en-US" w:eastAsia="zh-CN"/>
        </w:rPr>
        <w:t>21</w:t>
      </w:r>
      <w:r>
        <w:rPr>
          <w:rFonts w:hint="default" w:ascii="Times New Roman" w:hAnsi="Times New Roman" w:eastAsia="方正仿宋_GBK" w:cs="Times New Roman"/>
          <w:b w:val="0"/>
          <w:bCs/>
          <w:color w:val="000000"/>
          <w:szCs w:val="32"/>
        </w:rPr>
        <w:t>号</w:t>
      </w:r>
    </w:p>
    <w:p w14:paraId="14719F07">
      <w:pPr>
        <w:spacing w:line="579" w:lineRule="exact"/>
        <w:rPr>
          <w:rFonts w:hint="default" w:ascii="Times New Roman" w:hAnsi="Times New Roman" w:cs="Times New Roman"/>
          <w:szCs w:val="32"/>
        </w:rPr>
      </w:pPr>
    </w:p>
    <w:p w14:paraId="336B977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各乡、镇人民政府，各街道办事处，</w:t>
      </w:r>
      <w:r>
        <w:rPr>
          <w:rFonts w:hint="default" w:ascii="Times New Roman" w:hAnsi="Times New Roman" w:eastAsia="方正仿宋_GBK" w:cs="Times New Roman"/>
          <w:color w:val="auto"/>
          <w:sz w:val="32"/>
          <w:szCs w:val="32"/>
        </w:rPr>
        <w:t>区级有关部门，有关单位：</w:t>
      </w:r>
    </w:p>
    <w:p w14:paraId="546C81B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为进一步加强土地资产管理，完善地价管理体系，规范土地市场秩序，发挥政府的指导调控作用，</w:t>
      </w:r>
      <w:r>
        <w:rPr>
          <w:rFonts w:hint="default" w:ascii="Times New Roman" w:hAnsi="Times New Roman" w:eastAsia="方正仿宋_GBK" w:cs="Times New Roman"/>
          <w:sz w:val="32"/>
          <w:szCs w:val="32"/>
        </w:rPr>
        <w:t>根据《自然资源部办公厅关于部署开展2019年度自然资源评价评估工作的通知》（自然资办发〔2019〕36号）、《重庆市规划和自然资源局关于做好2019年度自然资源评价评估工作的通知》（渝规资〔2019〕820号）相关规定，</w:t>
      </w:r>
      <w:r>
        <w:rPr>
          <w:rFonts w:hint="default" w:ascii="Times New Roman" w:hAnsi="Times New Roman" w:eastAsia="方正仿宋_GBK" w:cs="Times New Roman"/>
          <w:kern w:val="0"/>
          <w:sz w:val="32"/>
          <w:szCs w:val="32"/>
        </w:rPr>
        <w:t>经</w:t>
      </w:r>
      <w:r>
        <w:rPr>
          <w:rFonts w:hint="default" w:ascii="Times New Roman" w:hAnsi="Times New Roman" w:eastAsia="方正仿宋_GBK" w:cs="Times New Roman"/>
          <w:sz w:val="32"/>
          <w:szCs w:val="32"/>
        </w:rPr>
        <w:t>2020年10月14日黔江区规划委员会第三次会议审议通过，</w:t>
      </w:r>
      <w:r>
        <w:rPr>
          <w:rFonts w:hint="default" w:ascii="Times New Roman" w:hAnsi="Times New Roman" w:eastAsia="方正仿宋_GBK" w:cs="Times New Roman"/>
          <w:kern w:val="0"/>
          <w:sz w:val="32"/>
          <w:szCs w:val="32"/>
        </w:rPr>
        <w:t>调整更新了我区</w:t>
      </w:r>
      <w:r>
        <w:rPr>
          <w:rFonts w:hint="default" w:ascii="Times New Roman" w:hAnsi="Times New Roman" w:eastAsia="方正仿宋_GBK" w:cs="Times New Roman"/>
          <w:sz w:val="32"/>
          <w:szCs w:val="32"/>
        </w:rPr>
        <w:t>城镇国有建设用地土地级别和基准地价，</w:t>
      </w:r>
      <w:r>
        <w:rPr>
          <w:rFonts w:hint="default" w:ascii="Times New Roman" w:hAnsi="Times New Roman" w:eastAsia="方正仿宋_GBK" w:cs="Times New Roman"/>
          <w:kern w:val="0"/>
          <w:sz w:val="32"/>
          <w:szCs w:val="32"/>
        </w:rPr>
        <w:t>现予以公布并就有关事宜通知如下，请认真遵照执行。</w:t>
      </w:r>
    </w:p>
    <w:p w14:paraId="51F376A3">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一、</w:t>
      </w:r>
      <w:r>
        <w:rPr>
          <w:rFonts w:hint="default" w:ascii="Times New Roman" w:hAnsi="Times New Roman" w:eastAsia="方正仿宋_GBK" w:cs="Times New Roman"/>
          <w:kern w:val="0"/>
          <w:sz w:val="32"/>
          <w:szCs w:val="32"/>
        </w:rPr>
        <w:t>基准地价是城镇土地分区域、分用途测算出的平均价格，是政府管理和调控土地市场的重要手段，是制定土地税费、核算土地资产收益的主要依据。</w:t>
      </w:r>
    </w:p>
    <w:p w14:paraId="0975171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二、</w:t>
      </w:r>
      <w:r>
        <w:rPr>
          <w:rFonts w:hint="default" w:ascii="Times New Roman" w:hAnsi="Times New Roman" w:eastAsia="方正仿宋_GBK" w:cs="Times New Roman"/>
          <w:kern w:val="0"/>
          <w:sz w:val="32"/>
          <w:szCs w:val="32"/>
        </w:rPr>
        <w:t>土地级别是根据城镇土地自然和经济属性而划分出的土地等级序列。当宗地等级不确定时，可以参照宗地周围土地级别确定。</w:t>
      </w:r>
    </w:p>
    <w:p w14:paraId="53382FBD">
      <w:pPr>
        <w:spacing w:line="579" w:lineRule="exact"/>
        <w:ind w:firstLine="632"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仿宋_GBK" w:cs="Times New Roman"/>
          <w:kern w:val="0"/>
          <w:sz w:val="32"/>
          <w:szCs w:val="32"/>
        </w:rPr>
        <w:t>本通知自公布之日起执行，基准地价说明一并公布执行。原《重庆市黔江区人民政府关于公布黔江区国有建设用地使用权土地级别和基准地价的通知》（</w:t>
      </w:r>
      <w:r>
        <w:rPr>
          <w:rFonts w:hint="default" w:ascii="Times New Roman" w:hAnsi="Times New Roman" w:eastAsia="方正仿宋_GBK" w:cs="Times New Roman"/>
          <w:sz w:val="32"/>
          <w:szCs w:val="32"/>
        </w:rPr>
        <w:t>黔江府发〔2016〕25号</w:t>
      </w:r>
      <w:r>
        <w:rPr>
          <w:rFonts w:hint="default" w:ascii="Times New Roman" w:hAnsi="Times New Roman" w:eastAsia="方正仿宋_GBK" w:cs="Times New Roman"/>
          <w:kern w:val="0"/>
          <w:sz w:val="32"/>
          <w:szCs w:val="32"/>
        </w:rPr>
        <w:t>）同时废止。</w:t>
      </w:r>
    </w:p>
    <w:p w14:paraId="6381BE8F">
      <w:pPr>
        <w:spacing w:line="579" w:lineRule="exact"/>
        <w:ind w:firstLine="632" w:firstLineChars="200"/>
        <w:rPr>
          <w:rFonts w:hint="default" w:ascii="Times New Roman" w:hAnsi="Times New Roman" w:eastAsia="方正仿宋_GBK" w:cs="Times New Roman"/>
          <w:kern w:val="0"/>
          <w:sz w:val="32"/>
          <w:szCs w:val="32"/>
        </w:rPr>
      </w:pPr>
    </w:p>
    <w:p w14:paraId="29957EE3">
      <w:pPr>
        <w:spacing w:line="579" w:lineRule="exact"/>
        <w:ind w:firstLine="632"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 1.重庆市黔江区国有建设用地使用权基准地价</w:t>
      </w:r>
    </w:p>
    <w:p w14:paraId="787B85C5">
      <w:pPr>
        <w:spacing w:line="579" w:lineRule="exact"/>
        <w:ind w:firstLine="1738" w:firstLineChars="55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2.重庆市黔江区国有建设用地土地级别册</w:t>
      </w:r>
    </w:p>
    <w:p w14:paraId="48955A02">
      <w:pPr>
        <w:spacing w:line="579" w:lineRule="exact"/>
        <w:ind w:firstLine="1738" w:firstLineChars="55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3.重庆市黔江区国有建设用地使用权基准地价说明</w:t>
      </w:r>
    </w:p>
    <w:p w14:paraId="6D4A4119">
      <w:pPr>
        <w:rPr>
          <w:rFonts w:hint="default" w:ascii="Times New Roman" w:hAnsi="Times New Roman" w:eastAsia="方正仿宋_GBK" w:cs="Times New Roman"/>
          <w:sz w:val="32"/>
          <w:szCs w:val="32"/>
        </w:rPr>
      </w:pPr>
    </w:p>
    <w:p w14:paraId="1AC10F26">
      <w:pPr>
        <w:rPr>
          <w:rFonts w:hint="default" w:ascii="Times New Roman" w:hAnsi="Times New Roman" w:eastAsia="方正仿宋_GBK" w:cs="Times New Roman"/>
          <w:sz w:val="32"/>
          <w:szCs w:val="32"/>
        </w:rPr>
      </w:pPr>
    </w:p>
    <w:p w14:paraId="5F4FA8C3">
      <w:pPr>
        <w:spacing w:line="579" w:lineRule="exact"/>
        <w:ind w:left="4831" w:leftChars="1500" w:hanging="91" w:hangingChars="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w:t>
      </w:r>
    </w:p>
    <w:p w14:paraId="35680729">
      <w:pPr>
        <w:spacing w:line="579" w:lineRule="exact"/>
        <w:ind w:firstLine="5372"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14:paraId="626C49C9">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kern w:val="0"/>
          <w:sz w:val="32"/>
          <w:szCs w:val="32"/>
        </w:rPr>
        <w:sectPr>
          <w:headerReference r:id="rId3" w:type="default"/>
          <w:footerReference r:id="rId4" w:type="default"/>
          <w:footerReference r:id="rId5" w:type="even"/>
          <w:pgSz w:w="11906" w:h="16838"/>
          <w:pgMar w:top="1962" w:right="1474" w:bottom="1848" w:left="1587" w:header="851" w:footer="1020" w:gutter="0"/>
          <w:pgNumType w:fmt="decimal" w:start="1"/>
          <w:cols w:space="720" w:num="1"/>
          <w:rtlGutter w:val="0"/>
          <w:docGrid w:type="linesAndChars" w:linePitch="579" w:charSpace="-849"/>
        </w:sectPr>
      </w:pPr>
    </w:p>
    <w:p w14:paraId="156D782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36AC670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sz w:val="44"/>
          <w:szCs w:val="44"/>
        </w:rPr>
      </w:pPr>
      <w:r>
        <w:rPr>
          <w:rFonts w:hint="default" w:ascii="Times New Roman" w:hAnsi="Times New Roman" w:eastAsia="方正黑体_GBK" w:cs="Times New Roman"/>
          <w:bCs/>
          <w:sz w:val="32"/>
          <w:szCs w:val="32"/>
          <w:u w:val="none"/>
          <w:lang w:val="en-US" w:eastAsia="zh-CN"/>
        </w:rPr>
        <w:t>附件1</w:t>
      </w:r>
    </w:p>
    <w:p w14:paraId="574A9504">
      <w:pPr>
        <w:spacing w:line="600" w:lineRule="exact"/>
        <w:jc w:val="center"/>
        <w:rPr>
          <w:rFonts w:hint="default" w:ascii="Times New Roman" w:hAnsi="Times New Roman" w:eastAsia="仿宋" w:cs="Times New Roman"/>
          <w:b/>
          <w:bCs/>
          <w:sz w:val="40"/>
          <w:szCs w:val="40"/>
        </w:rPr>
      </w:pPr>
      <w:r>
        <w:rPr>
          <w:rFonts w:hint="default" w:ascii="Times New Roman" w:hAnsi="Times New Roman" w:eastAsia="仿宋" w:cs="Times New Roman"/>
          <w:b/>
          <w:bCs/>
          <w:sz w:val="40"/>
          <w:szCs w:val="40"/>
        </w:rPr>
        <w:t>重庆市黔江区国有建设用地使用权基准地价</w:t>
      </w:r>
    </w:p>
    <w:p w14:paraId="5EAAB6C3">
      <w:pPr>
        <w:spacing w:line="600" w:lineRule="exact"/>
        <w:jc w:val="center"/>
        <w:rPr>
          <w:rFonts w:hint="default" w:ascii="Times New Roman" w:hAnsi="Times New Roman" w:eastAsia="仿宋" w:cs="Times New Roman"/>
          <w:sz w:val="44"/>
          <w:szCs w:val="44"/>
        </w:rPr>
      </w:pPr>
      <w:r>
        <w:rPr>
          <w:rFonts w:hint="default" w:ascii="Times New Roman" w:hAnsi="Times New Roman" w:eastAsia="仿宋" w:cs="Times New Roman"/>
          <w:bCs/>
          <w:sz w:val="24"/>
          <w:szCs w:val="32"/>
          <w:lang w:val="en-US" w:eastAsia="zh-CN"/>
        </w:rPr>
        <w:t xml:space="preserve">                                             </w:t>
      </w:r>
      <w:r>
        <w:rPr>
          <w:rFonts w:hint="default" w:ascii="Times New Roman" w:hAnsi="Times New Roman" w:eastAsia="仿宋" w:cs="Times New Roman"/>
          <w:bCs/>
          <w:sz w:val="24"/>
          <w:szCs w:val="32"/>
        </w:rPr>
        <w:t>单位：元/平方米（建筑面积）</w:t>
      </w:r>
    </w:p>
    <w:tbl>
      <w:tblPr>
        <w:tblStyle w:val="10"/>
        <w:tblW w:w="8921" w:type="dxa"/>
        <w:tblInd w:w="1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784"/>
        <w:gridCol w:w="1784"/>
        <w:gridCol w:w="1784"/>
        <w:gridCol w:w="1785"/>
      </w:tblGrid>
      <w:tr w14:paraId="5CDC0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4" w:type="dxa"/>
            <w:tcBorders>
              <w:tl2br w:val="nil"/>
              <w:tr2bl w:val="nil"/>
            </w:tcBorders>
            <w:vAlign w:val="center"/>
          </w:tcPr>
          <w:p w14:paraId="71860FD7">
            <w:pPr>
              <w:widowControl/>
              <w:spacing w:line="24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级别</w:t>
            </w:r>
          </w:p>
        </w:tc>
        <w:tc>
          <w:tcPr>
            <w:tcW w:w="1784" w:type="dxa"/>
            <w:tcBorders>
              <w:tl2br w:val="nil"/>
              <w:tr2bl w:val="nil"/>
            </w:tcBorders>
            <w:vAlign w:val="center"/>
          </w:tcPr>
          <w:p w14:paraId="66CFFEC9">
            <w:pPr>
              <w:widowControl/>
              <w:spacing w:line="24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商服用地</w:t>
            </w:r>
          </w:p>
        </w:tc>
        <w:tc>
          <w:tcPr>
            <w:tcW w:w="1784" w:type="dxa"/>
            <w:tcBorders>
              <w:tl2br w:val="nil"/>
              <w:tr2bl w:val="nil"/>
            </w:tcBorders>
            <w:vAlign w:val="center"/>
          </w:tcPr>
          <w:p w14:paraId="69D79FE7">
            <w:pPr>
              <w:widowControl/>
              <w:spacing w:line="24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工矿仓储用地</w:t>
            </w:r>
          </w:p>
        </w:tc>
        <w:tc>
          <w:tcPr>
            <w:tcW w:w="1784" w:type="dxa"/>
            <w:tcBorders>
              <w:tl2br w:val="nil"/>
              <w:tr2bl w:val="nil"/>
            </w:tcBorders>
            <w:vAlign w:val="center"/>
          </w:tcPr>
          <w:p w14:paraId="4B2EEE11">
            <w:pPr>
              <w:widowControl/>
              <w:spacing w:line="24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住宅用地</w:t>
            </w:r>
          </w:p>
        </w:tc>
        <w:tc>
          <w:tcPr>
            <w:tcW w:w="1785" w:type="dxa"/>
            <w:tcBorders>
              <w:tl2br w:val="nil"/>
              <w:tr2bl w:val="nil"/>
            </w:tcBorders>
            <w:vAlign w:val="center"/>
          </w:tcPr>
          <w:p w14:paraId="68D6C67B">
            <w:pPr>
              <w:widowControl/>
              <w:spacing w:line="240" w:lineRule="exact"/>
              <w:jc w:val="center"/>
              <w:rPr>
                <w:rFonts w:hint="default" w:ascii="Times New Roman" w:hAnsi="Times New Roman" w:eastAsia="仿宋" w:cs="Times New Roman"/>
                <w:b/>
                <w:bCs/>
                <w:kern w:val="0"/>
                <w:sz w:val="21"/>
                <w:szCs w:val="21"/>
              </w:rPr>
            </w:pPr>
            <w:r>
              <w:rPr>
                <w:rFonts w:hint="default" w:ascii="Times New Roman" w:hAnsi="Times New Roman" w:eastAsia="仿宋" w:cs="Times New Roman"/>
                <w:b/>
                <w:bCs/>
                <w:kern w:val="0"/>
                <w:sz w:val="21"/>
                <w:szCs w:val="21"/>
              </w:rPr>
              <w:t>公共管理与公共服务用地</w:t>
            </w:r>
          </w:p>
        </w:tc>
      </w:tr>
      <w:tr w14:paraId="3C8B3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4" w:type="dxa"/>
            <w:tcBorders>
              <w:tl2br w:val="nil"/>
              <w:tr2bl w:val="nil"/>
            </w:tcBorders>
            <w:vAlign w:val="center"/>
          </w:tcPr>
          <w:p w14:paraId="08E13B1E">
            <w:pPr>
              <w:widowControl/>
              <w:spacing w:line="240" w:lineRule="exact"/>
              <w:jc w:val="center"/>
              <w:rPr>
                <w:rFonts w:hint="default" w:ascii="Times New Roman" w:hAnsi="Times New Roman" w:eastAsia="等线" w:cs="Times New Roman"/>
                <w:kern w:val="0"/>
                <w:sz w:val="21"/>
                <w:szCs w:val="21"/>
              </w:rPr>
            </w:pPr>
            <w:r>
              <w:rPr>
                <w:rFonts w:hint="default" w:ascii="Times New Roman" w:hAnsi="Times New Roman" w:eastAsia="等线" w:cs="Times New Roman"/>
                <w:kern w:val="0"/>
                <w:sz w:val="21"/>
                <w:szCs w:val="21"/>
              </w:rPr>
              <w:t>1</w:t>
            </w:r>
          </w:p>
        </w:tc>
        <w:tc>
          <w:tcPr>
            <w:tcW w:w="1784" w:type="dxa"/>
            <w:tcBorders>
              <w:tl2br w:val="nil"/>
              <w:tr2bl w:val="nil"/>
            </w:tcBorders>
            <w:vAlign w:val="center"/>
          </w:tcPr>
          <w:p w14:paraId="60362931">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2050</w:t>
            </w:r>
          </w:p>
        </w:tc>
        <w:tc>
          <w:tcPr>
            <w:tcW w:w="1784" w:type="dxa"/>
            <w:tcBorders>
              <w:tl2br w:val="nil"/>
              <w:tr2bl w:val="nil"/>
            </w:tcBorders>
            <w:vAlign w:val="center"/>
          </w:tcPr>
          <w:p w14:paraId="6C735C3C">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270</w:t>
            </w:r>
          </w:p>
        </w:tc>
        <w:tc>
          <w:tcPr>
            <w:tcW w:w="1784" w:type="dxa"/>
            <w:tcBorders>
              <w:tl2br w:val="nil"/>
              <w:tr2bl w:val="nil"/>
            </w:tcBorders>
            <w:vAlign w:val="center"/>
          </w:tcPr>
          <w:p w14:paraId="1AA6ABF4">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1730</w:t>
            </w:r>
          </w:p>
        </w:tc>
        <w:tc>
          <w:tcPr>
            <w:tcW w:w="1785" w:type="dxa"/>
            <w:tcBorders>
              <w:tl2br w:val="nil"/>
              <w:tr2bl w:val="nil"/>
            </w:tcBorders>
            <w:vAlign w:val="center"/>
          </w:tcPr>
          <w:p w14:paraId="366D3303">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1200</w:t>
            </w:r>
          </w:p>
        </w:tc>
      </w:tr>
      <w:tr w14:paraId="749E2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4" w:type="dxa"/>
            <w:tcBorders>
              <w:tl2br w:val="nil"/>
              <w:tr2bl w:val="nil"/>
            </w:tcBorders>
            <w:vAlign w:val="center"/>
          </w:tcPr>
          <w:p w14:paraId="25B4E586">
            <w:pPr>
              <w:widowControl/>
              <w:spacing w:line="240" w:lineRule="exact"/>
              <w:jc w:val="center"/>
              <w:rPr>
                <w:rFonts w:hint="default" w:ascii="Times New Roman" w:hAnsi="Times New Roman" w:eastAsia="等线" w:cs="Times New Roman"/>
                <w:kern w:val="0"/>
                <w:sz w:val="21"/>
                <w:szCs w:val="21"/>
              </w:rPr>
            </w:pPr>
            <w:r>
              <w:rPr>
                <w:rFonts w:hint="default" w:ascii="Times New Roman" w:hAnsi="Times New Roman" w:eastAsia="等线" w:cs="Times New Roman"/>
                <w:kern w:val="0"/>
                <w:sz w:val="21"/>
                <w:szCs w:val="21"/>
              </w:rPr>
              <w:t>2</w:t>
            </w:r>
          </w:p>
        </w:tc>
        <w:tc>
          <w:tcPr>
            <w:tcW w:w="1784" w:type="dxa"/>
            <w:tcBorders>
              <w:tl2br w:val="nil"/>
              <w:tr2bl w:val="nil"/>
            </w:tcBorders>
            <w:vAlign w:val="center"/>
          </w:tcPr>
          <w:p w14:paraId="01395AA4">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1270</w:t>
            </w:r>
          </w:p>
        </w:tc>
        <w:tc>
          <w:tcPr>
            <w:tcW w:w="1784" w:type="dxa"/>
            <w:tcBorders>
              <w:tl2br w:val="nil"/>
              <w:tr2bl w:val="nil"/>
            </w:tcBorders>
            <w:vAlign w:val="center"/>
          </w:tcPr>
          <w:p w14:paraId="0D8A348E">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180</w:t>
            </w:r>
          </w:p>
        </w:tc>
        <w:tc>
          <w:tcPr>
            <w:tcW w:w="1784" w:type="dxa"/>
            <w:tcBorders>
              <w:tl2br w:val="nil"/>
              <w:tr2bl w:val="nil"/>
            </w:tcBorders>
            <w:vAlign w:val="center"/>
          </w:tcPr>
          <w:p w14:paraId="62129EA5">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1120</w:t>
            </w:r>
          </w:p>
        </w:tc>
        <w:tc>
          <w:tcPr>
            <w:tcW w:w="1785" w:type="dxa"/>
            <w:tcBorders>
              <w:tl2br w:val="nil"/>
              <w:tr2bl w:val="nil"/>
            </w:tcBorders>
            <w:vAlign w:val="center"/>
          </w:tcPr>
          <w:p w14:paraId="16F96634">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830</w:t>
            </w:r>
          </w:p>
        </w:tc>
      </w:tr>
      <w:tr w14:paraId="76353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4" w:type="dxa"/>
            <w:tcBorders>
              <w:tl2br w:val="nil"/>
              <w:tr2bl w:val="nil"/>
            </w:tcBorders>
            <w:vAlign w:val="center"/>
          </w:tcPr>
          <w:p w14:paraId="0B39AD09">
            <w:pPr>
              <w:widowControl/>
              <w:spacing w:line="240" w:lineRule="exact"/>
              <w:jc w:val="center"/>
              <w:rPr>
                <w:rFonts w:hint="default" w:ascii="Times New Roman" w:hAnsi="Times New Roman" w:eastAsia="等线" w:cs="Times New Roman"/>
                <w:kern w:val="0"/>
                <w:sz w:val="21"/>
                <w:szCs w:val="21"/>
              </w:rPr>
            </w:pPr>
            <w:r>
              <w:rPr>
                <w:rFonts w:hint="default" w:ascii="Times New Roman" w:hAnsi="Times New Roman" w:eastAsia="等线" w:cs="Times New Roman"/>
                <w:kern w:val="0"/>
                <w:sz w:val="21"/>
                <w:szCs w:val="21"/>
              </w:rPr>
              <w:t>3</w:t>
            </w:r>
          </w:p>
        </w:tc>
        <w:tc>
          <w:tcPr>
            <w:tcW w:w="1784" w:type="dxa"/>
            <w:tcBorders>
              <w:tl2br w:val="nil"/>
              <w:tr2bl w:val="nil"/>
            </w:tcBorders>
            <w:vAlign w:val="center"/>
          </w:tcPr>
          <w:p w14:paraId="6C0F6F2D">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940</w:t>
            </w:r>
          </w:p>
        </w:tc>
        <w:tc>
          <w:tcPr>
            <w:tcW w:w="1784" w:type="dxa"/>
            <w:tcBorders>
              <w:tl2br w:val="nil"/>
              <w:tr2bl w:val="nil"/>
            </w:tcBorders>
            <w:vAlign w:val="center"/>
          </w:tcPr>
          <w:p w14:paraId="7EC3B80B">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120</w:t>
            </w:r>
          </w:p>
        </w:tc>
        <w:tc>
          <w:tcPr>
            <w:tcW w:w="1784" w:type="dxa"/>
            <w:tcBorders>
              <w:tl2br w:val="nil"/>
              <w:tr2bl w:val="nil"/>
            </w:tcBorders>
            <w:vAlign w:val="center"/>
          </w:tcPr>
          <w:p w14:paraId="26880911">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760</w:t>
            </w:r>
          </w:p>
        </w:tc>
        <w:tc>
          <w:tcPr>
            <w:tcW w:w="1785" w:type="dxa"/>
            <w:tcBorders>
              <w:tl2br w:val="nil"/>
              <w:tr2bl w:val="nil"/>
            </w:tcBorders>
            <w:vAlign w:val="center"/>
          </w:tcPr>
          <w:p w14:paraId="1C56B803">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490</w:t>
            </w:r>
          </w:p>
        </w:tc>
      </w:tr>
      <w:tr w14:paraId="6D5A5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4" w:type="dxa"/>
            <w:tcBorders>
              <w:tl2br w:val="nil"/>
              <w:tr2bl w:val="nil"/>
            </w:tcBorders>
            <w:vAlign w:val="center"/>
          </w:tcPr>
          <w:p w14:paraId="1013D2F7">
            <w:pPr>
              <w:widowControl/>
              <w:spacing w:line="240" w:lineRule="exact"/>
              <w:jc w:val="center"/>
              <w:rPr>
                <w:rFonts w:hint="default" w:ascii="Times New Roman" w:hAnsi="Times New Roman" w:eastAsia="等线" w:cs="Times New Roman"/>
                <w:kern w:val="0"/>
                <w:sz w:val="21"/>
                <w:szCs w:val="21"/>
              </w:rPr>
            </w:pPr>
            <w:r>
              <w:rPr>
                <w:rFonts w:hint="default" w:ascii="Times New Roman" w:hAnsi="Times New Roman" w:eastAsia="等线" w:cs="Times New Roman"/>
                <w:kern w:val="0"/>
                <w:sz w:val="21"/>
                <w:szCs w:val="21"/>
              </w:rPr>
              <w:t>4</w:t>
            </w:r>
          </w:p>
        </w:tc>
        <w:tc>
          <w:tcPr>
            <w:tcW w:w="1784" w:type="dxa"/>
            <w:tcBorders>
              <w:tl2br w:val="nil"/>
              <w:tr2bl w:val="nil"/>
            </w:tcBorders>
            <w:vAlign w:val="center"/>
          </w:tcPr>
          <w:p w14:paraId="0B9909CB">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640</w:t>
            </w:r>
          </w:p>
        </w:tc>
        <w:tc>
          <w:tcPr>
            <w:tcW w:w="1784" w:type="dxa"/>
            <w:tcBorders>
              <w:tl2br w:val="nil"/>
              <w:tr2bl w:val="nil"/>
            </w:tcBorders>
            <w:vAlign w:val="center"/>
          </w:tcPr>
          <w:p w14:paraId="77CE93FA">
            <w:pPr>
              <w:widowControl/>
              <w:spacing w:line="24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784" w:type="dxa"/>
            <w:tcBorders>
              <w:tl2br w:val="nil"/>
              <w:tr2bl w:val="nil"/>
            </w:tcBorders>
            <w:vAlign w:val="center"/>
          </w:tcPr>
          <w:p w14:paraId="033D2CAE">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530</w:t>
            </w:r>
          </w:p>
        </w:tc>
        <w:tc>
          <w:tcPr>
            <w:tcW w:w="1785" w:type="dxa"/>
            <w:tcBorders>
              <w:tl2br w:val="nil"/>
              <w:tr2bl w:val="nil"/>
            </w:tcBorders>
            <w:vAlign w:val="center"/>
          </w:tcPr>
          <w:p w14:paraId="057BB6BA">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320</w:t>
            </w:r>
          </w:p>
        </w:tc>
      </w:tr>
      <w:tr w14:paraId="0832B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4" w:type="dxa"/>
            <w:tcBorders>
              <w:tl2br w:val="nil"/>
              <w:tr2bl w:val="nil"/>
            </w:tcBorders>
            <w:vAlign w:val="center"/>
          </w:tcPr>
          <w:p w14:paraId="0EE50F3D">
            <w:pPr>
              <w:widowControl/>
              <w:spacing w:line="240" w:lineRule="exact"/>
              <w:jc w:val="center"/>
              <w:rPr>
                <w:rFonts w:hint="default" w:ascii="Times New Roman" w:hAnsi="Times New Roman" w:eastAsia="等线" w:cs="Times New Roman"/>
                <w:kern w:val="0"/>
                <w:sz w:val="21"/>
                <w:szCs w:val="21"/>
              </w:rPr>
            </w:pPr>
            <w:r>
              <w:rPr>
                <w:rFonts w:hint="default" w:ascii="Times New Roman" w:hAnsi="Times New Roman" w:eastAsia="等线" w:cs="Times New Roman"/>
                <w:kern w:val="0"/>
                <w:sz w:val="21"/>
                <w:szCs w:val="21"/>
              </w:rPr>
              <w:t>5</w:t>
            </w:r>
          </w:p>
        </w:tc>
        <w:tc>
          <w:tcPr>
            <w:tcW w:w="1784" w:type="dxa"/>
            <w:tcBorders>
              <w:tl2br w:val="nil"/>
              <w:tr2bl w:val="nil"/>
            </w:tcBorders>
            <w:vAlign w:val="center"/>
          </w:tcPr>
          <w:p w14:paraId="4F1B74C7">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370</w:t>
            </w:r>
          </w:p>
        </w:tc>
        <w:tc>
          <w:tcPr>
            <w:tcW w:w="1784" w:type="dxa"/>
            <w:tcBorders>
              <w:tl2br w:val="nil"/>
              <w:tr2bl w:val="nil"/>
            </w:tcBorders>
            <w:vAlign w:val="center"/>
          </w:tcPr>
          <w:p w14:paraId="47362E73">
            <w:pPr>
              <w:widowControl/>
              <w:spacing w:line="24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784" w:type="dxa"/>
            <w:tcBorders>
              <w:tl2br w:val="nil"/>
              <w:tr2bl w:val="nil"/>
            </w:tcBorders>
            <w:vAlign w:val="center"/>
          </w:tcPr>
          <w:p w14:paraId="4083C1AE">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350</w:t>
            </w:r>
          </w:p>
        </w:tc>
        <w:tc>
          <w:tcPr>
            <w:tcW w:w="1785" w:type="dxa"/>
            <w:tcBorders>
              <w:tl2br w:val="nil"/>
              <w:tr2bl w:val="nil"/>
            </w:tcBorders>
            <w:vAlign w:val="center"/>
          </w:tcPr>
          <w:p w14:paraId="62D319B9">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200</w:t>
            </w:r>
          </w:p>
        </w:tc>
      </w:tr>
      <w:tr w14:paraId="7BBF9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4" w:type="dxa"/>
            <w:tcBorders>
              <w:tl2br w:val="nil"/>
              <w:tr2bl w:val="nil"/>
            </w:tcBorders>
            <w:vAlign w:val="center"/>
          </w:tcPr>
          <w:p w14:paraId="6E03907C">
            <w:pPr>
              <w:widowControl/>
              <w:spacing w:line="240" w:lineRule="exact"/>
              <w:jc w:val="center"/>
              <w:rPr>
                <w:rFonts w:hint="default" w:ascii="Times New Roman" w:hAnsi="Times New Roman" w:eastAsia="等线" w:cs="Times New Roman"/>
                <w:kern w:val="0"/>
                <w:sz w:val="21"/>
                <w:szCs w:val="21"/>
              </w:rPr>
            </w:pPr>
            <w:r>
              <w:rPr>
                <w:rFonts w:hint="default" w:ascii="Times New Roman" w:hAnsi="Times New Roman" w:eastAsia="等线" w:cs="Times New Roman"/>
                <w:kern w:val="0"/>
                <w:sz w:val="21"/>
                <w:szCs w:val="21"/>
              </w:rPr>
              <w:t>6</w:t>
            </w:r>
          </w:p>
        </w:tc>
        <w:tc>
          <w:tcPr>
            <w:tcW w:w="1784" w:type="dxa"/>
            <w:tcBorders>
              <w:tl2br w:val="nil"/>
              <w:tr2bl w:val="nil"/>
            </w:tcBorders>
            <w:vAlign w:val="center"/>
          </w:tcPr>
          <w:p w14:paraId="5D40F251">
            <w:pPr>
              <w:widowControl/>
              <w:spacing w:line="240" w:lineRule="exact"/>
              <w:jc w:val="center"/>
              <w:rPr>
                <w:rFonts w:hint="default" w:ascii="Times New Roman" w:hAnsi="Times New Roman" w:eastAsia="等线" w:cs="Times New Roman"/>
                <w:color w:val="000000"/>
                <w:kern w:val="0"/>
                <w:sz w:val="21"/>
                <w:szCs w:val="21"/>
              </w:rPr>
            </w:pPr>
            <w:r>
              <w:rPr>
                <w:rFonts w:hint="default" w:ascii="Times New Roman" w:hAnsi="Times New Roman" w:eastAsia="等线" w:cs="Times New Roman"/>
                <w:color w:val="000000"/>
                <w:kern w:val="0"/>
                <w:sz w:val="21"/>
                <w:szCs w:val="21"/>
              </w:rPr>
              <w:t>210</w:t>
            </w:r>
          </w:p>
        </w:tc>
        <w:tc>
          <w:tcPr>
            <w:tcW w:w="1784" w:type="dxa"/>
            <w:tcBorders>
              <w:tl2br w:val="nil"/>
              <w:tr2bl w:val="nil"/>
            </w:tcBorders>
            <w:vAlign w:val="center"/>
          </w:tcPr>
          <w:p w14:paraId="2C41CF43">
            <w:pPr>
              <w:widowControl/>
              <w:spacing w:line="24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784" w:type="dxa"/>
            <w:tcBorders>
              <w:tl2br w:val="nil"/>
              <w:tr2bl w:val="nil"/>
            </w:tcBorders>
            <w:vAlign w:val="center"/>
          </w:tcPr>
          <w:p w14:paraId="2D82C70E">
            <w:pPr>
              <w:widowControl/>
              <w:spacing w:line="24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c>
          <w:tcPr>
            <w:tcW w:w="1785" w:type="dxa"/>
            <w:tcBorders>
              <w:tl2br w:val="nil"/>
              <w:tr2bl w:val="nil"/>
            </w:tcBorders>
            <w:vAlign w:val="center"/>
          </w:tcPr>
          <w:p w14:paraId="6FA878C5">
            <w:pPr>
              <w:widowControl/>
              <w:spacing w:line="240" w:lineRule="exact"/>
              <w:jc w:val="center"/>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w:t>
            </w:r>
          </w:p>
        </w:tc>
      </w:tr>
    </w:tbl>
    <w:p w14:paraId="0C422504">
      <w:pPr>
        <w:ind w:firstLine="47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w:t>
      </w:r>
    </w:p>
    <w:p w14:paraId="316259AD">
      <w:pPr>
        <w:spacing w:line="500" w:lineRule="exact"/>
        <w:ind w:firstLine="47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1．基准地价是在城镇不同用途、不同级别、设定容积率和土地开发程度下，某一估价期日法定最高使用年限出让国有建设用地使用权的区域平均价格。</w:t>
      </w:r>
    </w:p>
    <w:p w14:paraId="42FFAAE5">
      <w:pPr>
        <w:spacing w:line="500" w:lineRule="exact"/>
        <w:ind w:firstLine="47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2.基准地价期日：2021年1月1日。</w:t>
      </w:r>
    </w:p>
    <w:p w14:paraId="0B4A5ED4">
      <w:pPr>
        <w:spacing w:line="500" w:lineRule="exact"/>
        <w:ind w:firstLine="47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3．基准地价对应的使用年限：商服用地40年、工矿仓储用地50年、住宅用地70年、公共管理与公共服务用地50年。</w:t>
      </w:r>
    </w:p>
    <w:p w14:paraId="325F5827">
      <w:pPr>
        <w:spacing w:line="500" w:lineRule="exact"/>
        <w:ind w:firstLine="47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4.基准地价对应容积率：商服用地2.5、工矿仓储用地 1.0、住宅用地2.0、公共管理与公共服务用地1.5。</w:t>
      </w:r>
    </w:p>
    <w:p w14:paraId="0F9833BB">
      <w:pPr>
        <w:spacing w:line="500" w:lineRule="exact"/>
        <w:ind w:firstLine="472" w:firstLineChars="200"/>
        <w:jc w:val="left"/>
        <w:rPr>
          <w:rFonts w:hint="default" w:ascii="Times New Roman" w:hAnsi="Times New Roman" w:eastAsia="仿宋" w:cs="Times New Roman"/>
          <w:sz w:val="28"/>
          <w:szCs w:val="28"/>
        </w:rPr>
        <w:sectPr>
          <w:footerReference r:id="rId6" w:type="default"/>
          <w:pgSz w:w="11906" w:h="16838"/>
          <w:pgMar w:top="1962" w:right="1474" w:bottom="1848" w:left="1587" w:header="851" w:footer="1020" w:gutter="0"/>
          <w:pgNumType w:fmt="decimal"/>
          <w:cols w:space="720" w:num="1"/>
          <w:rtlGutter w:val="0"/>
          <w:docGrid w:type="linesAndChars" w:linePitch="579" w:charSpace="-849"/>
        </w:sectPr>
      </w:pPr>
      <w:r>
        <w:rPr>
          <w:rFonts w:hint="default" w:ascii="Times New Roman" w:hAnsi="Times New Roman" w:eastAsia="仿宋" w:cs="Times New Roman"/>
          <w:sz w:val="24"/>
          <w:szCs w:val="24"/>
        </w:rPr>
        <w:t>5．基准地价对应的开发程度：商服、住宅、公共管理与公共服务用地开发程度为“六通一平”，指宗地外通路、通电、</w:t>
      </w:r>
      <w:r>
        <w:rPr>
          <w:rFonts w:hint="eastAsia" w:ascii="Times New Roman" w:hAnsi="Times New Roman" w:eastAsia="仿宋" w:cs="Times New Roman"/>
          <w:sz w:val="24"/>
          <w:szCs w:val="24"/>
          <w:lang w:eastAsia="zh-CN"/>
        </w:rPr>
        <w:t>通信</w:t>
      </w:r>
      <w:r>
        <w:rPr>
          <w:rFonts w:hint="default" w:ascii="Times New Roman" w:hAnsi="Times New Roman" w:eastAsia="仿宋" w:cs="Times New Roman"/>
          <w:sz w:val="24"/>
          <w:szCs w:val="24"/>
        </w:rPr>
        <w:t>、通上水、通下水、通燃气及宗地内场地平整；工矿仓储用地开发程度为“五通一平”，指宗地外通路、通电、</w:t>
      </w:r>
      <w:r>
        <w:rPr>
          <w:rFonts w:hint="eastAsia" w:ascii="Times New Roman" w:hAnsi="Times New Roman" w:eastAsia="仿宋" w:cs="Times New Roman"/>
          <w:sz w:val="24"/>
          <w:szCs w:val="24"/>
          <w:lang w:eastAsia="zh-CN"/>
        </w:rPr>
        <w:t>通信</w:t>
      </w:r>
      <w:r>
        <w:rPr>
          <w:rFonts w:hint="default" w:ascii="Times New Roman" w:hAnsi="Times New Roman" w:eastAsia="仿宋" w:cs="Times New Roman"/>
          <w:sz w:val="24"/>
          <w:szCs w:val="24"/>
        </w:rPr>
        <w:t>、通上水、通下水及宗地内场地平整。</w:t>
      </w:r>
      <w:r>
        <w:rPr>
          <w:rFonts w:hint="default" w:ascii="Times New Roman" w:hAnsi="Times New Roman" w:eastAsia="仿宋" w:cs="Times New Roman"/>
          <w:sz w:val="24"/>
          <w:szCs w:val="24"/>
        </w:rPr>
        <w:tab/>
      </w:r>
      <w:r>
        <w:rPr>
          <w:rFonts w:hint="default" w:ascii="Times New Roman" w:hAnsi="Times New Roman" w:eastAsia="仿宋" w:cs="Times New Roman"/>
          <w:sz w:val="24"/>
          <w:szCs w:val="24"/>
        </w:rPr>
        <w:tab/>
      </w:r>
      <w:r>
        <w:rPr>
          <w:rFonts w:hint="default" w:ascii="Times New Roman" w:hAnsi="Times New Roman" w:eastAsia="仿宋" w:cs="Times New Roman"/>
          <w:sz w:val="28"/>
          <w:szCs w:val="28"/>
        </w:rPr>
        <w:tab/>
      </w:r>
    </w:p>
    <w:p w14:paraId="68B749B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r>
        <w:rPr>
          <w:rFonts w:hint="default" w:ascii="Times New Roman" w:hAnsi="Times New Roman" w:eastAsia="方正黑体_GBK" w:cs="Times New Roman"/>
          <w:bCs/>
          <w:sz w:val="32"/>
          <w:szCs w:val="32"/>
          <w:u w:val="none"/>
          <w:lang w:val="en-US" w:eastAsia="zh-CN"/>
        </w:rPr>
        <w:t>附件2</w:t>
      </w:r>
    </w:p>
    <w:p w14:paraId="6E703FE7">
      <w:pPr>
        <w:spacing w:line="600" w:lineRule="exact"/>
        <w:jc w:val="center"/>
        <w:rPr>
          <w:rFonts w:hint="default" w:ascii="Times New Roman" w:hAnsi="Times New Roman" w:eastAsia="仿宋" w:cs="Times New Roman"/>
          <w:b/>
          <w:bCs/>
          <w:sz w:val="40"/>
          <w:szCs w:val="40"/>
        </w:rPr>
      </w:pPr>
      <w:bookmarkStart w:id="0" w:name="_Hlk101505833"/>
      <w:r>
        <w:rPr>
          <w:rFonts w:hint="default" w:ascii="Times New Roman" w:hAnsi="Times New Roman" w:eastAsia="仿宋" w:cs="Times New Roman"/>
          <w:b/>
          <w:bCs/>
          <w:sz w:val="40"/>
          <w:szCs w:val="40"/>
        </w:rPr>
        <w:t>重庆市黔江区国有建设用地土地级别册</w:t>
      </w:r>
    </w:p>
    <w:tbl>
      <w:tblPr>
        <w:tblStyle w:val="10"/>
        <w:tblW w:w="8928" w:type="dxa"/>
        <w:jc w:val="center"/>
        <w:tblLayout w:type="fixed"/>
        <w:tblCellMar>
          <w:top w:w="0" w:type="dxa"/>
          <w:left w:w="0" w:type="dxa"/>
          <w:bottom w:w="0" w:type="dxa"/>
          <w:right w:w="0" w:type="dxa"/>
        </w:tblCellMar>
      </w:tblPr>
      <w:tblGrid>
        <w:gridCol w:w="1132"/>
        <w:gridCol w:w="3174"/>
        <w:gridCol w:w="1078"/>
        <w:gridCol w:w="1134"/>
        <w:gridCol w:w="1134"/>
        <w:gridCol w:w="1276"/>
      </w:tblGrid>
      <w:tr w14:paraId="4CD0CB31">
        <w:tblPrEx>
          <w:tblCellMar>
            <w:top w:w="0" w:type="dxa"/>
            <w:left w:w="0" w:type="dxa"/>
            <w:bottom w:w="0" w:type="dxa"/>
            <w:right w:w="0" w:type="dxa"/>
          </w:tblCellMar>
        </w:tblPrEx>
        <w:trPr>
          <w:trHeight w:val="454" w:hRule="atLeast"/>
          <w:jc w:val="center"/>
        </w:trPr>
        <w:tc>
          <w:tcPr>
            <w:tcW w:w="1132" w:type="dxa"/>
            <w:vMerge w:val="restart"/>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39E166D0">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kern w:val="0"/>
                <w:sz w:val="21"/>
                <w:szCs w:val="21"/>
              </w:rPr>
              <w:t>序号</w:t>
            </w:r>
          </w:p>
        </w:tc>
        <w:tc>
          <w:tcPr>
            <w:tcW w:w="317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CC7BF3">
            <w:pPr>
              <w:widowControl/>
              <w:ind w:firstLine="420"/>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区域</w:t>
            </w:r>
          </w:p>
        </w:tc>
        <w:tc>
          <w:tcPr>
            <w:tcW w:w="4622"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9405E0">
            <w:pPr>
              <w:widowControl/>
              <w:ind w:firstLine="420"/>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土地级别</w:t>
            </w:r>
          </w:p>
        </w:tc>
      </w:tr>
      <w:tr w14:paraId="7E2583AD">
        <w:tblPrEx>
          <w:tblCellMar>
            <w:top w:w="0" w:type="dxa"/>
            <w:left w:w="0" w:type="dxa"/>
            <w:bottom w:w="0" w:type="dxa"/>
            <w:right w:w="0" w:type="dxa"/>
          </w:tblCellMar>
        </w:tblPrEx>
        <w:trPr>
          <w:trHeight w:val="454" w:hRule="atLeast"/>
          <w:jc w:val="center"/>
        </w:trPr>
        <w:tc>
          <w:tcPr>
            <w:tcW w:w="1132" w:type="dxa"/>
            <w:vMerge w:val="continue"/>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FA36ADB">
            <w:pPr>
              <w:ind w:firstLine="420"/>
              <w:jc w:val="center"/>
              <w:rPr>
                <w:rFonts w:hint="default" w:ascii="Times New Roman" w:hAnsi="Times New Roman" w:cs="Times New Roman"/>
                <w:color w:val="000000"/>
                <w:sz w:val="21"/>
                <w:szCs w:val="21"/>
              </w:rPr>
            </w:pPr>
          </w:p>
        </w:tc>
        <w:tc>
          <w:tcPr>
            <w:tcW w:w="317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7966EC">
            <w:pPr>
              <w:ind w:firstLine="420"/>
              <w:jc w:val="center"/>
              <w:rPr>
                <w:rFonts w:hint="default" w:ascii="Times New Roman" w:hAnsi="Times New Roman" w:cs="Times New Roman"/>
                <w:color w:val="000000"/>
                <w:sz w:val="21"/>
                <w:szCs w:val="21"/>
              </w:rPr>
            </w:pP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07BE6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商服</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763A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工矿仓储</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6940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住宅</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4F78A8A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公服</w:t>
            </w:r>
          </w:p>
        </w:tc>
      </w:tr>
      <w:tr w14:paraId="1B5FE623">
        <w:tblPrEx>
          <w:tblCellMar>
            <w:top w:w="0" w:type="dxa"/>
            <w:left w:w="0" w:type="dxa"/>
            <w:bottom w:w="0" w:type="dxa"/>
            <w:right w:w="0" w:type="dxa"/>
          </w:tblCellMar>
        </w:tblPrEx>
        <w:trPr>
          <w:trHeight w:val="454" w:hRule="atLeast"/>
          <w:jc w:val="center"/>
        </w:trPr>
        <w:tc>
          <w:tcPr>
            <w:tcW w:w="8928" w:type="dxa"/>
            <w:gridSpan w:val="6"/>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4BB3C3AC">
            <w:pPr>
              <w:widowControl/>
              <w:ind w:firstLine="420"/>
              <w:jc w:val="center"/>
              <w:textAlignment w:val="bottom"/>
              <w:rPr>
                <w:rFonts w:hint="default" w:ascii="Times New Roman" w:hAnsi="Times New Roman" w:cs="Times New Roman"/>
                <w:color w:val="000000"/>
                <w:sz w:val="21"/>
                <w:szCs w:val="21"/>
              </w:rPr>
            </w:pPr>
            <w:r>
              <w:rPr>
                <w:rFonts w:hint="default" w:ascii="Times New Roman" w:hAnsi="Times New Roman" w:cs="Times New Roman"/>
                <w:kern w:val="0"/>
                <w:sz w:val="21"/>
                <w:szCs w:val="21"/>
              </w:rPr>
              <w:t>老城组团</w:t>
            </w:r>
          </w:p>
        </w:tc>
      </w:tr>
      <w:tr w14:paraId="524D6680">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33B6C4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DBEDA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行署街、彩虹路、光明路、杨柳街、城墙路、官坝路、新华大道东段、电信街、育才路、石城路、交通路、黔洲桥、石峡路合围区域（区域内主要道路：新华大道西段、新华大道中段、城西一路至城西九路、西沙步街、文体路、平安路、河滨南路西段、黔龙街、解放路、联合街、建设街、河滨东路中段、长征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738C1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78C1B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17B97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A7D3CC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r>
      <w:tr w14:paraId="33D7AC88">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490D14B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84551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花鼓园路、文汇路、谭家湾路、河滨东路北段合围区域 （区域内主要道路：恒胜伴山金街、咸碱沟巷）</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4A8A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73CF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EFC9C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7675C05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r>
      <w:tr w14:paraId="6B84BF16">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ED28F1B">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D79695">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光明路、新华大道东段、官坝路、城墙路、杨柳街合围区域</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29E6FD">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D4B515">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D9A75">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75C9A93">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r>
      <w:tr w14:paraId="12B77125">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5E90FF22">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5C25C">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石城路南段、河滨南路东段、育才路合围区域</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223886">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15E4C5">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28A841">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7CFF492C">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r>
      <w:tr w14:paraId="7B5B36A3">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4EB528C4">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5ECBFC">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新华大道东段、正阳大道、育才路、电信街合围区域</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772A0">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6AD716">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9D1794">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6216100">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r>
      <w:tr w14:paraId="19D984D5">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C29A9A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E3E4B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老城规划区内其他未列区域</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27CD4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45D4B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79E76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3C3B31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r>
      <w:tr w14:paraId="01BB80E2">
        <w:tblPrEx>
          <w:tblCellMar>
            <w:top w:w="0" w:type="dxa"/>
            <w:left w:w="0" w:type="dxa"/>
            <w:bottom w:w="0" w:type="dxa"/>
            <w:right w:w="0" w:type="dxa"/>
          </w:tblCellMar>
        </w:tblPrEx>
        <w:trPr>
          <w:trHeight w:val="454" w:hRule="atLeast"/>
          <w:jc w:val="center"/>
        </w:trPr>
        <w:tc>
          <w:tcPr>
            <w:tcW w:w="8928" w:type="dxa"/>
            <w:gridSpan w:val="6"/>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3C647BA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新城组团（舟白、正阳组团）</w:t>
            </w:r>
          </w:p>
        </w:tc>
      </w:tr>
      <w:tr w14:paraId="49F9CB8E">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98442D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7</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67C0E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墨香街、正舟路北段、学院路西段、学院西路南段、学府二路、武陵大道北段、学院路东段、小南海路合围区域（区域内主要道路：武警支路、武陵大道北段部分、机场路、学府四路、学府三路）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457F2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D9831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9389D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4C984B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r>
      <w:tr w14:paraId="0E9EB75F">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3B08269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8</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FE86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峡江南路、正舟路南段、黔州大道、纬四路中段、经五路南段、群力路、朝阳路中段、纬二路、经一路、金龙路、朝阳路北段、武陵大道南段合围区域（区域内主要道路：市民西路、巴楚大道、园区路、桐坪路、广场西路、体育场路、香山路、规划四路、松岭路、朝阳路西段、金龙路西段、纬一路、向阳路、纬二路、经六路、经七路、松岭南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1978D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933E0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0216E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491EFF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r>
      <w:tr w14:paraId="517A14EB">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41DED84C">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8B080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墨香街、正舟路北段、舟白二路、小南海路北段合围区域（含区域内：舟白三路、舟白四路、舟白五路、机场北一路、杨家坝二路、万平路）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220D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F1ECD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38F48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7C67B70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r>
      <w:tr w14:paraId="53E21212">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253D4E8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10</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F8A6D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学院路西段、正舟路、峡江南路、武陵大道中段、学府二路、学院西路合围区域（区域内主要道路： 学府中路）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94BA9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4A160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46C10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47B90FA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r>
      <w:tr w14:paraId="34D15899">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CAD697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11</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B3A86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教育三路、正舟路北段、舟白二路、小南海路、墨香街东段、机场路合围区域</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1AB9C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2F1D0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DCED7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06B6B63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r>
      <w:tr w14:paraId="72F9B794">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4C33142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12</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25D64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黔江武陵山机场</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800DE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48B66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10941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6F8A0E7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r>
      <w:tr w14:paraId="7F8C9778">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07ADE2C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13</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24171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小南海路、学府南路、机场路南段、墨香街合围区域（区域主要道路：学府二路、学府中路）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5397D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BB1B0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5A40F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6951D02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r>
      <w:tr w14:paraId="5D2B5DD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4C085118">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83016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学院路、武陵大道北段、小南海路合围区域</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6A64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729A3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8291E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197407F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r>
      <w:tr w14:paraId="752A2A7C">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78A2130F">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B0D5C1">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正舟路以西（峡江南路口至学院路口路段）</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C61A27">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7FD984">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9350B">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51955C3B">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r>
      <w:tr w14:paraId="152323DD">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E3C2865">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C213F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峡江南路、武陵大道中段、朝阳路北段、金龙路、经一路、纬二路、朝阳路南段、群力路中段、经五路、纬四路、黔州大道、天坪路、规划二路合围区域（区域内主要道路：体育场路、桐坪路、香山路、松岭路、纬一路、向阳路、纬二路、经二路、纬三路、经三路、经四路、纬四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D03E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0BE47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36C98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80C4D3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r>
      <w:tr w14:paraId="3DCBDC7B">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2811862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17</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76B43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规划二路以东</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B1079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310B1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B9D00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46AE3D4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r>
      <w:tr w14:paraId="1FA77014">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5372A48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18</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3A062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正舟路以西</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4482D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55D1C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89316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82F489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r>
      <w:tr w14:paraId="05DED20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2366F0D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19</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BE16F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黔州大道以南（区域内主要道路：园区路、石油路、乌电支路、物流东路、物流环路、物流南路、横二路、内海路、纵二路）</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DFD7A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AA937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91DE6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C10E67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r>
      <w:tr w14:paraId="643FEFF9">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12D88F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C7C33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规划范围外其他区域</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585E7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5FA3C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52F7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971D31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r>
      <w:tr w14:paraId="716E7184">
        <w:tblPrEx>
          <w:tblCellMar>
            <w:top w:w="0" w:type="dxa"/>
            <w:left w:w="0" w:type="dxa"/>
            <w:bottom w:w="0" w:type="dxa"/>
            <w:right w:w="0" w:type="dxa"/>
          </w:tblCellMar>
        </w:tblPrEx>
        <w:trPr>
          <w:trHeight w:val="454" w:hRule="atLeast"/>
          <w:jc w:val="center"/>
        </w:trPr>
        <w:tc>
          <w:tcPr>
            <w:tcW w:w="8928" w:type="dxa"/>
            <w:gridSpan w:val="6"/>
            <w:tcBorders>
              <w:top w:val="single" w:color="000000" w:sz="4" w:space="0"/>
              <w:left w:val="single" w:color="000000" w:sz="8" w:space="0"/>
              <w:bottom w:val="single" w:color="000000" w:sz="4" w:space="0"/>
              <w:right w:val="single" w:color="000000" w:sz="8" w:space="0"/>
            </w:tcBorders>
            <w:tcMar>
              <w:top w:w="12" w:type="dxa"/>
              <w:left w:w="12" w:type="dxa"/>
              <w:right w:w="12" w:type="dxa"/>
            </w:tcMar>
            <w:vAlign w:val="center"/>
          </w:tcPr>
          <w:p w14:paraId="5597D73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青杠片区</w:t>
            </w:r>
          </w:p>
        </w:tc>
      </w:tr>
      <w:tr w14:paraId="0308AF8C">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009DD3F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94509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青杠工业区</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F2714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C6DE8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0E95A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F5A091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r>
      <w:tr w14:paraId="205C20E7">
        <w:tblPrEx>
          <w:tblCellMar>
            <w:top w:w="0" w:type="dxa"/>
            <w:left w:w="0" w:type="dxa"/>
            <w:bottom w:w="0" w:type="dxa"/>
            <w:right w:w="0" w:type="dxa"/>
          </w:tblCellMar>
        </w:tblPrEx>
        <w:trPr>
          <w:trHeight w:val="454" w:hRule="atLeast"/>
          <w:jc w:val="center"/>
        </w:trPr>
        <w:tc>
          <w:tcPr>
            <w:tcW w:w="8928" w:type="dxa"/>
            <w:gridSpan w:val="6"/>
            <w:tcBorders>
              <w:top w:val="single" w:color="000000" w:sz="4" w:space="0"/>
              <w:left w:val="single" w:color="000000" w:sz="8" w:space="0"/>
              <w:bottom w:val="single" w:color="000000" w:sz="4" w:space="0"/>
              <w:right w:val="single" w:color="000000" w:sz="8" w:space="0"/>
            </w:tcBorders>
            <w:tcMar>
              <w:top w:w="12" w:type="dxa"/>
              <w:left w:w="12" w:type="dxa"/>
              <w:right w:w="12" w:type="dxa"/>
            </w:tcMar>
            <w:vAlign w:val="center"/>
          </w:tcPr>
          <w:p w14:paraId="46FD83CF">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冯家组团</w:t>
            </w:r>
          </w:p>
        </w:tc>
      </w:tr>
      <w:tr w14:paraId="75A0B2A2">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35F3A50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6780B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冯家街道</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2F445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1FD0C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60CE4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5B9F0B7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r>
      <w:tr w14:paraId="2A5E687C">
        <w:tblPrEx>
          <w:tblCellMar>
            <w:top w:w="0" w:type="dxa"/>
            <w:left w:w="0" w:type="dxa"/>
            <w:bottom w:w="0" w:type="dxa"/>
            <w:right w:w="0" w:type="dxa"/>
          </w:tblCellMar>
        </w:tblPrEx>
        <w:trPr>
          <w:trHeight w:val="454" w:hRule="atLeast"/>
          <w:jc w:val="center"/>
        </w:trPr>
        <w:tc>
          <w:tcPr>
            <w:tcW w:w="8928" w:type="dxa"/>
            <w:gridSpan w:val="6"/>
            <w:tcBorders>
              <w:top w:val="single" w:color="000000" w:sz="4" w:space="0"/>
              <w:left w:val="single" w:color="000000" w:sz="8" w:space="0"/>
              <w:bottom w:val="single" w:color="000000" w:sz="4" w:space="0"/>
              <w:right w:val="single" w:color="000000" w:sz="8" w:space="0"/>
            </w:tcBorders>
            <w:tcMar>
              <w:top w:w="12" w:type="dxa"/>
              <w:left w:w="12" w:type="dxa"/>
              <w:right w:w="12" w:type="dxa"/>
            </w:tcMar>
            <w:vAlign w:val="center"/>
          </w:tcPr>
          <w:p w14:paraId="3F542BCF">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其他乡镇</w:t>
            </w:r>
          </w:p>
        </w:tc>
      </w:tr>
      <w:tr w14:paraId="61E175C6">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01D377B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E5D9D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濯水镇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7FE49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39935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5DCA9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79D0598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r>
      <w:tr w14:paraId="0CED686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0EC4743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9C545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阿蓬江镇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21E0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558AA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2</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36D2C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017208D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4</w:t>
            </w:r>
          </w:p>
        </w:tc>
      </w:tr>
      <w:tr w14:paraId="72D48E9F">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37995CE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120EA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中塘镇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0D83D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7E102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807CB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D6D6C8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7E7B617D">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492D04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98F35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金溪镇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BE8D8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DD5E4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5BA89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463BC4F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199B05C4">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5D6CD07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058E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白石镇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E3C9B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F6CBB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68BF3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81E6F1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395D3702">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24D95CE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90BAA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沙坝镇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16258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23B97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8DDE8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69CF85C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720338A9">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8B0D66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4166A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黎水镇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66B1F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892FA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A73C3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1FBB028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464BCEF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6AEF02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2078A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黄溪镇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E7741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22C44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88EB3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1856D00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6B4910E6">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27BF652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ABCA5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黑溪镇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9EA4A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8B035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16AE8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6C93929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29744B40">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54F6C65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D45C4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石会镇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9D00D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66AFA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32AA5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577F09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4A02F167">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5F6D3C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6A8E0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鹅池镇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078CE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F16CE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1D146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0F87479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4E8C54F8">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0F812C9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6B474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石家镇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6835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68AEC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FC484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66799CB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3D46467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CC90DA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35</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5BB75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马喇镇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F12EE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B32C30">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34669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2E30B3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4EB5271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A3CB22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36</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A09ED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邻鄂镇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2248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C596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92116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69331F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74B29B8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410D81B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D5DB8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小南海镇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94147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11553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BBC71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75157CE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295805CA">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E6D8B6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BAC81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五里镇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5454F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F842A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E8A6A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238418C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3DC04EDF">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643C2E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39</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0D7E95">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水市镇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7A58C">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9CF1A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3B948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7121AF9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0520EDBA">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63255D2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D523E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太极镇</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BBBCA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9E8F0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7251D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58CD524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3434320F">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683A3C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41</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390CB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蓬东乡</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F231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C4E22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6BEDB1">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11483E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39E2B9CE">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38A87306">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42</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AF73F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金洞乡</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BB4F0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F711E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B2638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1E5AB30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66C23FE1">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22E8E9F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43</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E1F6E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水田乡</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ECEB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78721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7FE6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7409C8D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256368A2">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157882F9">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B1B09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白土乡</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1E02C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0095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E2BE67">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04E3EF5F">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042B9B27">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530D239E">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45</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A3B504">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新华乡</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AB045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48B2B3">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A92C5A">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33071972">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tr w14:paraId="32620994">
        <w:tblPrEx>
          <w:tblCellMar>
            <w:top w:w="0" w:type="dxa"/>
            <w:left w:w="0" w:type="dxa"/>
            <w:bottom w:w="0" w:type="dxa"/>
            <w:right w:w="0" w:type="dxa"/>
          </w:tblCellMar>
        </w:tblPrEx>
        <w:trPr>
          <w:trHeight w:val="454" w:hRule="atLeast"/>
          <w:jc w:val="center"/>
        </w:trPr>
        <w:tc>
          <w:tcPr>
            <w:tcW w:w="1132"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14:paraId="3B5237EB">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46</w:t>
            </w:r>
          </w:p>
        </w:tc>
        <w:tc>
          <w:tcPr>
            <w:tcW w:w="317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BBA9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杉岭乡</w:t>
            </w:r>
          </w:p>
        </w:tc>
        <w:tc>
          <w:tcPr>
            <w:tcW w:w="107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3AEB58">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6</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368EA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3</w:t>
            </w:r>
          </w:p>
        </w:tc>
        <w:tc>
          <w:tcPr>
            <w:tcW w:w="11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A57156">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c>
          <w:tcPr>
            <w:tcW w:w="1276"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14:paraId="18FBA3DD">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kern w:val="0"/>
                <w:sz w:val="21"/>
                <w:szCs w:val="21"/>
              </w:rPr>
              <w:t>5</w:t>
            </w:r>
          </w:p>
        </w:tc>
      </w:tr>
      <w:bookmarkEnd w:id="0"/>
    </w:tbl>
    <w:p w14:paraId="3A7FAB0A">
      <w:pPr>
        <w:rPr>
          <w:rFonts w:hint="default" w:ascii="Times New Roman" w:hAnsi="Times New Roman" w:eastAsia="仿宋" w:cs="Times New Roman"/>
          <w:kern w:val="0"/>
          <w:szCs w:val="32"/>
        </w:rPr>
      </w:pPr>
    </w:p>
    <w:p w14:paraId="4203C33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2C3069DE">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487EA44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52ACD9D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66707772">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6F3B43A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4D4ACFB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11956DD5">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0FE43AE2">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706191B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6ED88C5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1776939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5D87A65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p>
    <w:p w14:paraId="0EDBA9D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r>
        <w:rPr>
          <w:rFonts w:hint="default" w:ascii="Times New Roman" w:hAnsi="Times New Roman" w:eastAsia="方正黑体_GBK" w:cs="Times New Roman"/>
          <w:bCs/>
          <w:sz w:val="32"/>
          <w:szCs w:val="32"/>
          <w:u w:val="none"/>
          <w:lang w:val="en-US" w:eastAsia="zh-CN"/>
        </w:rPr>
        <w:t>附件3</w:t>
      </w:r>
    </w:p>
    <w:p w14:paraId="0766CEF5">
      <w:pPr>
        <w:rPr>
          <w:rFonts w:hint="default" w:ascii="Times New Roman" w:hAnsi="Times New Roman" w:eastAsia="仿宋" w:cs="Times New Roman"/>
          <w:kern w:val="0"/>
          <w:szCs w:val="32"/>
        </w:rPr>
      </w:pPr>
    </w:p>
    <w:p w14:paraId="71C7AFDF">
      <w:pPr>
        <w:adjustRightInd w:val="0"/>
        <w:snapToGrid w:val="0"/>
        <w:spacing w:line="600" w:lineRule="exact"/>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重庆市黔江区国有建设用地使用权</w:t>
      </w:r>
    </w:p>
    <w:p w14:paraId="792D73B3">
      <w:pPr>
        <w:adjustRightInd w:val="0"/>
        <w:snapToGrid w:val="0"/>
        <w:spacing w:line="60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44"/>
          <w:szCs w:val="44"/>
        </w:rPr>
        <w:t>基准地价说明</w:t>
      </w:r>
    </w:p>
    <w:p w14:paraId="5770C245">
      <w:pPr>
        <w:spacing w:line="600" w:lineRule="exact"/>
        <w:rPr>
          <w:rFonts w:hint="default" w:ascii="Times New Roman" w:hAnsi="Times New Roman" w:cs="Times New Roman"/>
          <w:b/>
          <w:szCs w:val="32"/>
        </w:rPr>
      </w:pPr>
    </w:p>
    <w:p w14:paraId="584A5E12">
      <w:pPr>
        <w:spacing w:beforeLines="100" w:afterLines="50" w:line="360" w:lineRule="auto"/>
        <w:ind w:firstLine="562"/>
        <w:rPr>
          <w:rFonts w:hint="default" w:ascii="Times New Roman" w:hAnsi="Times New Roman" w:cs="Times New Roman"/>
          <w:b/>
        </w:rPr>
      </w:pPr>
      <w:r>
        <w:rPr>
          <w:rFonts w:hint="default" w:ascii="Times New Roman" w:hAnsi="Times New Roman" w:cs="Times New Roman"/>
          <w:b/>
        </w:rPr>
        <w:t>一、适用范围</w:t>
      </w:r>
    </w:p>
    <w:p w14:paraId="10EC6C75">
      <w:pPr>
        <w:ind w:firstLine="640" w:firstLineChars="200"/>
        <w:rPr>
          <w:rFonts w:hint="default" w:ascii="Times New Roman" w:hAnsi="Times New Roman" w:eastAsia="方正仿宋_GBK" w:cs="Times New Roman"/>
          <w:lang w:eastAsia="zh-CN"/>
        </w:rPr>
      </w:pPr>
      <w:r>
        <w:rPr>
          <w:rFonts w:hint="default" w:ascii="Times New Roman" w:hAnsi="Times New Roman" w:cs="Times New Roman"/>
        </w:rPr>
        <w:t>本次公布的黔江区基准地价（以下简称基准地价）的使用范围包括黔江区城东街道、城南街道、城西街道、舟白街道、正阳街道、冯家街道等6个街道，小南海镇、邻鄂镇、马喇镇、濯水镇、阿蓬江镇、金溪镇、石家镇、鹅池镇、石会镇、黑溪镇、黄溪镇、黎水镇、中塘镇、沙坝镇、白石镇、五里镇、水市镇、太极镇等18个镇，蓬东乡、金洞乡、水田乡、白土乡、新华乡、杉岭乡等6个乡所辖建设区及规划区域内的所有国有建设用地</w:t>
      </w:r>
      <w:r>
        <w:rPr>
          <w:rFonts w:hint="default" w:ascii="Times New Roman" w:hAnsi="Times New Roman" w:cs="Times New Roman"/>
          <w:lang w:eastAsia="zh-CN"/>
        </w:rPr>
        <w:t>。</w:t>
      </w:r>
    </w:p>
    <w:p w14:paraId="1DBFDA02">
      <w:pPr>
        <w:spacing w:beforeLines="100" w:afterLines="50" w:line="360" w:lineRule="auto"/>
        <w:ind w:firstLine="562"/>
        <w:rPr>
          <w:rFonts w:hint="default" w:ascii="Times New Roman" w:hAnsi="Times New Roman" w:cs="Times New Roman"/>
          <w:b/>
        </w:rPr>
      </w:pPr>
      <w:r>
        <w:rPr>
          <w:rFonts w:hint="default" w:ascii="Times New Roman" w:hAnsi="Times New Roman" w:cs="Times New Roman"/>
          <w:b/>
        </w:rPr>
        <w:t>二、基准地价内涵</w:t>
      </w:r>
    </w:p>
    <w:p w14:paraId="653F6960">
      <w:pPr>
        <w:ind w:firstLine="640" w:firstLineChars="200"/>
        <w:rPr>
          <w:rFonts w:hint="default" w:ascii="Times New Roman" w:hAnsi="Times New Roman" w:cs="Times New Roman"/>
        </w:rPr>
      </w:pPr>
      <w:r>
        <w:rPr>
          <w:rFonts w:hint="default" w:ascii="Times New Roman" w:hAnsi="Times New Roman" w:cs="Times New Roman"/>
        </w:rPr>
        <w:t>基准地价的内涵为城镇国有建设用地使用权不同级别、不同用途、设定容积率和土地开发程度下，法定最高出让年限的区域平均价格。基准地价的价格表现形式为楼面地价，是指单位建筑面积分摊的完整的国有建设用地使用权的平均价格（单位：元/平方米）。</w:t>
      </w:r>
    </w:p>
    <w:p w14:paraId="4E85CC20">
      <w:pPr>
        <w:ind w:firstLine="640" w:firstLineChars="200"/>
        <w:rPr>
          <w:rFonts w:hint="default" w:ascii="Times New Roman" w:hAnsi="Times New Roman" w:cs="Times New Roman"/>
        </w:rPr>
      </w:pPr>
      <w:r>
        <w:rPr>
          <w:rFonts w:hint="default" w:ascii="Times New Roman" w:hAnsi="Times New Roman" w:cs="Times New Roman"/>
        </w:rPr>
        <w:t>（一）基准地价期日</w:t>
      </w:r>
    </w:p>
    <w:p w14:paraId="674726E0">
      <w:pPr>
        <w:ind w:firstLine="960" w:firstLineChars="300"/>
        <w:rPr>
          <w:rFonts w:hint="default" w:ascii="Times New Roman" w:hAnsi="Times New Roman" w:cs="Times New Roman"/>
        </w:rPr>
      </w:pPr>
      <w:r>
        <w:rPr>
          <w:rFonts w:hint="default" w:ascii="Times New Roman" w:hAnsi="Times New Roman" w:cs="Times New Roman"/>
        </w:rPr>
        <w:t>2021年1月1日。</w:t>
      </w:r>
    </w:p>
    <w:p w14:paraId="37392A8F">
      <w:pPr>
        <w:ind w:firstLine="640" w:firstLineChars="200"/>
        <w:rPr>
          <w:rFonts w:hint="default" w:ascii="Times New Roman" w:hAnsi="Times New Roman" w:cs="Times New Roman"/>
        </w:rPr>
      </w:pPr>
      <w:r>
        <w:rPr>
          <w:rFonts w:hint="default" w:ascii="Times New Roman" w:hAnsi="Times New Roman" w:cs="Times New Roman"/>
        </w:rPr>
        <w:t>（二）基准地价容积率</w:t>
      </w:r>
    </w:p>
    <w:p w14:paraId="4D0A1C5B">
      <w:pPr>
        <w:ind w:firstLine="640" w:firstLineChars="200"/>
        <w:rPr>
          <w:rFonts w:hint="default" w:ascii="Times New Roman" w:hAnsi="Times New Roman" w:cs="Times New Roman"/>
        </w:rPr>
      </w:pPr>
      <w:r>
        <w:rPr>
          <w:rFonts w:hint="default" w:ascii="Times New Roman" w:hAnsi="Times New Roman" w:cs="Times New Roman"/>
        </w:rPr>
        <w:t>商服用地2.5，工矿仓储用地1.0，住宅用地2.0，公共管理与公共服务用地1.5。</w:t>
      </w:r>
    </w:p>
    <w:p w14:paraId="791D056B">
      <w:pPr>
        <w:ind w:firstLine="640" w:firstLineChars="200"/>
        <w:rPr>
          <w:rFonts w:hint="default" w:ascii="Times New Roman" w:hAnsi="Times New Roman" w:cs="Times New Roman"/>
        </w:rPr>
      </w:pPr>
      <w:r>
        <w:rPr>
          <w:rFonts w:hint="default" w:ascii="Times New Roman" w:hAnsi="Times New Roman" w:cs="Times New Roman"/>
        </w:rPr>
        <w:t>（三）基准地价使用年限</w:t>
      </w:r>
    </w:p>
    <w:p w14:paraId="2B6A0D66">
      <w:pPr>
        <w:ind w:firstLine="640" w:firstLineChars="200"/>
        <w:rPr>
          <w:rFonts w:hint="default" w:ascii="Times New Roman" w:hAnsi="Times New Roman" w:cs="Times New Roman"/>
        </w:rPr>
      </w:pPr>
      <w:r>
        <w:rPr>
          <w:rFonts w:hint="default" w:ascii="Times New Roman" w:hAnsi="Times New Roman" w:cs="Times New Roman"/>
        </w:rPr>
        <w:t>商服用地40年，工矿仓储用地50年，住宅用地70年，公共管理与公共服务用地50年。</w:t>
      </w:r>
    </w:p>
    <w:p w14:paraId="5AD832A7">
      <w:pPr>
        <w:ind w:firstLine="640" w:firstLineChars="200"/>
        <w:rPr>
          <w:rFonts w:hint="default" w:ascii="Times New Roman" w:hAnsi="Times New Roman" w:cs="Times New Roman"/>
        </w:rPr>
      </w:pPr>
      <w:r>
        <w:rPr>
          <w:rFonts w:hint="default" w:ascii="Times New Roman" w:hAnsi="Times New Roman" w:cs="Times New Roman"/>
        </w:rPr>
        <w:t>（四）基准地价土地开发程度</w:t>
      </w:r>
    </w:p>
    <w:p w14:paraId="3C380C1C">
      <w:pPr>
        <w:ind w:firstLine="640" w:firstLineChars="200"/>
        <w:rPr>
          <w:rFonts w:hint="default" w:ascii="Times New Roman" w:hAnsi="Times New Roman" w:cs="Times New Roman"/>
        </w:rPr>
      </w:pPr>
      <w:r>
        <w:rPr>
          <w:rFonts w:hint="default" w:ascii="Times New Roman" w:hAnsi="Times New Roman" w:cs="Times New Roman"/>
        </w:rPr>
        <w:t>商服、住宅、公共管理与公共服务用地开发程度为“六通一平”，指宗地外通路、通电、</w:t>
      </w:r>
      <w:r>
        <w:rPr>
          <w:rFonts w:hint="eastAsia" w:ascii="Times New Roman" w:hAnsi="Times New Roman" w:cs="Times New Roman"/>
          <w:lang w:eastAsia="zh-CN"/>
        </w:rPr>
        <w:t>通信</w:t>
      </w:r>
      <w:r>
        <w:rPr>
          <w:rFonts w:hint="default" w:ascii="Times New Roman" w:hAnsi="Times New Roman" w:cs="Times New Roman"/>
        </w:rPr>
        <w:t>、通上水、通下水、通燃气及宗地内场地平整；工矿仓储用地开发程度为“五通一平”，指宗地外通路、通电、</w:t>
      </w:r>
      <w:r>
        <w:rPr>
          <w:rFonts w:hint="eastAsia" w:ascii="Times New Roman" w:hAnsi="Times New Roman" w:cs="Times New Roman"/>
          <w:lang w:eastAsia="zh-CN"/>
        </w:rPr>
        <w:t>通信</w:t>
      </w:r>
      <w:r>
        <w:rPr>
          <w:rFonts w:hint="default" w:ascii="Times New Roman" w:hAnsi="Times New Roman" w:cs="Times New Roman"/>
        </w:rPr>
        <w:t>、通上水、通下水及宗地内场地平整。</w:t>
      </w:r>
    </w:p>
    <w:p w14:paraId="0E00A9E2">
      <w:pPr>
        <w:spacing w:beforeLines="100" w:afterLines="50" w:line="360" w:lineRule="auto"/>
        <w:ind w:firstLine="562"/>
        <w:rPr>
          <w:rFonts w:hint="default" w:ascii="Times New Roman" w:hAnsi="Times New Roman" w:cs="Times New Roman"/>
          <w:b/>
        </w:rPr>
      </w:pPr>
      <w:r>
        <w:rPr>
          <w:rFonts w:hint="default" w:ascii="Times New Roman" w:hAnsi="Times New Roman" w:cs="Times New Roman"/>
          <w:b/>
        </w:rPr>
        <w:t>三、土地</w:t>
      </w:r>
      <w:r>
        <w:rPr>
          <w:rFonts w:hint="default" w:ascii="Times New Roman" w:hAnsi="Times New Roman" w:eastAsia="方正黑体_GBK" w:cs="Times New Roman"/>
          <w:bCs/>
          <w:sz w:val="32"/>
          <w:szCs w:val="32"/>
          <w:u w:val="none"/>
          <w:lang w:val="en-US" w:eastAsia="zh-CN"/>
        </w:rPr>
        <w:t>用途</w:t>
      </w:r>
      <w:r>
        <w:rPr>
          <w:rFonts w:hint="default" w:ascii="Times New Roman" w:hAnsi="Times New Roman" w:cs="Times New Roman"/>
          <w:b/>
        </w:rPr>
        <w:t>分类</w:t>
      </w:r>
    </w:p>
    <w:p w14:paraId="2D4F1246">
      <w:pPr>
        <w:ind w:firstLine="640" w:firstLineChars="200"/>
        <w:contextualSpacing/>
        <w:rPr>
          <w:rFonts w:hint="default" w:ascii="Times New Roman" w:hAnsi="Times New Roman" w:cs="Times New Roman"/>
        </w:rPr>
      </w:pPr>
      <w:r>
        <w:rPr>
          <w:rFonts w:hint="default" w:ascii="Times New Roman" w:hAnsi="Times New Roman" w:cs="Times New Roman"/>
        </w:rPr>
        <w:t>基准地价土地用途分为商服、工矿仓储、住宅、公共管理与公共服务用地四类。</w:t>
      </w:r>
    </w:p>
    <w:p w14:paraId="73F987A6">
      <w:pPr>
        <w:tabs>
          <w:tab w:val="left" w:pos="960"/>
        </w:tabs>
        <w:ind w:firstLine="562"/>
        <w:contextualSpacing/>
        <w:rPr>
          <w:rFonts w:hint="default" w:ascii="Times New Roman" w:hAnsi="Times New Roman" w:cs="Times New Roman"/>
          <w:b/>
        </w:rPr>
      </w:pPr>
      <w:r>
        <w:rPr>
          <w:rFonts w:hint="default" w:ascii="Times New Roman" w:hAnsi="Times New Roman" w:cs="Times New Roman"/>
          <w:b/>
        </w:rPr>
        <w:t>（一）商服类</w:t>
      </w:r>
    </w:p>
    <w:p w14:paraId="3ED4883B">
      <w:pPr>
        <w:adjustRightInd w:val="0"/>
        <w:ind w:firstLine="640" w:firstLineChars="200"/>
        <w:contextualSpacing/>
        <w:rPr>
          <w:rFonts w:hint="default" w:ascii="Times New Roman" w:hAnsi="Times New Roman" w:cs="Times New Roman"/>
        </w:rPr>
      </w:pPr>
      <w:r>
        <w:rPr>
          <w:rFonts w:hint="default" w:ascii="Times New Roman" w:hAnsi="Times New Roman" w:cs="Times New Roman"/>
        </w:rPr>
        <w:t>包括</w:t>
      </w:r>
      <w:r>
        <w:rPr>
          <w:rFonts w:hint="default" w:ascii="Times New Roman" w:hAnsi="Times New Roman" w:cs="Times New Roman"/>
          <w:b/>
          <w:bCs/>
        </w:rPr>
        <w:t>商业用地</w:t>
      </w:r>
      <w:r>
        <w:rPr>
          <w:rFonts w:hint="default" w:ascii="Times New Roman" w:hAnsi="Times New Roman" w:cs="Times New Roman"/>
        </w:rPr>
        <w:t>（指零售商业、批发市场及餐饮、旅馆及公用设施营业网点等服务业用地。</w:t>
      </w:r>
      <w:r>
        <w:rPr>
          <w:rFonts w:hint="default" w:ascii="Times New Roman" w:hAnsi="Times New Roman" w:cs="Times New Roman"/>
          <w:b/>
          <w:bCs/>
        </w:rPr>
        <w:t>零售商业用地：</w:t>
      </w:r>
      <w:r>
        <w:rPr>
          <w:rFonts w:hint="default" w:ascii="Times New Roman" w:hAnsi="Times New Roman" w:cs="Times New Roman"/>
        </w:rPr>
        <w:t>指商铺、商场、超市、服装及小商品市场等用地；</w:t>
      </w:r>
      <w:r>
        <w:rPr>
          <w:rFonts w:hint="default" w:ascii="Times New Roman" w:hAnsi="Times New Roman" w:cs="Times New Roman"/>
          <w:b/>
          <w:bCs/>
        </w:rPr>
        <w:t>批发市场用地：</w:t>
      </w:r>
      <w:r>
        <w:rPr>
          <w:rFonts w:hint="default" w:ascii="Times New Roman" w:hAnsi="Times New Roman" w:cs="Times New Roman"/>
        </w:rPr>
        <w:t>指以批发功能为主的市场用地；</w:t>
      </w:r>
      <w:r>
        <w:rPr>
          <w:rFonts w:hint="default" w:ascii="Times New Roman" w:hAnsi="Times New Roman" w:cs="Times New Roman"/>
          <w:b/>
          <w:bCs/>
        </w:rPr>
        <w:t>餐饮用地：</w:t>
      </w:r>
      <w:r>
        <w:rPr>
          <w:rFonts w:hint="default" w:ascii="Times New Roman" w:hAnsi="Times New Roman" w:cs="Times New Roman"/>
        </w:rPr>
        <w:t>指饭店、餐厅、酒吧等用地；</w:t>
      </w:r>
      <w:r>
        <w:rPr>
          <w:rFonts w:hint="default" w:ascii="Times New Roman" w:hAnsi="Times New Roman" w:cs="Times New Roman"/>
          <w:b/>
          <w:bCs/>
        </w:rPr>
        <w:t>旅馆用地：</w:t>
      </w:r>
      <w:r>
        <w:rPr>
          <w:rFonts w:hint="default" w:ascii="Times New Roman" w:hAnsi="Times New Roman" w:cs="Times New Roman"/>
        </w:rPr>
        <w:t>指宾馆、旅馆、招待所、服务型公寓、有住宿功能的度假村等用地；</w:t>
      </w:r>
      <w:r>
        <w:rPr>
          <w:rFonts w:hint="default" w:ascii="Times New Roman" w:hAnsi="Times New Roman" w:cs="Times New Roman"/>
          <w:b/>
          <w:bCs/>
        </w:rPr>
        <w:t>公用设施营业网点用地：</w:t>
      </w:r>
      <w:r>
        <w:rPr>
          <w:rFonts w:hint="default" w:ascii="Times New Roman" w:hAnsi="Times New Roman" w:cs="Times New Roman"/>
        </w:rPr>
        <w:t>指零售加油、加气、充换电站、电信、邮政、供水、燃气、供电、供热等公用设施营业网点用地）；</w:t>
      </w:r>
    </w:p>
    <w:p w14:paraId="40BF8BF1">
      <w:pPr>
        <w:adjustRightInd w:val="0"/>
        <w:ind w:firstLine="562"/>
        <w:contextualSpacing/>
        <w:rPr>
          <w:rFonts w:hint="default" w:ascii="Times New Roman" w:hAnsi="Times New Roman" w:cs="Times New Roman"/>
        </w:rPr>
      </w:pPr>
      <w:r>
        <w:rPr>
          <w:rFonts w:hint="default" w:ascii="Times New Roman" w:hAnsi="Times New Roman" w:cs="Times New Roman"/>
          <w:b/>
        </w:rPr>
        <w:t>商务金融用地</w:t>
      </w:r>
      <w:r>
        <w:rPr>
          <w:rFonts w:hint="default" w:ascii="Times New Roman" w:hAnsi="Times New Roman" w:cs="Times New Roman"/>
        </w:rPr>
        <w:t>（指金融保险、艺术传媒、研发设计、技术服务、物流管理中心等综合性办公用地）；</w:t>
      </w:r>
    </w:p>
    <w:p w14:paraId="0E46190D">
      <w:pPr>
        <w:adjustRightInd w:val="0"/>
        <w:ind w:firstLine="562"/>
        <w:contextualSpacing/>
        <w:rPr>
          <w:rFonts w:hint="default" w:ascii="Times New Roman" w:hAnsi="Times New Roman" w:cs="Times New Roman"/>
        </w:rPr>
      </w:pPr>
      <w:r>
        <w:rPr>
          <w:rFonts w:hint="default" w:ascii="Times New Roman" w:hAnsi="Times New Roman" w:cs="Times New Roman"/>
          <w:b/>
        </w:rPr>
        <w:t>娱乐康体用地</w:t>
      </w:r>
      <w:r>
        <w:rPr>
          <w:rFonts w:hint="default" w:ascii="Times New Roman" w:hAnsi="Times New Roman" w:cs="Times New Roman"/>
        </w:rPr>
        <w:t>（指各类娱乐、康体等设施用地。</w:t>
      </w:r>
      <w:r>
        <w:rPr>
          <w:rFonts w:hint="default" w:ascii="Times New Roman" w:hAnsi="Times New Roman" w:cs="Times New Roman"/>
          <w:b/>
          <w:bCs/>
        </w:rPr>
        <w:t>娱乐用地：</w:t>
      </w:r>
      <w:r>
        <w:rPr>
          <w:rFonts w:hint="default" w:ascii="Times New Roman" w:hAnsi="Times New Roman" w:cs="Times New Roman"/>
        </w:rPr>
        <w:t>指剧院、音乐厅、电影院、歌舞厅、网吧以及绿地率小于65%的大型游乐等设施用地；</w:t>
      </w:r>
      <w:r>
        <w:rPr>
          <w:rFonts w:hint="default" w:ascii="Times New Roman" w:hAnsi="Times New Roman" w:cs="Times New Roman"/>
          <w:b/>
          <w:bCs/>
        </w:rPr>
        <w:t>康体用地：</w:t>
      </w:r>
      <w:r>
        <w:rPr>
          <w:rFonts w:hint="default" w:ascii="Times New Roman" w:hAnsi="Times New Roman" w:cs="Times New Roman"/>
        </w:rPr>
        <w:t>指高尔夫练习场、赛马场、溜冰场、跳伞场、摩托车场、射击场，以及水上运动的陆域部分等用地）；</w:t>
      </w:r>
    </w:p>
    <w:p w14:paraId="1FD451BD">
      <w:pPr>
        <w:adjustRightInd w:val="0"/>
        <w:ind w:firstLine="562"/>
        <w:contextualSpacing/>
        <w:rPr>
          <w:rFonts w:hint="default" w:ascii="Times New Roman" w:hAnsi="Times New Roman" w:cs="Times New Roman"/>
        </w:rPr>
      </w:pPr>
      <w:r>
        <w:rPr>
          <w:rFonts w:hint="default" w:ascii="Times New Roman" w:hAnsi="Times New Roman" w:cs="Times New Roman"/>
          <w:b/>
        </w:rPr>
        <w:t>其他商业服务业用地</w:t>
      </w:r>
      <w:r>
        <w:rPr>
          <w:rFonts w:hint="default" w:ascii="Times New Roman" w:hAnsi="Times New Roman" w:cs="Times New Roman"/>
        </w:rPr>
        <w:t>（指除以上之外的商业服务业用地，包括以观光娱乐为目的的直升机停机坪等通用航空、汽车维修站以及宠物医院、洗车场、洗染店、照相馆、理发美容店、洗浴场所、废旧物资回收站、机动车、电子产品和日用产品修理网点、物流营业网点等用地）。</w:t>
      </w:r>
    </w:p>
    <w:p w14:paraId="31F0413A">
      <w:pPr>
        <w:tabs>
          <w:tab w:val="left" w:pos="960"/>
        </w:tabs>
        <w:ind w:firstLine="562"/>
        <w:contextualSpacing/>
        <w:rPr>
          <w:rFonts w:hint="default" w:ascii="Times New Roman" w:hAnsi="Times New Roman" w:cs="Times New Roman"/>
          <w:b/>
        </w:rPr>
      </w:pPr>
      <w:r>
        <w:rPr>
          <w:rFonts w:hint="default" w:ascii="Times New Roman" w:hAnsi="Times New Roman" w:cs="Times New Roman"/>
          <w:b/>
        </w:rPr>
        <w:t>（二）工矿仓储类</w:t>
      </w:r>
    </w:p>
    <w:p w14:paraId="29962F3C">
      <w:pPr>
        <w:adjustRightInd w:val="0"/>
        <w:ind w:firstLine="640" w:firstLineChars="200"/>
        <w:contextualSpacing/>
        <w:rPr>
          <w:rFonts w:hint="default" w:ascii="Times New Roman" w:hAnsi="Times New Roman" w:cs="Times New Roman"/>
        </w:rPr>
      </w:pPr>
      <w:r>
        <w:rPr>
          <w:rFonts w:hint="default" w:ascii="Times New Roman" w:hAnsi="Times New Roman" w:cs="Times New Roman"/>
        </w:rPr>
        <w:t>包括</w:t>
      </w:r>
      <w:r>
        <w:rPr>
          <w:rFonts w:hint="default" w:ascii="Times New Roman" w:hAnsi="Times New Roman" w:cs="Times New Roman"/>
          <w:b/>
        </w:rPr>
        <w:t>工业用地</w:t>
      </w:r>
      <w:r>
        <w:rPr>
          <w:rFonts w:hint="default" w:ascii="Times New Roman" w:hAnsi="Times New Roman" w:cs="Times New Roman"/>
        </w:rPr>
        <w:t>（指工矿企业的生产车间、装备修理、自用库房及其附属设施用地，包括专用铁路、码头和附属道路、停车场等用地，不包括采矿用地）；</w:t>
      </w:r>
      <w:r>
        <w:rPr>
          <w:rFonts w:hint="default" w:ascii="Times New Roman" w:hAnsi="Times New Roman" w:cs="Times New Roman"/>
          <w:b/>
        </w:rPr>
        <w:t>仓储用地</w:t>
      </w:r>
      <w:r>
        <w:rPr>
          <w:rFonts w:hint="default" w:ascii="Times New Roman" w:hAnsi="Times New Roman" w:cs="Times New Roman"/>
        </w:rPr>
        <w:t>（指物流仓储和战略性物资储备库用地）；</w:t>
      </w:r>
      <w:r>
        <w:rPr>
          <w:rFonts w:hint="default" w:ascii="Times New Roman" w:hAnsi="Times New Roman" w:cs="Times New Roman"/>
          <w:b/>
        </w:rPr>
        <w:t>采矿用地</w:t>
      </w:r>
      <w:r>
        <w:rPr>
          <w:rFonts w:hint="default" w:ascii="Times New Roman" w:hAnsi="Times New Roman" w:cs="Times New Roman"/>
        </w:rPr>
        <w:t>（指采矿、采石、采砂（沙）场，砖瓦窑等地面生产用地及排土（石）、尾矿堆放用地）。</w:t>
      </w:r>
    </w:p>
    <w:p w14:paraId="0187F12B">
      <w:pPr>
        <w:tabs>
          <w:tab w:val="left" w:pos="960"/>
        </w:tabs>
        <w:ind w:firstLine="562"/>
        <w:contextualSpacing/>
        <w:rPr>
          <w:rFonts w:hint="default" w:ascii="Times New Roman" w:hAnsi="Times New Roman" w:cs="Times New Roman"/>
          <w:b/>
        </w:rPr>
      </w:pPr>
      <w:r>
        <w:rPr>
          <w:rFonts w:hint="default" w:ascii="Times New Roman" w:hAnsi="Times New Roman" w:cs="Times New Roman"/>
          <w:b/>
        </w:rPr>
        <w:t>（三）住宅类</w:t>
      </w:r>
    </w:p>
    <w:p w14:paraId="4F6CD2BF">
      <w:pPr>
        <w:adjustRightInd w:val="0"/>
        <w:ind w:firstLine="562"/>
        <w:contextualSpacing/>
        <w:rPr>
          <w:rFonts w:hint="default" w:ascii="Times New Roman" w:hAnsi="Times New Roman" w:cs="Times New Roman"/>
        </w:rPr>
      </w:pPr>
      <w:r>
        <w:rPr>
          <w:rFonts w:hint="default" w:ascii="Times New Roman" w:hAnsi="Times New Roman" w:cs="Times New Roman"/>
          <w:b/>
          <w:bCs/>
        </w:rPr>
        <w:t>包括城镇住宅用地</w:t>
      </w:r>
      <w:r>
        <w:rPr>
          <w:rFonts w:hint="default" w:ascii="Times New Roman" w:hAnsi="Times New Roman" w:cs="Times New Roman"/>
        </w:rPr>
        <w:t>（指城镇住宅用地及其居住生活配套的社区服务设施用地）；</w:t>
      </w:r>
      <w:r>
        <w:rPr>
          <w:rFonts w:hint="default" w:ascii="Times New Roman" w:hAnsi="Times New Roman" w:cs="Times New Roman"/>
          <w:b/>
          <w:bCs/>
        </w:rPr>
        <w:t>城镇社区服务设施用地</w:t>
      </w:r>
      <w:r>
        <w:rPr>
          <w:rFonts w:hint="default" w:ascii="Times New Roman" w:hAnsi="Times New Roman" w:cs="Times New Roman"/>
        </w:rPr>
        <w:t>（指为城镇居住生活配套的社区服务设施用地，包括社区服务站以及托儿所、社区卫生服务站、文化活动站、小型综合体育场地、小型超市等用地，以及老年人日间照料中心（托老所）等社区养老服务设施用地，不包括中小学、幼儿园用地）。</w:t>
      </w:r>
    </w:p>
    <w:p w14:paraId="44A8DC44">
      <w:pPr>
        <w:tabs>
          <w:tab w:val="left" w:pos="960"/>
        </w:tabs>
        <w:ind w:firstLine="562"/>
        <w:contextualSpacing/>
        <w:rPr>
          <w:rFonts w:hint="default" w:ascii="Times New Roman" w:hAnsi="Times New Roman" w:cs="Times New Roman"/>
          <w:b/>
        </w:rPr>
      </w:pPr>
      <w:r>
        <w:rPr>
          <w:rFonts w:hint="default" w:ascii="Times New Roman" w:hAnsi="Times New Roman" w:cs="Times New Roman"/>
          <w:b/>
        </w:rPr>
        <w:t>（四）公共管理与公共服务类</w:t>
      </w:r>
    </w:p>
    <w:p w14:paraId="48CCA290">
      <w:pPr>
        <w:adjustRightInd w:val="0"/>
        <w:ind w:firstLine="640" w:firstLineChars="200"/>
        <w:contextualSpacing/>
        <w:rPr>
          <w:rFonts w:hint="default" w:ascii="Times New Roman" w:hAnsi="Times New Roman" w:cs="Times New Roman"/>
        </w:rPr>
      </w:pPr>
      <w:r>
        <w:rPr>
          <w:rFonts w:hint="default" w:ascii="Times New Roman" w:hAnsi="Times New Roman" w:cs="Times New Roman"/>
        </w:rPr>
        <w:t>包括</w:t>
      </w:r>
      <w:r>
        <w:rPr>
          <w:rFonts w:hint="default" w:ascii="Times New Roman" w:hAnsi="Times New Roman" w:cs="Times New Roman"/>
          <w:b/>
          <w:bCs/>
        </w:rPr>
        <w:t>机关团体用地</w:t>
      </w:r>
      <w:r>
        <w:rPr>
          <w:rFonts w:hint="default" w:ascii="Times New Roman" w:hAnsi="Times New Roman" w:cs="Times New Roman"/>
        </w:rPr>
        <w:t>（指党政机关、人民团体及其相关直属机构、派出机构和直属事业单位的办公及附属设施用地）；</w:t>
      </w:r>
      <w:r>
        <w:rPr>
          <w:rFonts w:hint="default" w:ascii="Times New Roman" w:hAnsi="Times New Roman" w:cs="Times New Roman"/>
          <w:b/>
          <w:bCs/>
        </w:rPr>
        <w:t>科研用地</w:t>
      </w:r>
      <w:r>
        <w:rPr>
          <w:rFonts w:hint="default" w:ascii="Times New Roman" w:hAnsi="Times New Roman" w:cs="Times New Roman"/>
        </w:rPr>
        <w:t>（指科研机构及其科研设施用地）；</w:t>
      </w:r>
      <w:r>
        <w:rPr>
          <w:rFonts w:hint="default" w:ascii="Times New Roman" w:hAnsi="Times New Roman" w:cs="Times New Roman"/>
          <w:b/>
          <w:bCs/>
        </w:rPr>
        <w:t>文化用地</w:t>
      </w:r>
      <w:r>
        <w:rPr>
          <w:rFonts w:hint="default" w:ascii="Times New Roman" w:hAnsi="Times New Roman" w:cs="Times New Roman"/>
        </w:rPr>
        <w:t>（指图书、展览等公共文化活动设施用地）；</w:t>
      </w:r>
      <w:r>
        <w:rPr>
          <w:rFonts w:hint="default" w:ascii="Times New Roman" w:hAnsi="Times New Roman" w:cs="Times New Roman"/>
          <w:b/>
          <w:bCs/>
        </w:rPr>
        <w:t>教育用地</w:t>
      </w:r>
      <w:r>
        <w:rPr>
          <w:rFonts w:hint="default" w:ascii="Times New Roman" w:hAnsi="Times New Roman" w:cs="Times New Roman"/>
        </w:rPr>
        <w:t>（指高等教育、中等职业教育、中小学教育、幼儿园、特殊教育设施等用地，包括为学校配建的独立地段的学生生活用地）；</w:t>
      </w:r>
      <w:r>
        <w:rPr>
          <w:rFonts w:hint="default" w:ascii="Times New Roman" w:hAnsi="Times New Roman" w:cs="Times New Roman"/>
          <w:b/>
          <w:bCs/>
        </w:rPr>
        <w:t>体育用地</w:t>
      </w:r>
      <w:r>
        <w:rPr>
          <w:rFonts w:hint="default" w:ascii="Times New Roman" w:hAnsi="Times New Roman" w:cs="Times New Roman"/>
        </w:rPr>
        <w:t>（指体育场馆和体育训练基地等用地，不包括学校、企事业、军队等机构内部专用的体育设施用地）；</w:t>
      </w:r>
      <w:r>
        <w:rPr>
          <w:rFonts w:hint="default" w:ascii="Times New Roman" w:hAnsi="Times New Roman" w:cs="Times New Roman"/>
          <w:b/>
          <w:bCs/>
        </w:rPr>
        <w:t>新闻出版用地</w:t>
      </w:r>
      <w:r>
        <w:rPr>
          <w:rFonts w:hint="default" w:ascii="Times New Roman" w:hAnsi="Times New Roman" w:cs="Times New Roman"/>
        </w:rPr>
        <w:t>（指用于广播电台、电视台、电影厂、报社、杂志社、</w:t>
      </w:r>
      <w:r>
        <w:rPr>
          <w:rFonts w:hint="eastAsia" w:ascii="Times New Roman" w:hAnsi="Times New Roman" w:cs="Times New Roman"/>
          <w:lang w:eastAsia="zh-CN"/>
        </w:rPr>
        <w:t>通迅</w:t>
      </w:r>
      <w:r>
        <w:rPr>
          <w:rFonts w:hint="default" w:ascii="Times New Roman" w:hAnsi="Times New Roman" w:cs="Times New Roman"/>
        </w:rPr>
        <w:t>社、出版社等的用地）</w:t>
      </w:r>
      <w:r>
        <w:rPr>
          <w:rFonts w:hint="default" w:ascii="Times New Roman" w:hAnsi="Times New Roman" w:cs="Times New Roman"/>
          <w:b/>
          <w:bCs/>
        </w:rPr>
        <w:t>；医疗卫生用地</w:t>
      </w:r>
      <w:r>
        <w:rPr>
          <w:rFonts w:hint="default" w:ascii="Times New Roman" w:hAnsi="Times New Roman" w:cs="Times New Roman"/>
        </w:rPr>
        <w:t>（指医疗、预防、保健、护理、</w:t>
      </w:r>
      <w:bookmarkStart w:id="9" w:name="_GoBack"/>
      <w:bookmarkEnd w:id="9"/>
      <w:r>
        <w:rPr>
          <w:rFonts w:hint="default" w:ascii="Times New Roman" w:hAnsi="Times New Roman" w:cs="Times New Roman"/>
        </w:rPr>
        <w:t>康复、急救、安宁疗护等用地）；</w:t>
      </w:r>
      <w:r>
        <w:rPr>
          <w:rFonts w:hint="default" w:ascii="Times New Roman" w:hAnsi="Times New Roman" w:cs="Times New Roman"/>
          <w:b/>
          <w:bCs/>
        </w:rPr>
        <w:t>社会福利设施用地</w:t>
      </w:r>
      <w:r>
        <w:rPr>
          <w:rFonts w:hint="default" w:ascii="Times New Roman" w:hAnsi="Times New Roman" w:cs="Times New Roman"/>
        </w:rPr>
        <w:t>（指为老年人、儿童及残疾人等提供社会福利和慈善服务的设施用地）。</w:t>
      </w:r>
    </w:p>
    <w:p w14:paraId="413BA63A">
      <w:pPr>
        <w:widowControl/>
        <w:ind w:firstLine="562"/>
        <w:contextualSpacing/>
        <w:rPr>
          <w:rFonts w:hint="default" w:ascii="Times New Roman" w:hAnsi="Times New Roman" w:cs="Times New Roman"/>
        </w:rPr>
      </w:pPr>
      <w:r>
        <w:rPr>
          <w:rFonts w:hint="default" w:ascii="Times New Roman" w:hAnsi="Times New Roman" w:cs="Times New Roman"/>
          <w:b/>
        </w:rPr>
        <w:t>公用设施用地</w:t>
      </w:r>
      <w:r>
        <w:rPr>
          <w:rFonts w:hint="default" w:ascii="Times New Roman" w:hAnsi="Times New Roman" w:cs="Times New Roman"/>
        </w:rPr>
        <w:t>（指用于城乡和区域基础设施的供水、排水、供电、供燃气、供热、通信、邮政、环卫、消防、干渠、水工等设施用地）。</w:t>
      </w:r>
    </w:p>
    <w:p w14:paraId="158392E8">
      <w:pPr>
        <w:tabs>
          <w:tab w:val="left" w:pos="960"/>
        </w:tabs>
        <w:ind w:firstLine="562"/>
        <w:contextualSpacing/>
        <w:rPr>
          <w:rFonts w:hint="default" w:ascii="Times New Roman" w:hAnsi="Times New Roman" w:cs="Times New Roman"/>
        </w:rPr>
      </w:pPr>
      <w:r>
        <w:rPr>
          <w:rFonts w:hint="default" w:ascii="Times New Roman" w:hAnsi="Times New Roman" w:cs="Times New Roman"/>
          <w:b/>
        </w:rPr>
        <w:t>殡葬用地</w:t>
      </w:r>
      <w:r>
        <w:rPr>
          <w:rFonts w:hint="default" w:ascii="Times New Roman" w:hAnsi="Times New Roman" w:cs="Times New Roman"/>
        </w:rPr>
        <w:t>（指殡仪馆、火葬场、骨灰存放处和陵园、墓地等用地）。</w:t>
      </w:r>
    </w:p>
    <w:p w14:paraId="252AB8B6">
      <w:pPr>
        <w:adjustRightInd w:val="0"/>
        <w:ind w:firstLine="562"/>
        <w:contextualSpacing/>
        <w:rPr>
          <w:rFonts w:hint="default" w:ascii="Times New Roman" w:hAnsi="Times New Roman" w:eastAsia="方正仿宋_GBK" w:cs="Times New Roman"/>
          <w:lang w:eastAsia="zh-CN"/>
        </w:rPr>
      </w:pPr>
      <w:r>
        <w:rPr>
          <w:rFonts w:hint="default" w:ascii="Times New Roman" w:hAnsi="Times New Roman" w:cs="Times New Roman"/>
          <w:b/>
          <w:bCs/>
        </w:rPr>
        <w:t>风景名胜设施用地</w:t>
      </w:r>
      <w:r>
        <w:rPr>
          <w:rFonts w:hint="default" w:ascii="Times New Roman" w:hAnsi="Times New Roman" w:cs="Times New Roman"/>
        </w:rPr>
        <w:t>（指风景名胜景点（包括名胜古迹、旅游景点、革命遗址、自然保护区、森林公园、地质公园、湿地公园等）的管理机构，以及旅游服务设施的建筑用地，景区内的其他用地按现状归入相应地类）</w:t>
      </w:r>
      <w:r>
        <w:rPr>
          <w:rFonts w:hint="default" w:ascii="Times New Roman" w:hAnsi="Times New Roman" w:cs="Times New Roman"/>
          <w:lang w:eastAsia="zh-CN"/>
        </w:rPr>
        <w:t>。</w:t>
      </w:r>
    </w:p>
    <w:p w14:paraId="6A4DCD45">
      <w:pPr>
        <w:tabs>
          <w:tab w:val="left" w:pos="960"/>
        </w:tabs>
        <w:ind w:firstLine="562"/>
        <w:contextualSpacing/>
        <w:rPr>
          <w:rFonts w:hint="default" w:ascii="Times New Roman" w:hAnsi="Times New Roman" w:cs="Times New Roman"/>
        </w:rPr>
      </w:pPr>
      <w:r>
        <w:rPr>
          <w:rFonts w:hint="default" w:ascii="Times New Roman" w:hAnsi="Times New Roman" w:cs="Times New Roman"/>
          <w:b/>
        </w:rPr>
        <w:t>交通运输用地</w:t>
      </w:r>
      <w:r>
        <w:rPr>
          <w:rFonts w:hint="default" w:ascii="Times New Roman" w:hAnsi="Times New Roman" w:cs="Times New Roman"/>
        </w:rPr>
        <w:t>（指铁路、公路、机场、港口码头、管道运输、城市轨道交通、各种道路以及交通场站等交通运输设施及其附属设施用地，不包括其他用地内的附属道路、停车场等用地）。</w:t>
      </w:r>
    </w:p>
    <w:p w14:paraId="6480338B">
      <w:pPr>
        <w:ind w:firstLine="640" w:firstLineChars="200"/>
        <w:rPr>
          <w:rFonts w:hint="default" w:ascii="Times New Roman" w:hAnsi="Times New Roman" w:cs="Times New Roman"/>
        </w:rPr>
      </w:pPr>
      <w:r>
        <w:rPr>
          <w:rFonts w:hint="default" w:ascii="Times New Roman" w:hAnsi="Times New Roman" w:cs="Times New Roman"/>
        </w:rPr>
        <w:t>其他未列入上述范围的用地，其用途类别可参照相关或相近用地用途类别确定。工矿仓储类、公共管理与公共服务类用地中的配套经营性设施用地，应参照商服用途确定。</w:t>
      </w:r>
    </w:p>
    <w:p w14:paraId="6CDD56A8">
      <w:pPr>
        <w:spacing w:beforeLines="100" w:afterLines="50" w:line="360" w:lineRule="auto"/>
        <w:ind w:firstLine="562"/>
        <w:rPr>
          <w:rFonts w:hint="default" w:ascii="Times New Roman" w:hAnsi="Times New Roman" w:cs="Times New Roman"/>
          <w:b/>
        </w:rPr>
      </w:pPr>
      <w:r>
        <w:rPr>
          <w:rFonts w:hint="default" w:ascii="Times New Roman" w:hAnsi="Times New Roman" w:cs="Times New Roman"/>
          <w:b/>
        </w:rPr>
        <w:t>四、基准地价的应用</w:t>
      </w:r>
    </w:p>
    <w:p w14:paraId="796A668C">
      <w:pPr>
        <w:ind w:firstLine="640" w:firstLineChars="200"/>
        <w:rPr>
          <w:rFonts w:hint="default" w:ascii="Times New Roman" w:hAnsi="Times New Roman" w:cs="Times New Roman"/>
        </w:rPr>
      </w:pPr>
      <w:r>
        <w:rPr>
          <w:rFonts w:hint="default" w:ascii="Times New Roman" w:hAnsi="Times New Roman" w:cs="Times New Roman"/>
        </w:rPr>
        <w:t>运用基准地价系数修正法进行宗地价格评估时应适用对应用途级别的基准地价，并根据宗地实际情况进行土地用途、期日、年期、容积率、区域和个别因素及土地开发程度等修正。评估多用途混合的宗地价格时，应按各具体用途分别修正后加权测算。</w:t>
      </w:r>
    </w:p>
    <w:p w14:paraId="6C93B406">
      <w:pPr>
        <w:ind w:firstLine="640" w:firstLineChars="200"/>
        <w:rPr>
          <w:rFonts w:hint="default" w:ascii="Times New Roman" w:hAnsi="Times New Roman" w:cs="Times New Roman"/>
        </w:rPr>
      </w:pPr>
      <w:r>
        <w:rPr>
          <w:rFonts w:hint="default" w:ascii="Times New Roman" w:hAnsi="Times New Roman" w:cs="Times New Roman"/>
        </w:rPr>
        <w:t xml:space="preserve">（一）宗地价格计算公式 </w:t>
      </w:r>
    </w:p>
    <w:p w14:paraId="3AA3022E">
      <w:pPr>
        <w:ind w:firstLine="640" w:firstLineChars="200"/>
        <w:rPr>
          <w:rFonts w:hint="default" w:ascii="Times New Roman" w:hAnsi="Times New Roman" w:cs="Times New Roman"/>
        </w:rPr>
      </w:pPr>
      <w:r>
        <w:rPr>
          <w:rFonts w:hint="default" w:ascii="Times New Roman" w:hAnsi="Times New Roman" w:cs="Times New Roman"/>
        </w:rPr>
        <w:t>1．地上计容部分</w:t>
      </w:r>
    </w:p>
    <w:p w14:paraId="4C655617">
      <w:pPr>
        <w:ind w:firstLine="640" w:firstLineChars="200"/>
        <w:rPr>
          <w:rFonts w:hint="default" w:ascii="Times New Roman" w:hAnsi="Times New Roman" w:cs="Times New Roman"/>
        </w:rPr>
      </w:pPr>
      <w:r>
        <w:rPr>
          <w:rFonts w:hint="default" w:ascii="Times New Roman" w:hAnsi="Times New Roman" w:cs="Times New Roman"/>
        </w:rPr>
        <w:t>楼面地价=适用的基准地价×土地用途修正系数×期日修正系数×年期修正系数×容积率修正系数×区域和个别因素修正系数±土地开发程度修正值</w:t>
      </w:r>
    </w:p>
    <w:p w14:paraId="6B94915A">
      <w:pPr>
        <w:ind w:firstLine="640" w:firstLineChars="200"/>
        <w:rPr>
          <w:rFonts w:hint="default" w:ascii="Times New Roman" w:hAnsi="Times New Roman" w:cs="Times New Roman"/>
        </w:rPr>
      </w:pPr>
      <w:r>
        <w:rPr>
          <w:rFonts w:hint="default" w:ascii="Times New Roman" w:hAnsi="Times New Roman" w:cs="Times New Roman"/>
        </w:rPr>
        <w:t>地面价=楼面地价×R</w:t>
      </w:r>
    </w:p>
    <w:p w14:paraId="5A0E8030">
      <w:pPr>
        <w:ind w:firstLine="640" w:firstLineChars="200"/>
        <w:rPr>
          <w:rFonts w:hint="default" w:ascii="Times New Roman" w:hAnsi="Times New Roman" w:cs="Times New Roman"/>
        </w:rPr>
      </w:pPr>
      <w:r>
        <w:rPr>
          <w:rFonts w:hint="default" w:ascii="Times New Roman" w:hAnsi="Times New Roman" w:cs="Times New Roman"/>
        </w:rPr>
        <w:t>R为设定容积率（工业用地R为1；商业、办公、住宅用地设定容积率小于1时，R取1）。</w:t>
      </w:r>
    </w:p>
    <w:p w14:paraId="7EC67AFE">
      <w:pPr>
        <w:ind w:firstLine="640" w:firstLineChars="200"/>
        <w:rPr>
          <w:rFonts w:hint="default" w:ascii="Times New Roman" w:hAnsi="Times New Roman" w:cs="Times New Roman"/>
        </w:rPr>
      </w:pPr>
      <w:r>
        <w:rPr>
          <w:rFonts w:hint="default" w:ascii="Times New Roman" w:hAnsi="Times New Roman" w:cs="Times New Roman"/>
        </w:rPr>
        <w:t>2．地下不计容部分</w:t>
      </w:r>
    </w:p>
    <w:p w14:paraId="17EEF578">
      <w:pPr>
        <w:ind w:firstLine="640" w:firstLineChars="200"/>
        <w:rPr>
          <w:rFonts w:hint="default" w:ascii="Times New Roman" w:hAnsi="Times New Roman" w:eastAsia="方正仿宋_GBK" w:cs="Times New Roman"/>
          <w:lang w:eastAsia="zh-CN"/>
        </w:rPr>
      </w:pPr>
      <w:r>
        <w:rPr>
          <w:rFonts w:hint="default" w:ascii="Times New Roman" w:hAnsi="Times New Roman" w:cs="Times New Roman"/>
        </w:rPr>
        <w:t>楼面地价=适用的基准地价×相应用途地下空间修正系数×期日修正系数×年期修正系数×区域和个别因素修正系数±土地开发程度修正值</w:t>
      </w:r>
      <w:r>
        <w:rPr>
          <w:rFonts w:hint="default" w:ascii="Times New Roman" w:hAnsi="Times New Roman" w:cs="Times New Roman"/>
          <w:lang w:eastAsia="zh-CN"/>
        </w:rPr>
        <w:t>。</w:t>
      </w:r>
    </w:p>
    <w:p w14:paraId="2D457EF5">
      <w:pPr>
        <w:ind w:firstLine="640" w:firstLineChars="200"/>
        <w:rPr>
          <w:rFonts w:hint="default" w:ascii="Times New Roman" w:hAnsi="Times New Roman" w:cs="Times New Roman"/>
        </w:rPr>
      </w:pPr>
      <w:r>
        <w:rPr>
          <w:rFonts w:hint="default" w:ascii="Times New Roman" w:hAnsi="Times New Roman" w:cs="Times New Roman"/>
        </w:rPr>
        <w:t>地面价=楼面地价×（建筑面积÷宗地土地面积）</w:t>
      </w:r>
    </w:p>
    <w:p w14:paraId="7CAFF248">
      <w:pPr>
        <w:ind w:firstLine="640" w:firstLineChars="200"/>
        <w:rPr>
          <w:rFonts w:hint="default" w:ascii="Times New Roman" w:hAnsi="Times New Roman" w:cs="Times New Roman"/>
        </w:rPr>
      </w:pPr>
      <w:r>
        <w:rPr>
          <w:rFonts w:hint="default" w:ascii="Times New Roman" w:hAnsi="Times New Roman" w:cs="Times New Roman"/>
        </w:rPr>
        <w:t>（二）宗地价格测算在有关参数的确定</w:t>
      </w:r>
    </w:p>
    <w:p w14:paraId="617EF169">
      <w:pPr>
        <w:ind w:firstLine="640" w:firstLineChars="200"/>
        <w:rPr>
          <w:rFonts w:hint="default" w:ascii="Times New Roman" w:hAnsi="Times New Roman" w:cs="Times New Roman"/>
        </w:rPr>
      </w:pPr>
      <w:r>
        <w:rPr>
          <w:rFonts w:hint="default" w:ascii="Times New Roman" w:hAnsi="Times New Roman" w:cs="Times New Roman"/>
        </w:rPr>
        <w:t>1.适用的基准地价的确定</w:t>
      </w:r>
    </w:p>
    <w:p w14:paraId="48B68A00">
      <w:pPr>
        <w:ind w:firstLine="640" w:firstLineChars="200"/>
        <w:rPr>
          <w:rFonts w:hint="default" w:ascii="Times New Roman" w:hAnsi="Times New Roman" w:cs="Times New Roman"/>
        </w:rPr>
      </w:pPr>
      <w:r>
        <w:rPr>
          <w:rFonts w:hint="default" w:ascii="Times New Roman" w:hAnsi="Times New Roman" w:cs="Times New Roman"/>
        </w:rPr>
        <w:t>根据宗地的法定用途，按照本说明第三条规定的基准地价分类，确定适用的基准地价用途后，根据本次公布实施的土地级别，确定对应用途级别应适用的基准地价。</w:t>
      </w:r>
    </w:p>
    <w:p w14:paraId="69C84E40">
      <w:pPr>
        <w:ind w:firstLine="640" w:firstLineChars="200"/>
        <w:rPr>
          <w:rFonts w:hint="default" w:ascii="Times New Roman" w:hAnsi="Times New Roman" w:cs="Times New Roman"/>
        </w:rPr>
      </w:pPr>
      <w:r>
        <w:rPr>
          <w:rFonts w:hint="default" w:ascii="Times New Roman" w:hAnsi="Times New Roman" w:cs="Times New Roman"/>
        </w:rPr>
        <w:t>2.用途修正系数的确定</w:t>
      </w:r>
    </w:p>
    <w:p w14:paraId="0AE06C69">
      <w:pPr>
        <w:ind w:firstLine="480" w:firstLineChars="150"/>
        <w:rPr>
          <w:rFonts w:hint="default" w:ascii="Times New Roman" w:hAnsi="Times New Roman" w:cs="Times New Roman"/>
        </w:rPr>
      </w:pPr>
      <w:r>
        <w:rPr>
          <w:rFonts w:hint="default" w:ascii="Times New Roman" w:hAnsi="Times New Roman" w:cs="Times New Roman"/>
        </w:rPr>
        <w:t>宗地需要进行用途修正的，按照《土地用途修正系数表》确定用途修正系数。地下不计容部分应根据《地下空间修正系数表》相应用途比准类别确定相应用途地下空间修正系数。</w:t>
      </w:r>
    </w:p>
    <w:p w14:paraId="19992895">
      <w:pPr>
        <w:ind w:firstLine="640" w:firstLineChars="200"/>
        <w:rPr>
          <w:rFonts w:hint="default" w:ascii="Times New Roman" w:hAnsi="Times New Roman" w:cs="Times New Roman"/>
        </w:rPr>
      </w:pPr>
      <w:r>
        <w:rPr>
          <w:rFonts w:hint="default" w:ascii="Times New Roman" w:hAnsi="Times New Roman" w:cs="Times New Roman"/>
        </w:rPr>
        <w:t>3.期日修正系数的确定</w:t>
      </w:r>
    </w:p>
    <w:p w14:paraId="596816B1">
      <w:pPr>
        <w:ind w:firstLine="640" w:firstLineChars="200"/>
        <w:rPr>
          <w:rFonts w:hint="default" w:ascii="Times New Roman" w:hAnsi="Times New Roman" w:eastAsia="方正仿宋_GBK" w:cs="Times New Roman"/>
          <w:lang w:eastAsia="zh-CN"/>
        </w:rPr>
      </w:pPr>
      <w:r>
        <w:rPr>
          <w:rFonts w:hint="default" w:ascii="Times New Roman" w:hAnsi="Times New Roman" w:cs="Times New Roman"/>
        </w:rPr>
        <w:t>期日修正系数=宗地估价期日的地价指数÷基准地价期日的地价指数</w:t>
      </w:r>
      <w:r>
        <w:rPr>
          <w:rFonts w:hint="default" w:ascii="Times New Roman" w:hAnsi="Times New Roman" w:cs="Times New Roman"/>
          <w:lang w:eastAsia="zh-CN"/>
        </w:rPr>
        <w:t>。</w:t>
      </w:r>
    </w:p>
    <w:p w14:paraId="34FF8720">
      <w:pPr>
        <w:ind w:firstLine="640" w:firstLineChars="200"/>
        <w:rPr>
          <w:rFonts w:hint="default" w:ascii="Times New Roman" w:hAnsi="Times New Roman" w:cs="Times New Roman"/>
        </w:rPr>
      </w:pPr>
      <w:r>
        <w:rPr>
          <w:rFonts w:hint="default" w:ascii="Times New Roman" w:hAnsi="Times New Roman" w:cs="Times New Roman"/>
        </w:rPr>
        <w:t>宗地估价期日的地价指数以重庆市地价动态监测成果公布的地价指数、地价增长率为准。</w:t>
      </w:r>
    </w:p>
    <w:p w14:paraId="5C210136">
      <w:pPr>
        <w:ind w:firstLine="640" w:firstLineChars="200"/>
        <w:rPr>
          <w:rFonts w:hint="default" w:ascii="Times New Roman" w:hAnsi="Times New Roman" w:cs="Times New Roman"/>
        </w:rPr>
      </w:pPr>
      <w:r>
        <w:rPr>
          <w:rFonts w:hint="default" w:ascii="Times New Roman" w:hAnsi="Times New Roman" w:cs="Times New Roman"/>
        </w:rPr>
        <w:t>4.土地使用年期修正系数的确定</w:t>
      </w:r>
    </w:p>
    <w:p w14:paraId="5CA60C67">
      <w:pPr>
        <w:adjustRightInd w:val="0"/>
        <w:snapToGrid w:val="0"/>
        <w:spacing w:line="360" w:lineRule="auto"/>
        <w:ind w:firstLine="640" w:firstLineChars="200"/>
        <w:rPr>
          <w:rFonts w:hint="default" w:ascii="Times New Roman" w:hAnsi="Times New Roman" w:cs="Times New Roman"/>
        </w:rPr>
      </w:pPr>
      <w:r>
        <w:rPr>
          <w:rFonts w:hint="default" w:ascii="Times New Roman" w:hAnsi="Times New Roman" w:cs="Times New Roman"/>
        </w:rPr>
        <w:t>年期修正系数=</w:t>
      </w:r>
      <w:r>
        <w:rPr>
          <w:rFonts w:hint="default" w:ascii="Times New Roman" w:hAnsi="Times New Roman" w:cs="Times New Roman"/>
        </w:rPr>
        <w:fldChar w:fldCharType="begin"/>
      </w:r>
      <w:r>
        <w:rPr>
          <w:rFonts w:hint="default" w:ascii="Times New Roman" w:hAnsi="Times New Roman" w:cs="Times New Roman"/>
        </w:rPr>
        <w:instrText xml:space="preserve"> QUOTE </w:instrText>
      </w:r>
      <w:r>
        <w:rPr>
          <w:rFonts w:hint="default" w:ascii="Times New Roman" w:hAnsi="Times New Roman" w:cs="Times New Roman"/>
          <w:position w:val="-21"/>
        </w:rPr>
        <w:pict>
          <v:shape id="_x0000_i1025" o:spt="75" type="#_x0000_t75" style="height:34.25pt;width:79pt;" filled="f" o:preferrelative="t" stroked="f" coordsize="21600,21600" equationxml="&lt;">
            <v:path/>
            <v:fill on="f" focussize="0,0"/>
            <v:stroke on="f" joinstyle="miter"/>
            <v:imagedata r:id="rId10" chromakey="#FFFFFF" o:title=""/>
            <o:lock v:ext="edit" aspectratio="t"/>
            <w10:wrap type="none"/>
            <w10:anchorlock/>
          </v:shape>
        </w:pict>
      </w:r>
      <w:r>
        <w:rPr>
          <w:rFonts w:hint="default" w:ascii="Times New Roman" w:hAnsi="Times New Roman" w:cs="Times New Roman"/>
        </w:rPr>
        <w:fldChar w:fldCharType="separate"/>
      </w:r>
      <w:r>
        <w:rPr>
          <w:rFonts w:hint="default" w:ascii="Times New Roman" w:hAnsi="Times New Roman" w:cs="Times New Roman"/>
          <w:position w:val="-21"/>
        </w:rPr>
        <w:pict>
          <v:shape id="_x0000_i1026" o:spt="75" type="#_x0000_t75" style="height:33.55pt;width:79pt;" filled="f" o:preferrelative="t" stroked="f" coordsize="21600,21600" equationxml="&lt;">
            <v:path/>
            <v:fill on="f" focussize="0,0"/>
            <v:stroke on="f" joinstyle="miter"/>
            <v:imagedata r:id="rId10" chromakey="#FFFFFF" o:title=""/>
            <o:lock v:ext="edit" aspectratio="t"/>
            <w10:wrap type="none"/>
            <w10:anchorlock/>
          </v:shape>
        </w:pict>
      </w:r>
      <w:r>
        <w:rPr>
          <w:rFonts w:hint="default" w:ascii="Times New Roman" w:hAnsi="Times New Roman" w:cs="Times New Roman"/>
        </w:rPr>
        <w:fldChar w:fldCharType="end"/>
      </w:r>
    </w:p>
    <w:p w14:paraId="5FC5C99A">
      <w:pPr>
        <w:adjustRightInd w:val="0"/>
        <w:snapToGrid w:val="0"/>
        <w:ind w:firstLine="640" w:firstLineChars="200"/>
        <w:rPr>
          <w:rFonts w:hint="default" w:ascii="Times New Roman" w:hAnsi="Times New Roman" w:cs="Times New Roman"/>
        </w:rPr>
      </w:pPr>
      <w:r>
        <w:rPr>
          <w:rFonts w:hint="default" w:ascii="Times New Roman" w:hAnsi="Times New Roman" w:cs="Times New Roman"/>
        </w:rPr>
        <w:t>r为土地还原率（商服、工矿仓储、住宅、公共管理与公共服务分别为6.69%、4.74%、6.15%、5.12%）；n为宗地剩余使用年限；m为基准地价规定的相应用途土地使用年限。</w:t>
      </w:r>
    </w:p>
    <w:p w14:paraId="7BEB3F7B">
      <w:pPr>
        <w:ind w:firstLine="640" w:firstLineChars="200"/>
        <w:rPr>
          <w:rFonts w:hint="default" w:ascii="Times New Roman" w:hAnsi="Times New Roman" w:cs="Times New Roman"/>
        </w:rPr>
      </w:pPr>
      <w:r>
        <w:rPr>
          <w:rFonts w:hint="default" w:ascii="Times New Roman" w:hAnsi="Times New Roman" w:cs="Times New Roman"/>
        </w:rPr>
        <w:t>5.容积率修正系数的确定</w:t>
      </w:r>
    </w:p>
    <w:p w14:paraId="62385A7C">
      <w:pPr>
        <w:ind w:firstLine="640" w:firstLineChars="200"/>
        <w:rPr>
          <w:rFonts w:hint="default" w:ascii="Times New Roman" w:hAnsi="Times New Roman" w:cs="Times New Roman"/>
        </w:rPr>
      </w:pPr>
      <w:r>
        <w:rPr>
          <w:rFonts w:hint="default" w:ascii="Times New Roman" w:hAnsi="Times New Roman" w:cs="Times New Roman"/>
        </w:rPr>
        <w:t xml:space="preserve">按照宗地的法定容积率（R），根据《容积率修正系数表》确定容积率修正系数。商服、住宅、公共管理与公共服务用地容积率小于1时，按容积率1确定修正系数；商服、住宅、公共管理与公共服务用地容积率大于4.5时，按容积率4.5确定修正系数。  </w:t>
      </w:r>
    </w:p>
    <w:p w14:paraId="61ADD62B">
      <w:pPr>
        <w:ind w:firstLine="640" w:firstLineChars="200"/>
        <w:rPr>
          <w:rFonts w:hint="default" w:ascii="Times New Roman" w:hAnsi="Times New Roman" w:cs="Times New Roman"/>
        </w:rPr>
      </w:pPr>
      <w:r>
        <w:rPr>
          <w:rFonts w:hint="default" w:ascii="Times New Roman" w:hAnsi="Times New Roman" w:cs="Times New Roman"/>
        </w:rPr>
        <w:t>工业不做容积率修正。</w:t>
      </w:r>
    </w:p>
    <w:p w14:paraId="45436B24">
      <w:pPr>
        <w:ind w:firstLine="640" w:firstLineChars="200"/>
        <w:rPr>
          <w:rFonts w:hint="default" w:ascii="Times New Roman" w:hAnsi="Times New Roman" w:cs="Times New Roman"/>
        </w:rPr>
      </w:pPr>
      <w:r>
        <w:rPr>
          <w:rFonts w:hint="default" w:ascii="Times New Roman" w:hAnsi="Times New Roman" w:cs="Times New Roman"/>
        </w:rPr>
        <w:t>当R</w:t>
      </w:r>
      <w:r>
        <w:rPr>
          <w:rFonts w:hint="default" w:ascii="Times New Roman" w:hAnsi="Times New Roman" w:cs="Times New Roman"/>
          <w:vertAlign w:val="subscript"/>
        </w:rPr>
        <w:t>1</w:t>
      </w:r>
      <w:r>
        <w:rPr>
          <w:rFonts w:hint="default" w:ascii="Times New Roman" w:hAnsi="Times New Roman" w:cs="Times New Roman"/>
        </w:rPr>
        <w:t>＜R＜R</w:t>
      </w:r>
      <w:r>
        <w:rPr>
          <w:rFonts w:hint="default" w:ascii="Times New Roman" w:hAnsi="Times New Roman" w:cs="Times New Roman"/>
          <w:vertAlign w:val="subscript"/>
        </w:rPr>
        <w:t>2</w:t>
      </w:r>
      <w:r>
        <w:rPr>
          <w:rFonts w:hint="default" w:ascii="Times New Roman" w:hAnsi="Times New Roman" w:cs="Times New Roman"/>
        </w:rPr>
        <w:t>（R</w:t>
      </w:r>
      <w:r>
        <w:rPr>
          <w:rFonts w:hint="default" w:ascii="Times New Roman" w:hAnsi="Times New Roman" w:cs="Times New Roman"/>
          <w:vertAlign w:val="subscript"/>
        </w:rPr>
        <w:t>1</w:t>
      </w:r>
      <w:r>
        <w:rPr>
          <w:rFonts w:hint="default" w:ascii="Times New Roman" w:hAnsi="Times New Roman" w:cs="Times New Roman"/>
        </w:rPr>
        <w:t>、R</w:t>
      </w:r>
      <w:r>
        <w:rPr>
          <w:rFonts w:hint="default" w:ascii="Times New Roman" w:hAnsi="Times New Roman" w:cs="Times New Roman"/>
          <w:vertAlign w:val="subscript"/>
        </w:rPr>
        <w:t>2</w:t>
      </w:r>
      <w:r>
        <w:rPr>
          <w:rFonts w:hint="default" w:ascii="Times New Roman" w:hAnsi="Times New Roman" w:cs="Times New Roman"/>
        </w:rPr>
        <w:t>为上述《容积率修正系数表》中所列的相邻容积率）时，按下列公式计算容积率修正系数（X）：</w:t>
      </w:r>
    </w:p>
    <w:p w14:paraId="3BCAF1B5">
      <w:pPr>
        <w:ind w:firstLine="576"/>
        <w:rPr>
          <w:rFonts w:hint="default" w:ascii="Times New Roman" w:hAnsi="Times New Roman" w:cs="Times New Roman"/>
          <w:spacing w:val="8"/>
        </w:rPr>
      </w:pPr>
      <w:r>
        <w:rPr>
          <w:rFonts w:hint="default" w:ascii="Times New Roman" w:hAnsi="Times New Roman" w:cs="Times New Roman"/>
          <w:spacing w:val="8"/>
        </w:rPr>
        <w:t>X=X</w:t>
      </w:r>
      <w:r>
        <w:rPr>
          <w:rFonts w:hint="default" w:ascii="Times New Roman" w:hAnsi="Times New Roman" w:cs="Times New Roman"/>
          <w:spacing w:val="8"/>
          <w:vertAlign w:val="subscript"/>
        </w:rPr>
        <w:t>1</w:t>
      </w:r>
      <w:r>
        <w:rPr>
          <w:rFonts w:hint="default" w:ascii="Times New Roman" w:hAnsi="Times New Roman" w:cs="Times New Roman"/>
          <w:spacing w:val="8"/>
        </w:rPr>
        <w:t>+（X</w:t>
      </w:r>
      <w:r>
        <w:rPr>
          <w:rFonts w:hint="default" w:ascii="Times New Roman" w:hAnsi="Times New Roman" w:cs="Times New Roman"/>
          <w:spacing w:val="8"/>
          <w:vertAlign w:val="subscript"/>
        </w:rPr>
        <w:t>2</w:t>
      </w:r>
      <w:r>
        <w:rPr>
          <w:rFonts w:hint="default" w:ascii="Times New Roman" w:hAnsi="Times New Roman" w:cs="Times New Roman"/>
          <w:spacing w:val="8"/>
        </w:rPr>
        <w:t>-X</w:t>
      </w:r>
      <w:r>
        <w:rPr>
          <w:rFonts w:hint="default" w:ascii="Times New Roman" w:hAnsi="Times New Roman" w:cs="Times New Roman"/>
          <w:spacing w:val="8"/>
          <w:vertAlign w:val="subscript"/>
        </w:rPr>
        <w:t>1</w:t>
      </w:r>
      <w:r>
        <w:rPr>
          <w:rFonts w:hint="default" w:ascii="Times New Roman" w:hAnsi="Times New Roman" w:cs="Times New Roman"/>
          <w:spacing w:val="8"/>
        </w:rPr>
        <w:t>）×（R-R</w:t>
      </w:r>
      <w:r>
        <w:rPr>
          <w:rFonts w:hint="default" w:ascii="Times New Roman" w:hAnsi="Times New Roman" w:cs="Times New Roman"/>
          <w:spacing w:val="8"/>
          <w:vertAlign w:val="subscript"/>
        </w:rPr>
        <w:t>1</w:t>
      </w:r>
      <w:r>
        <w:rPr>
          <w:rFonts w:hint="default" w:ascii="Times New Roman" w:hAnsi="Times New Roman" w:cs="Times New Roman"/>
          <w:spacing w:val="8"/>
        </w:rPr>
        <w:t>）/（R</w:t>
      </w:r>
      <w:r>
        <w:rPr>
          <w:rFonts w:hint="default" w:ascii="Times New Roman" w:hAnsi="Times New Roman" w:cs="Times New Roman"/>
          <w:spacing w:val="8"/>
          <w:vertAlign w:val="subscript"/>
        </w:rPr>
        <w:t>2</w:t>
      </w:r>
      <w:r>
        <w:rPr>
          <w:rFonts w:hint="default" w:ascii="Times New Roman" w:hAnsi="Times New Roman" w:cs="Times New Roman"/>
          <w:spacing w:val="8"/>
        </w:rPr>
        <w:t>-R</w:t>
      </w:r>
      <w:r>
        <w:rPr>
          <w:rFonts w:hint="default" w:ascii="Times New Roman" w:hAnsi="Times New Roman" w:cs="Times New Roman"/>
          <w:spacing w:val="8"/>
          <w:vertAlign w:val="subscript"/>
        </w:rPr>
        <w:t>1</w:t>
      </w:r>
      <w:r>
        <w:rPr>
          <w:rFonts w:hint="default" w:ascii="Times New Roman" w:hAnsi="Times New Roman" w:cs="Times New Roman"/>
          <w:spacing w:val="8"/>
        </w:rPr>
        <w:t>）</w:t>
      </w:r>
    </w:p>
    <w:p w14:paraId="16B86F1C">
      <w:pPr>
        <w:ind w:firstLine="576"/>
        <w:rPr>
          <w:rFonts w:hint="default" w:ascii="Times New Roman" w:hAnsi="Times New Roman" w:cs="Times New Roman"/>
          <w:spacing w:val="8"/>
        </w:rPr>
      </w:pPr>
      <w:r>
        <w:rPr>
          <w:rFonts w:hint="default" w:ascii="Times New Roman" w:hAnsi="Times New Roman" w:cs="Times New Roman"/>
          <w:spacing w:val="8"/>
        </w:rPr>
        <w:t>X</w:t>
      </w:r>
      <w:r>
        <w:rPr>
          <w:rFonts w:hint="default" w:ascii="Times New Roman" w:hAnsi="Times New Roman" w:cs="Times New Roman"/>
          <w:spacing w:val="8"/>
          <w:vertAlign w:val="subscript"/>
        </w:rPr>
        <w:t>1</w:t>
      </w:r>
      <w:r>
        <w:rPr>
          <w:rFonts w:hint="default" w:ascii="Times New Roman" w:hAnsi="Times New Roman" w:cs="Times New Roman"/>
          <w:spacing w:val="8"/>
        </w:rPr>
        <w:t>、X</w:t>
      </w:r>
      <w:r>
        <w:rPr>
          <w:rFonts w:hint="default" w:ascii="Times New Roman" w:hAnsi="Times New Roman" w:cs="Times New Roman"/>
          <w:spacing w:val="8"/>
          <w:vertAlign w:val="subscript"/>
        </w:rPr>
        <w:t>2</w:t>
      </w:r>
      <w:r>
        <w:rPr>
          <w:rFonts w:hint="default" w:ascii="Times New Roman" w:hAnsi="Times New Roman" w:cs="Times New Roman"/>
          <w:spacing w:val="8"/>
        </w:rPr>
        <w:t>为R</w:t>
      </w:r>
      <w:r>
        <w:rPr>
          <w:rFonts w:hint="default" w:ascii="Times New Roman" w:hAnsi="Times New Roman" w:cs="Times New Roman"/>
          <w:spacing w:val="8"/>
          <w:vertAlign w:val="subscript"/>
        </w:rPr>
        <w:t>1</w:t>
      </w:r>
      <w:r>
        <w:rPr>
          <w:rFonts w:hint="default" w:ascii="Times New Roman" w:hAnsi="Times New Roman" w:cs="Times New Roman"/>
          <w:spacing w:val="8"/>
        </w:rPr>
        <w:t>、R</w:t>
      </w:r>
      <w:r>
        <w:rPr>
          <w:rFonts w:hint="default" w:ascii="Times New Roman" w:hAnsi="Times New Roman" w:cs="Times New Roman"/>
          <w:spacing w:val="8"/>
          <w:vertAlign w:val="subscript"/>
        </w:rPr>
        <w:t>2</w:t>
      </w:r>
      <w:r>
        <w:rPr>
          <w:rFonts w:hint="default" w:ascii="Times New Roman" w:hAnsi="Times New Roman" w:cs="Times New Roman"/>
          <w:spacing w:val="8"/>
        </w:rPr>
        <w:t>所对应的容积率修正系数。</w:t>
      </w:r>
    </w:p>
    <w:p w14:paraId="41937618">
      <w:pPr>
        <w:ind w:firstLine="640" w:firstLineChars="200"/>
        <w:rPr>
          <w:rFonts w:hint="default" w:ascii="Times New Roman" w:hAnsi="Times New Roman" w:cs="Times New Roman"/>
        </w:rPr>
      </w:pPr>
      <w:r>
        <w:rPr>
          <w:rFonts w:hint="default" w:ascii="Times New Roman" w:hAnsi="Times New Roman" w:cs="Times New Roman"/>
        </w:rPr>
        <w:t>6.土地开发程度修正值的确定</w:t>
      </w:r>
    </w:p>
    <w:p w14:paraId="2E35936F">
      <w:pPr>
        <w:ind w:firstLine="640" w:firstLineChars="200"/>
        <w:rPr>
          <w:rFonts w:hint="default" w:ascii="Times New Roman" w:hAnsi="Times New Roman" w:cs="Times New Roman"/>
        </w:rPr>
      </w:pPr>
      <w:r>
        <w:rPr>
          <w:rFonts w:hint="default" w:ascii="Times New Roman" w:hAnsi="Times New Roman" w:cs="Times New Roman"/>
        </w:rPr>
        <w:t>当宗地的土地开发程度与基准地价设定的土地开发程度不一致时，应根据《土地开发程度修正值表》确定开发程度修正值。</w:t>
      </w:r>
    </w:p>
    <w:p w14:paraId="08E27E53">
      <w:pPr>
        <w:ind w:firstLine="640" w:firstLineChars="200"/>
        <w:rPr>
          <w:rFonts w:hint="default" w:ascii="Times New Roman" w:hAnsi="Times New Roman" w:cs="Times New Roman"/>
        </w:rPr>
      </w:pPr>
      <w:r>
        <w:rPr>
          <w:rFonts w:hint="default" w:ascii="Times New Roman" w:hAnsi="Times New Roman" w:cs="Times New Roman"/>
        </w:rPr>
        <w:t>《土地开发程度修正值表》中的土地开发程度修正值为土地面积单价，应用中应按下列公式换算为建筑面积单价：</w:t>
      </w:r>
    </w:p>
    <w:p w14:paraId="72A089EF">
      <w:pPr>
        <w:ind w:firstLine="640" w:firstLineChars="200"/>
        <w:rPr>
          <w:rFonts w:hint="default" w:ascii="Times New Roman" w:hAnsi="Times New Roman" w:cs="Times New Roman"/>
        </w:rPr>
      </w:pPr>
      <w:r>
        <w:rPr>
          <w:rFonts w:hint="default" w:ascii="Times New Roman" w:hAnsi="Times New Roman" w:cs="Times New Roman"/>
        </w:rPr>
        <w:t>宗地地上计容部分的土地开发程度修正值（建筑面积单价）=土地开发程度修正值（土地面积单价）÷宗地容积率</w:t>
      </w:r>
    </w:p>
    <w:p w14:paraId="66D385FB">
      <w:pPr>
        <w:ind w:firstLine="640" w:firstLineChars="200"/>
        <w:rPr>
          <w:rFonts w:hint="default" w:ascii="Times New Roman" w:hAnsi="Times New Roman" w:cs="Times New Roman"/>
        </w:rPr>
      </w:pPr>
      <w:r>
        <w:rPr>
          <w:rFonts w:hint="default" w:ascii="Times New Roman" w:hAnsi="Times New Roman" w:cs="Times New Roman"/>
        </w:rPr>
        <w:t>宗地地下不计容部分的土地开发程度修正值（建筑面积单价）=土地开发程度修正值（土地面积单价）÷（宗地地下不计容建筑面积÷宗地土地面积）</w:t>
      </w:r>
    </w:p>
    <w:p w14:paraId="53225509">
      <w:pPr>
        <w:adjustRightInd w:val="0"/>
        <w:snapToGrid w:val="0"/>
        <w:ind w:firstLine="640" w:firstLineChars="200"/>
        <w:rPr>
          <w:rFonts w:hint="default" w:ascii="Times New Roman" w:hAnsi="Times New Roman" w:cs="Times New Roman"/>
        </w:rPr>
      </w:pPr>
      <w:r>
        <w:rPr>
          <w:rFonts w:hint="default" w:ascii="Times New Roman" w:hAnsi="Times New Roman" w:cs="Times New Roman"/>
        </w:rPr>
        <w:t>宗地同时具有地上计容部分和地下不计容部分的，评估时只计算宗地地上计容部分的土地开发程度修正值，地下不计容部分的土地开发程度不作修正。</w:t>
      </w:r>
    </w:p>
    <w:p w14:paraId="4214BB19">
      <w:pPr>
        <w:adjustRightInd w:val="0"/>
        <w:snapToGrid w:val="0"/>
        <w:ind w:firstLine="640" w:firstLineChars="200"/>
        <w:rPr>
          <w:rFonts w:hint="default" w:ascii="Times New Roman" w:hAnsi="Times New Roman" w:cs="Times New Roman"/>
        </w:rPr>
      </w:pPr>
      <w:r>
        <w:rPr>
          <w:rFonts w:hint="default" w:ascii="Times New Roman" w:hAnsi="Times New Roman" w:cs="Times New Roman"/>
        </w:rPr>
        <w:t>7.区域和个别因素修正系数的确定</w:t>
      </w:r>
    </w:p>
    <w:p w14:paraId="176BB4DA">
      <w:pPr>
        <w:adjustRightInd w:val="0"/>
        <w:snapToGrid w:val="0"/>
        <w:ind w:firstLine="640" w:firstLineChars="200"/>
        <w:rPr>
          <w:rFonts w:hint="default" w:ascii="Times New Roman" w:hAnsi="Times New Roman" w:cs="Times New Roman"/>
        </w:rPr>
      </w:pPr>
      <w:r>
        <w:rPr>
          <w:rFonts w:hint="default" w:ascii="Times New Roman" w:hAnsi="Times New Roman" w:cs="Times New Roman"/>
        </w:rPr>
        <w:t>区域和个别因素修正系数=1+</w:t>
      </w:r>
      <w:r>
        <w:rPr>
          <w:rFonts w:hint="default" w:ascii="Times New Roman" w:hAnsi="Times New Roman" w:cs="Times New Roman"/>
        </w:rPr>
        <w:fldChar w:fldCharType="begin"/>
      </w:r>
      <w:r>
        <w:rPr>
          <w:rFonts w:hint="default" w:ascii="Times New Roman" w:hAnsi="Times New Roman" w:cs="Times New Roman"/>
        </w:rPr>
        <w:instrText xml:space="preserve"> QUOTE </w:instrText>
      </w:r>
      <w:r>
        <w:rPr>
          <w:rFonts w:hint="default" w:ascii="Times New Roman" w:hAnsi="Times New Roman" w:cs="Times New Roman"/>
          <w:position w:val="-8"/>
        </w:rPr>
        <w:pict>
          <v:shape id="_x0000_i1027" o:spt="75" type="#_x0000_t75" style="height:18.85pt;width:48.95pt;" filled="f" o:preferrelative="t" stroked="f" coordsize="21600,21600" equationxml="&lt;">
            <v:path/>
            <v:fill on="f" focussize="0,0"/>
            <v:stroke on="f" joinstyle="miter"/>
            <v:imagedata r:id="rId11" chromakey="#FFFFFF" o:title=""/>
            <o:lock v:ext="edit" aspectratio="t"/>
            <w10:wrap type="none"/>
            <w10:anchorlock/>
          </v:shape>
        </w:pict>
      </w:r>
      <w:r>
        <w:rPr>
          <w:rFonts w:hint="default" w:ascii="Times New Roman" w:hAnsi="Times New Roman" w:cs="Times New Roman"/>
        </w:rPr>
        <w:fldChar w:fldCharType="separate"/>
      </w:r>
      <w:r>
        <w:rPr>
          <w:rFonts w:hint="default" w:ascii="Times New Roman" w:hAnsi="Times New Roman" w:cs="Times New Roman"/>
          <w:position w:val="-8"/>
        </w:rPr>
        <w:pict>
          <v:shape id="_x0000_i1028" o:spt="75" type="#_x0000_t75" style="height:18.85pt;width:48.95pt;" filled="f" o:preferrelative="t" stroked="f" coordsize="21600,21600" equationxml="&lt;">
            <v:path/>
            <v:fill on="f" focussize="0,0"/>
            <v:stroke on="f" joinstyle="miter"/>
            <v:imagedata r:id="rId11" chromakey="#FFFFFF" o:title=""/>
            <o:lock v:ext="edit" aspectratio="t"/>
            <w10:wrap type="none"/>
            <w10:anchorlock/>
          </v:shape>
        </w:pict>
      </w:r>
      <w:r>
        <w:rPr>
          <w:rFonts w:hint="default" w:ascii="Times New Roman" w:hAnsi="Times New Roman" w:cs="Times New Roman"/>
        </w:rPr>
        <w:fldChar w:fldCharType="end"/>
      </w:r>
    </w:p>
    <w:p w14:paraId="36CDB830">
      <w:pPr>
        <w:adjustRightInd w:val="0"/>
        <w:snapToGrid w:val="0"/>
        <w:ind w:firstLine="640" w:firstLineChars="200"/>
        <w:rPr>
          <w:rFonts w:hint="default" w:ascii="Times New Roman" w:hAnsi="Times New Roman" w:cs="Times New Roman"/>
        </w:rPr>
      </w:pPr>
      <w:r>
        <w:rPr>
          <w:rFonts w:hint="default" w:ascii="Times New Roman" w:hAnsi="Times New Roman" w:cs="Times New Roman"/>
        </w:rPr>
        <w:t>按照《区域和个别因素修正系数表》，根据宗地各种因素情况确定每种因素的修正系数，应用上述公式测算宗地的区域和个别因素修正系数。K</w:t>
      </w:r>
      <w:r>
        <w:rPr>
          <w:rFonts w:hint="default" w:ascii="Times New Roman" w:hAnsi="Times New Roman" w:cs="Times New Roman"/>
          <w:vertAlign w:val="subscript"/>
        </w:rPr>
        <w:t>i</w:t>
      </w:r>
      <w:r>
        <w:rPr>
          <w:rFonts w:hint="default" w:ascii="Times New Roman" w:hAnsi="Times New Roman" w:cs="Times New Roman"/>
        </w:rPr>
        <w:t>为第i种因素的修正系数。</w:t>
      </w:r>
    </w:p>
    <w:p w14:paraId="6CF094A8">
      <w:pPr>
        <w:adjustRightInd w:val="0"/>
        <w:snapToGrid w:val="0"/>
        <w:ind w:firstLine="480"/>
        <w:rPr>
          <w:rFonts w:hint="default" w:ascii="Times New Roman" w:hAnsi="Times New Roman" w:cs="Times New Roman"/>
          <w:sz w:val="24"/>
          <w:szCs w:val="24"/>
        </w:rPr>
      </w:pPr>
    </w:p>
    <w:p w14:paraId="48154819">
      <w:pPr>
        <w:adjustRightInd w:val="0"/>
        <w:snapToGrid w:val="0"/>
        <w:ind w:firstLine="480"/>
        <w:rPr>
          <w:rFonts w:hint="default" w:ascii="Times New Roman" w:hAnsi="Times New Roman" w:cs="Times New Roman"/>
          <w:sz w:val="24"/>
          <w:szCs w:val="24"/>
        </w:rPr>
      </w:pPr>
    </w:p>
    <w:p w14:paraId="0B99409D">
      <w:pPr>
        <w:adjustRightInd w:val="0"/>
        <w:snapToGrid w:val="0"/>
        <w:ind w:firstLine="640" w:firstLineChars="200"/>
        <w:rPr>
          <w:rFonts w:hint="default" w:ascii="Times New Roman" w:hAnsi="Times New Roman" w:cs="Times New Roman"/>
          <w:szCs w:val="22"/>
        </w:rPr>
      </w:pPr>
      <w:r>
        <w:rPr>
          <w:rFonts w:hint="default" w:ascii="Times New Roman" w:hAnsi="Times New Roman" w:cs="Times New Roman"/>
          <w:szCs w:val="22"/>
        </w:rPr>
        <w:t>附表：4.1土地用途修正系数表</w:t>
      </w:r>
    </w:p>
    <w:p w14:paraId="288906A1">
      <w:pPr>
        <w:adjustRightInd w:val="0"/>
        <w:snapToGrid w:val="0"/>
        <w:ind w:firstLine="640" w:firstLineChars="200"/>
        <w:rPr>
          <w:rFonts w:hint="default" w:ascii="Times New Roman" w:hAnsi="Times New Roman" w:cs="Times New Roman"/>
          <w:szCs w:val="22"/>
        </w:rPr>
      </w:pPr>
      <w:r>
        <w:rPr>
          <w:rFonts w:hint="default" w:ascii="Times New Roman" w:hAnsi="Times New Roman" w:cs="Times New Roman"/>
          <w:szCs w:val="22"/>
        </w:rPr>
        <w:t xml:space="preserve">      4.2容积率修正系数表</w:t>
      </w:r>
    </w:p>
    <w:p w14:paraId="5A9B7252">
      <w:pPr>
        <w:adjustRightInd w:val="0"/>
        <w:snapToGrid w:val="0"/>
        <w:ind w:firstLine="640" w:firstLineChars="200"/>
        <w:rPr>
          <w:rFonts w:hint="default" w:ascii="Times New Roman" w:hAnsi="Times New Roman" w:cs="Times New Roman"/>
          <w:szCs w:val="22"/>
        </w:rPr>
      </w:pPr>
      <w:r>
        <w:rPr>
          <w:rFonts w:hint="default" w:ascii="Times New Roman" w:hAnsi="Times New Roman" w:cs="Times New Roman"/>
          <w:szCs w:val="22"/>
        </w:rPr>
        <w:t xml:space="preserve">      4.3地下空间修正系数表</w:t>
      </w:r>
    </w:p>
    <w:p w14:paraId="7E3A8305">
      <w:pPr>
        <w:adjustRightInd w:val="0"/>
        <w:snapToGrid w:val="0"/>
        <w:ind w:firstLine="1600" w:firstLineChars="500"/>
        <w:rPr>
          <w:rFonts w:hint="default" w:ascii="Times New Roman" w:hAnsi="Times New Roman" w:cs="Times New Roman"/>
          <w:szCs w:val="22"/>
        </w:rPr>
      </w:pPr>
      <w:r>
        <w:rPr>
          <w:rFonts w:hint="default" w:ascii="Times New Roman" w:hAnsi="Times New Roman" w:cs="Times New Roman"/>
          <w:szCs w:val="22"/>
        </w:rPr>
        <w:t>4.4土地开发程度修正值表</w:t>
      </w:r>
    </w:p>
    <w:p w14:paraId="19683059">
      <w:pPr>
        <w:adjustRightInd w:val="0"/>
        <w:snapToGrid w:val="0"/>
        <w:ind w:firstLine="1600" w:firstLineChars="500"/>
        <w:rPr>
          <w:rFonts w:hint="default" w:ascii="Times New Roman" w:hAnsi="Times New Roman" w:cs="Times New Roman"/>
          <w:szCs w:val="22"/>
        </w:rPr>
      </w:pPr>
      <w:r>
        <w:rPr>
          <w:rFonts w:hint="default" w:ascii="Times New Roman" w:hAnsi="Times New Roman" w:cs="Times New Roman"/>
          <w:szCs w:val="22"/>
        </w:rPr>
        <w:t>4.5区域和个别因素修正系数表</w:t>
      </w:r>
    </w:p>
    <w:p w14:paraId="3F80075A">
      <w:pPr>
        <w:adjustRightInd w:val="0"/>
        <w:snapToGrid w:val="0"/>
        <w:ind w:firstLine="640" w:firstLineChars="200"/>
        <w:rPr>
          <w:rFonts w:hint="default" w:ascii="Times New Roman" w:hAnsi="Times New Roman" w:cs="Times New Roman"/>
          <w:szCs w:val="22"/>
        </w:rPr>
        <w:sectPr>
          <w:pgSz w:w="11907" w:h="16840"/>
          <w:pgMar w:top="1962" w:right="1474" w:bottom="1848" w:left="1587" w:header="851" w:footer="1077" w:gutter="0"/>
          <w:pgNumType w:fmt="decimal"/>
          <w:cols w:space="720" w:num="1"/>
          <w:rtlGutter w:val="0"/>
          <w:docGrid w:linePitch="381" w:charSpace="0"/>
        </w:sectPr>
      </w:pPr>
    </w:p>
    <w:p w14:paraId="3366F77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r>
        <w:rPr>
          <w:rFonts w:hint="default" w:ascii="Times New Roman" w:hAnsi="Times New Roman" w:eastAsia="方正黑体_GBK" w:cs="Times New Roman"/>
          <w:bCs/>
          <w:sz w:val="32"/>
          <w:szCs w:val="32"/>
          <w:u w:val="none"/>
          <w:lang w:val="en-US" w:eastAsia="zh-CN"/>
        </w:rPr>
        <w:t>附表4.1</w:t>
      </w:r>
    </w:p>
    <w:p w14:paraId="441DC6E4">
      <w:pPr>
        <w:keepNext/>
        <w:adjustRightInd w:val="0"/>
        <w:snapToGrid w:val="0"/>
        <w:spacing w:line="360" w:lineRule="auto"/>
        <w:ind w:firstLine="360"/>
        <w:jc w:val="center"/>
        <w:rPr>
          <w:rFonts w:hint="default" w:ascii="Times New Roman" w:hAnsi="Times New Roman" w:cs="Times New Roman"/>
          <w:sz w:val="24"/>
          <w:szCs w:val="24"/>
        </w:rPr>
      </w:pPr>
      <w:r>
        <w:rPr>
          <w:rFonts w:hint="default" w:ascii="Times New Roman" w:hAnsi="Times New Roman" w:eastAsia="黑体" w:cs="Times New Roman"/>
          <w:sz w:val="24"/>
          <w:szCs w:val="24"/>
        </w:rPr>
        <w:t>土地用途修正系数表</w:t>
      </w:r>
    </w:p>
    <w:tbl>
      <w:tblPr>
        <w:tblStyle w:val="10"/>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22"/>
        <w:gridCol w:w="5333"/>
        <w:gridCol w:w="1116"/>
      </w:tblGrid>
      <w:tr w14:paraId="62294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Align w:val="center"/>
          </w:tcPr>
          <w:p w14:paraId="36BF2619">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用途</w:t>
            </w:r>
          </w:p>
        </w:tc>
        <w:tc>
          <w:tcPr>
            <w:tcW w:w="1322" w:type="dxa"/>
            <w:vAlign w:val="center"/>
          </w:tcPr>
          <w:p w14:paraId="3695FF28">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用途类别划分</w:t>
            </w:r>
          </w:p>
        </w:tc>
        <w:tc>
          <w:tcPr>
            <w:tcW w:w="5333" w:type="dxa"/>
            <w:vAlign w:val="center"/>
          </w:tcPr>
          <w:p w14:paraId="00CB0924">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范围</w:t>
            </w:r>
          </w:p>
        </w:tc>
        <w:tc>
          <w:tcPr>
            <w:tcW w:w="1116" w:type="dxa"/>
            <w:vAlign w:val="center"/>
          </w:tcPr>
          <w:p w14:paraId="6C7DF789">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用途修正系数</w:t>
            </w:r>
          </w:p>
        </w:tc>
      </w:tr>
      <w:tr w14:paraId="6EED9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restart"/>
            <w:vAlign w:val="center"/>
          </w:tcPr>
          <w:p w14:paraId="005EAADC">
            <w:pPr>
              <w:pStyle w:val="4"/>
              <w:rPr>
                <w:rFonts w:hint="default" w:ascii="Times New Roman" w:hAnsi="Times New Roman" w:cs="Times New Roman"/>
                <w:color w:val="auto"/>
              </w:rPr>
            </w:pPr>
            <w:r>
              <w:rPr>
                <w:rFonts w:hint="default" w:ascii="Times New Roman" w:hAnsi="Times New Roman" w:cs="Times New Roman"/>
                <w:color w:val="auto"/>
              </w:rPr>
              <w:t>商服用地</w:t>
            </w:r>
          </w:p>
        </w:tc>
        <w:tc>
          <w:tcPr>
            <w:tcW w:w="1322" w:type="dxa"/>
            <w:vAlign w:val="center"/>
          </w:tcPr>
          <w:p w14:paraId="32595429">
            <w:pPr>
              <w:pStyle w:val="4"/>
              <w:rPr>
                <w:rFonts w:hint="default" w:ascii="Times New Roman" w:hAnsi="Times New Roman" w:cs="Times New Roman"/>
                <w:color w:val="auto"/>
              </w:rPr>
            </w:pPr>
            <w:r>
              <w:rPr>
                <w:rFonts w:hint="default" w:ascii="Times New Roman" w:hAnsi="Times New Roman" w:cs="Times New Roman"/>
                <w:color w:val="auto"/>
              </w:rPr>
              <w:t>基准类别</w:t>
            </w:r>
          </w:p>
        </w:tc>
        <w:tc>
          <w:tcPr>
            <w:tcW w:w="5333" w:type="dxa"/>
            <w:vAlign w:val="center"/>
          </w:tcPr>
          <w:p w14:paraId="1C093F35">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sz w:val="18"/>
                <w:szCs w:val="18"/>
              </w:rPr>
              <w:t>零售商业用地（除加油、加气、充电站以外的用地）</w:t>
            </w:r>
          </w:p>
        </w:tc>
        <w:tc>
          <w:tcPr>
            <w:tcW w:w="1116" w:type="dxa"/>
            <w:vAlign w:val="center"/>
          </w:tcPr>
          <w:p w14:paraId="5A81ACA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45031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15B0A316">
            <w:pPr>
              <w:pStyle w:val="4"/>
              <w:rPr>
                <w:rFonts w:hint="default" w:ascii="Times New Roman" w:hAnsi="Times New Roman" w:cs="Times New Roman"/>
                <w:color w:val="auto"/>
              </w:rPr>
            </w:pPr>
          </w:p>
        </w:tc>
        <w:tc>
          <w:tcPr>
            <w:tcW w:w="1322" w:type="dxa"/>
            <w:vMerge w:val="restart"/>
            <w:vAlign w:val="center"/>
          </w:tcPr>
          <w:p w14:paraId="53A9138F">
            <w:pPr>
              <w:pStyle w:val="4"/>
              <w:rPr>
                <w:rFonts w:hint="default" w:ascii="Times New Roman" w:hAnsi="Times New Roman" w:cs="Times New Roman"/>
                <w:color w:val="auto"/>
              </w:rPr>
            </w:pPr>
            <w:r>
              <w:rPr>
                <w:rFonts w:hint="default" w:ascii="Times New Roman" w:hAnsi="Times New Roman" w:cs="Times New Roman"/>
                <w:color w:val="auto"/>
              </w:rPr>
              <w:t>其他类别</w:t>
            </w:r>
          </w:p>
        </w:tc>
        <w:tc>
          <w:tcPr>
            <w:tcW w:w="5333" w:type="dxa"/>
            <w:vAlign w:val="center"/>
          </w:tcPr>
          <w:p w14:paraId="404034AC">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零售商业用地（特指加油、加气、充换电站用地）</w:t>
            </w:r>
          </w:p>
        </w:tc>
        <w:tc>
          <w:tcPr>
            <w:tcW w:w="1116" w:type="dxa"/>
            <w:vAlign w:val="center"/>
          </w:tcPr>
          <w:p w14:paraId="53F54C3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r>
      <w:tr w14:paraId="3D75A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36321AB">
            <w:pPr>
              <w:pStyle w:val="4"/>
              <w:rPr>
                <w:rFonts w:hint="default" w:ascii="Times New Roman" w:hAnsi="Times New Roman" w:cs="Times New Roman"/>
                <w:color w:val="auto"/>
              </w:rPr>
            </w:pPr>
          </w:p>
        </w:tc>
        <w:tc>
          <w:tcPr>
            <w:tcW w:w="1322" w:type="dxa"/>
            <w:vMerge w:val="continue"/>
            <w:vAlign w:val="center"/>
          </w:tcPr>
          <w:p w14:paraId="48AB42FD">
            <w:pPr>
              <w:pStyle w:val="4"/>
              <w:rPr>
                <w:rFonts w:hint="default" w:ascii="Times New Roman" w:hAnsi="Times New Roman" w:cs="Times New Roman"/>
                <w:color w:val="auto"/>
              </w:rPr>
            </w:pPr>
          </w:p>
        </w:tc>
        <w:tc>
          <w:tcPr>
            <w:tcW w:w="5333" w:type="dxa"/>
            <w:vAlign w:val="center"/>
          </w:tcPr>
          <w:p w14:paraId="59EE54DC">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批发市场用地</w:t>
            </w:r>
          </w:p>
        </w:tc>
        <w:tc>
          <w:tcPr>
            <w:tcW w:w="1116" w:type="dxa"/>
            <w:vAlign w:val="center"/>
          </w:tcPr>
          <w:p w14:paraId="66EB45B2">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w:t>
            </w:r>
          </w:p>
        </w:tc>
      </w:tr>
      <w:tr w14:paraId="38C54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59691873">
            <w:pPr>
              <w:pStyle w:val="4"/>
              <w:rPr>
                <w:rFonts w:hint="default" w:ascii="Times New Roman" w:hAnsi="Times New Roman" w:cs="Times New Roman"/>
                <w:color w:val="auto"/>
              </w:rPr>
            </w:pPr>
          </w:p>
        </w:tc>
        <w:tc>
          <w:tcPr>
            <w:tcW w:w="1322" w:type="dxa"/>
            <w:vMerge w:val="continue"/>
            <w:vAlign w:val="center"/>
          </w:tcPr>
          <w:p w14:paraId="23475EB4">
            <w:pPr>
              <w:pStyle w:val="4"/>
              <w:rPr>
                <w:rFonts w:hint="default" w:ascii="Times New Roman" w:hAnsi="Times New Roman" w:cs="Times New Roman"/>
                <w:color w:val="auto"/>
              </w:rPr>
            </w:pPr>
          </w:p>
        </w:tc>
        <w:tc>
          <w:tcPr>
            <w:tcW w:w="5333" w:type="dxa"/>
            <w:vAlign w:val="center"/>
          </w:tcPr>
          <w:p w14:paraId="0A173C31">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餐饮用地</w:t>
            </w:r>
          </w:p>
        </w:tc>
        <w:tc>
          <w:tcPr>
            <w:tcW w:w="1116" w:type="dxa"/>
            <w:vAlign w:val="center"/>
          </w:tcPr>
          <w:p w14:paraId="710F2F1A">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w:t>
            </w:r>
          </w:p>
        </w:tc>
      </w:tr>
      <w:tr w14:paraId="3C01E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53289B08">
            <w:pPr>
              <w:pStyle w:val="4"/>
              <w:rPr>
                <w:rFonts w:hint="default" w:ascii="Times New Roman" w:hAnsi="Times New Roman" w:cs="Times New Roman"/>
                <w:color w:val="auto"/>
              </w:rPr>
            </w:pPr>
          </w:p>
        </w:tc>
        <w:tc>
          <w:tcPr>
            <w:tcW w:w="1322" w:type="dxa"/>
            <w:vMerge w:val="continue"/>
            <w:vAlign w:val="center"/>
          </w:tcPr>
          <w:p w14:paraId="11AB886C">
            <w:pPr>
              <w:pStyle w:val="4"/>
              <w:rPr>
                <w:rFonts w:hint="default" w:ascii="Times New Roman" w:hAnsi="Times New Roman" w:cs="Times New Roman"/>
                <w:color w:val="auto"/>
              </w:rPr>
            </w:pPr>
          </w:p>
        </w:tc>
        <w:tc>
          <w:tcPr>
            <w:tcW w:w="5333" w:type="dxa"/>
            <w:vAlign w:val="center"/>
          </w:tcPr>
          <w:p w14:paraId="5D536305">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旅馆用地</w:t>
            </w:r>
          </w:p>
        </w:tc>
        <w:tc>
          <w:tcPr>
            <w:tcW w:w="1116" w:type="dxa"/>
            <w:vAlign w:val="center"/>
          </w:tcPr>
          <w:p w14:paraId="288DC90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w:t>
            </w:r>
          </w:p>
        </w:tc>
      </w:tr>
      <w:tr w14:paraId="4AB40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71E7F3D">
            <w:pPr>
              <w:pStyle w:val="4"/>
              <w:rPr>
                <w:rFonts w:hint="default" w:ascii="Times New Roman" w:hAnsi="Times New Roman" w:cs="Times New Roman"/>
                <w:color w:val="auto"/>
              </w:rPr>
            </w:pPr>
          </w:p>
        </w:tc>
        <w:tc>
          <w:tcPr>
            <w:tcW w:w="1322" w:type="dxa"/>
            <w:vMerge w:val="continue"/>
            <w:vAlign w:val="center"/>
          </w:tcPr>
          <w:p w14:paraId="72226241">
            <w:pPr>
              <w:pStyle w:val="4"/>
              <w:rPr>
                <w:rFonts w:hint="default" w:ascii="Times New Roman" w:hAnsi="Times New Roman" w:cs="Times New Roman"/>
                <w:color w:val="auto"/>
              </w:rPr>
            </w:pPr>
          </w:p>
        </w:tc>
        <w:tc>
          <w:tcPr>
            <w:tcW w:w="5333" w:type="dxa"/>
            <w:vAlign w:val="center"/>
          </w:tcPr>
          <w:p w14:paraId="4094FBFB">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商务金融用地</w:t>
            </w:r>
          </w:p>
        </w:tc>
        <w:tc>
          <w:tcPr>
            <w:tcW w:w="1116" w:type="dxa"/>
            <w:vAlign w:val="center"/>
          </w:tcPr>
          <w:p w14:paraId="3B08174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w:t>
            </w:r>
          </w:p>
        </w:tc>
      </w:tr>
      <w:tr w14:paraId="3BEA5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509381BB">
            <w:pPr>
              <w:pStyle w:val="4"/>
              <w:rPr>
                <w:rFonts w:hint="default" w:ascii="Times New Roman" w:hAnsi="Times New Roman" w:cs="Times New Roman"/>
                <w:color w:val="auto"/>
              </w:rPr>
            </w:pPr>
          </w:p>
        </w:tc>
        <w:tc>
          <w:tcPr>
            <w:tcW w:w="1322" w:type="dxa"/>
            <w:vMerge w:val="continue"/>
            <w:vAlign w:val="center"/>
          </w:tcPr>
          <w:p w14:paraId="297578E6">
            <w:pPr>
              <w:pStyle w:val="4"/>
              <w:rPr>
                <w:rFonts w:hint="default" w:ascii="Times New Roman" w:hAnsi="Times New Roman" w:cs="Times New Roman"/>
                <w:color w:val="auto"/>
              </w:rPr>
            </w:pPr>
          </w:p>
        </w:tc>
        <w:tc>
          <w:tcPr>
            <w:tcW w:w="5333" w:type="dxa"/>
            <w:vAlign w:val="center"/>
          </w:tcPr>
          <w:p w14:paraId="2015E01B">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娱乐用地</w:t>
            </w:r>
          </w:p>
        </w:tc>
        <w:tc>
          <w:tcPr>
            <w:tcW w:w="1116" w:type="dxa"/>
            <w:vAlign w:val="center"/>
          </w:tcPr>
          <w:p w14:paraId="3B11625F">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w:t>
            </w:r>
          </w:p>
        </w:tc>
      </w:tr>
      <w:tr w14:paraId="5A58A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6D8296D8">
            <w:pPr>
              <w:pStyle w:val="4"/>
              <w:rPr>
                <w:rFonts w:hint="default" w:ascii="Times New Roman" w:hAnsi="Times New Roman" w:cs="Times New Roman"/>
                <w:color w:val="auto"/>
              </w:rPr>
            </w:pPr>
          </w:p>
        </w:tc>
        <w:tc>
          <w:tcPr>
            <w:tcW w:w="1322" w:type="dxa"/>
            <w:vMerge w:val="continue"/>
            <w:vAlign w:val="center"/>
          </w:tcPr>
          <w:p w14:paraId="3D568271">
            <w:pPr>
              <w:pStyle w:val="4"/>
              <w:rPr>
                <w:rFonts w:hint="default" w:ascii="Times New Roman" w:hAnsi="Times New Roman" w:cs="Times New Roman"/>
                <w:color w:val="auto"/>
              </w:rPr>
            </w:pPr>
          </w:p>
        </w:tc>
        <w:tc>
          <w:tcPr>
            <w:tcW w:w="5333" w:type="dxa"/>
            <w:vAlign w:val="center"/>
          </w:tcPr>
          <w:p w14:paraId="0D1B0F1C">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风景名胜设施用地</w:t>
            </w:r>
          </w:p>
        </w:tc>
        <w:tc>
          <w:tcPr>
            <w:tcW w:w="1116" w:type="dxa"/>
            <w:vAlign w:val="center"/>
          </w:tcPr>
          <w:p w14:paraId="0457987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w:t>
            </w:r>
          </w:p>
        </w:tc>
      </w:tr>
      <w:tr w14:paraId="3D506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517135D2">
            <w:pPr>
              <w:pStyle w:val="4"/>
              <w:rPr>
                <w:rFonts w:hint="default" w:ascii="Times New Roman" w:hAnsi="Times New Roman" w:cs="Times New Roman"/>
                <w:color w:val="auto"/>
              </w:rPr>
            </w:pPr>
          </w:p>
        </w:tc>
        <w:tc>
          <w:tcPr>
            <w:tcW w:w="1322" w:type="dxa"/>
            <w:vMerge w:val="continue"/>
            <w:vAlign w:val="center"/>
          </w:tcPr>
          <w:p w14:paraId="50F15ACF">
            <w:pPr>
              <w:pStyle w:val="4"/>
              <w:rPr>
                <w:rFonts w:hint="default" w:ascii="Times New Roman" w:hAnsi="Times New Roman" w:cs="Times New Roman"/>
                <w:color w:val="auto"/>
              </w:rPr>
            </w:pPr>
          </w:p>
        </w:tc>
        <w:tc>
          <w:tcPr>
            <w:tcW w:w="5333" w:type="dxa"/>
            <w:vAlign w:val="center"/>
          </w:tcPr>
          <w:p w14:paraId="3A901214">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殡葬用地</w:t>
            </w:r>
          </w:p>
        </w:tc>
        <w:tc>
          <w:tcPr>
            <w:tcW w:w="1116" w:type="dxa"/>
            <w:vAlign w:val="center"/>
          </w:tcPr>
          <w:p w14:paraId="2B3E13D1">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r>
      <w:tr w14:paraId="719D1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46C8FDA">
            <w:pPr>
              <w:pStyle w:val="4"/>
              <w:rPr>
                <w:rFonts w:hint="default" w:ascii="Times New Roman" w:hAnsi="Times New Roman" w:cs="Times New Roman"/>
                <w:color w:val="auto"/>
              </w:rPr>
            </w:pPr>
          </w:p>
        </w:tc>
        <w:tc>
          <w:tcPr>
            <w:tcW w:w="1322" w:type="dxa"/>
            <w:vMerge w:val="continue"/>
            <w:vAlign w:val="center"/>
          </w:tcPr>
          <w:p w14:paraId="31501989">
            <w:pPr>
              <w:pStyle w:val="4"/>
              <w:rPr>
                <w:rFonts w:hint="default" w:ascii="Times New Roman" w:hAnsi="Times New Roman" w:cs="Times New Roman"/>
                <w:color w:val="auto"/>
              </w:rPr>
            </w:pPr>
          </w:p>
        </w:tc>
        <w:tc>
          <w:tcPr>
            <w:tcW w:w="5333" w:type="dxa"/>
            <w:vAlign w:val="center"/>
          </w:tcPr>
          <w:p w14:paraId="33FC95A2">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其他商服用地</w:t>
            </w:r>
          </w:p>
        </w:tc>
        <w:tc>
          <w:tcPr>
            <w:tcW w:w="1116" w:type="dxa"/>
            <w:vAlign w:val="center"/>
          </w:tcPr>
          <w:p w14:paraId="29DA569D">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w:t>
            </w:r>
          </w:p>
        </w:tc>
      </w:tr>
      <w:tr w14:paraId="02C395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restart"/>
            <w:vAlign w:val="center"/>
          </w:tcPr>
          <w:p w14:paraId="69DA0E83">
            <w:pPr>
              <w:pStyle w:val="4"/>
              <w:rPr>
                <w:rFonts w:hint="default" w:ascii="Times New Roman" w:hAnsi="Times New Roman" w:cs="Times New Roman"/>
                <w:color w:val="auto"/>
              </w:rPr>
            </w:pPr>
            <w:r>
              <w:rPr>
                <w:rFonts w:hint="default" w:ascii="Times New Roman" w:hAnsi="Times New Roman" w:cs="Times New Roman"/>
                <w:color w:val="auto"/>
              </w:rPr>
              <w:t>工矿仓储用地</w:t>
            </w:r>
          </w:p>
        </w:tc>
        <w:tc>
          <w:tcPr>
            <w:tcW w:w="1322" w:type="dxa"/>
            <w:vAlign w:val="center"/>
          </w:tcPr>
          <w:p w14:paraId="794E79D6">
            <w:pPr>
              <w:pStyle w:val="4"/>
              <w:rPr>
                <w:rFonts w:hint="default" w:ascii="Times New Roman" w:hAnsi="Times New Roman" w:cs="Times New Roman"/>
                <w:color w:val="auto"/>
              </w:rPr>
            </w:pPr>
            <w:r>
              <w:rPr>
                <w:rFonts w:hint="default" w:ascii="Times New Roman" w:hAnsi="Times New Roman" w:cs="Times New Roman"/>
                <w:color w:val="auto"/>
              </w:rPr>
              <w:t>基准类别</w:t>
            </w:r>
          </w:p>
        </w:tc>
        <w:tc>
          <w:tcPr>
            <w:tcW w:w="5333" w:type="dxa"/>
            <w:vAlign w:val="center"/>
          </w:tcPr>
          <w:p w14:paraId="57963E9D">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工业用地</w:t>
            </w:r>
          </w:p>
        </w:tc>
        <w:tc>
          <w:tcPr>
            <w:tcW w:w="1116" w:type="dxa"/>
            <w:vAlign w:val="center"/>
          </w:tcPr>
          <w:p w14:paraId="731F3A3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70CF0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553BD022">
            <w:pPr>
              <w:pStyle w:val="4"/>
              <w:rPr>
                <w:rFonts w:hint="default" w:ascii="Times New Roman" w:hAnsi="Times New Roman" w:cs="Times New Roman"/>
                <w:color w:val="auto"/>
              </w:rPr>
            </w:pPr>
          </w:p>
        </w:tc>
        <w:tc>
          <w:tcPr>
            <w:tcW w:w="1322" w:type="dxa"/>
            <w:vMerge w:val="restart"/>
            <w:vAlign w:val="center"/>
          </w:tcPr>
          <w:p w14:paraId="1D288CFB">
            <w:pPr>
              <w:pStyle w:val="4"/>
              <w:rPr>
                <w:rFonts w:hint="default" w:ascii="Times New Roman" w:hAnsi="Times New Roman" w:cs="Times New Roman"/>
                <w:color w:val="auto"/>
              </w:rPr>
            </w:pPr>
            <w:r>
              <w:rPr>
                <w:rFonts w:hint="default" w:ascii="Times New Roman" w:hAnsi="Times New Roman" w:cs="Times New Roman"/>
                <w:color w:val="auto"/>
              </w:rPr>
              <w:t>其他类别</w:t>
            </w:r>
          </w:p>
        </w:tc>
        <w:tc>
          <w:tcPr>
            <w:tcW w:w="5333" w:type="dxa"/>
            <w:vAlign w:val="center"/>
          </w:tcPr>
          <w:p w14:paraId="5DB1B31B">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采矿用地</w:t>
            </w:r>
          </w:p>
        </w:tc>
        <w:tc>
          <w:tcPr>
            <w:tcW w:w="1116" w:type="dxa"/>
            <w:vAlign w:val="center"/>
          </w:tcPr>
          <w:p w14:paraId="292A0D83">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43D63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6A9693AA">
            <w:pPr>
              <w:pStyle w:val="4"/>
              <w:rPr>
                <w:rFonts w:hint="default" w:ascii="Times New Roman" w:hAnsi="Times New Roman" w:cs="Times New Roman"/>
                <w:color w:val="auto"/>
              </w:rPr>
            </w:pPr>
          </w:p>
        </w:tc>
        <w:tc>
          <w:tcPr>
            <w:tcW w:w="1322" w:type="dxa"/>
            <w:vMerge w:val="continue"/>
            <w:vAlign w:val="center"/>
          </w:tcPr>
          <w:p w14:paraId="5BF2E549">
            <w:pPr>
              <w:pStyle w:val="4"/>
              <w:rPr>
                <w:rFonts w:hint="default" w:ascii="Times New Roman" w:hAnsi="Times New Roman" w:cs="Times New Roman"/>
                <w:color w:val="auto"/>
              </w:rPr>
            </w:pPr>
          </w:p>
        </w:tc>
        <w:tc>
          <w:tcPr>
            <w:tcW w:w="5333" w:type="dxa"/>
            <w:vAlign w:val="center"/>
          </w:tcPr>
          <w:p w14:paraId="36530272">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仓储用地</w:t>
            </w:r>
          </w:p>
        </w:tc>
        <w:tc>
          <w:tcPr>
            <w:tcW w:w="1116" w:type="dxa"/>
            <w:vAlign w:val="center"/>
          </w:tcPr>
          <w:p w14:paraId="545AEE8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r>
      <w:tr w14:paraId="75626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7F29A32E">
            <w:pPr>
              <w:pStyle w:val="4"/>
              <w:rPr>
                <w:rFonts w:hint="default" w:ascii="Times New Roman" w:hAnsi="Times New Roman" w:cs="Times New Roman"/>
                <w:color w:val="auto"/>
              </w:rPr>
            </w:pPr>
          </w:p>
        </w:tc>
        <w:tc>
          <w:tcPr>
            <w:tcW w:w="1322" w:type="dxa"/>
            <w:vMerge w:val="continue"/>
            <w:vAlign w:val="center"/>
          </w:tcPr>
          <w:p w14:paraId="334F067A">
            <w:pPr>
              <w:pStyle w:val="4"/>
              <w:rPr>
                <w:rFonts w:hint="default" w:ascii="Times New Roman" w:hAnsi="Times New Roman" w:cs="Times New Roman"/>
                <w:color w:val="auto"/>
              </w:rPr>
            </w:pPr>
          </w:p>
        </w:tc>
        <w:tc>
          <w:tcPr>
            <w:tcW w:w="5333" w:type="dxa"/>
            <w:vAlign w:val="center"/>
          </w:tcPr>
          <w:p w14:paraId="66A5E90C">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交通运输用地（交通服务场站用地）</w:t>
            </w:r>
          </w:p>
        </w:tc>
        <w:tc>
          <w:tcPr>
            <w:tcW w:w="1116" w:type="dxa"/>
            <w:vAlign w:val="center"/>
          </w:tcPr>
          <w:p w14:paraId="4132E94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r>
      <w:tr w14:paraId="06B06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3BD88AF4">
            <w:pPr>
              <w:pStyle w:val="4"/>
              <w:rPr>
                <w:rFonts w:hint="default" w:ascii="Times New Roman" w:hAnsi="Times New Roman" w:cs="Times New Roman"/>
                <w:color w:val="auto"/>
              </w:rPr>
            </w:pPr>
          </w:p>
        </w:tc>
        <w:tc>
          <w:tcPr>
            <w:tcW w:w="1322" w:type="dxa"/>
            <w:vMerge w:val="continue"/>
            <w:vAlign w:val="center"/>
          </w:tcPr>
          <w:p w14:paraId="4BD35A0D">
            <w:pPr>
              <w:pStyle w:val="4"/>
              <w:rPr>
                <w:rFonts w:hint="default" w:ascii="Times New Roman" w:hAnsi="Times New Roman" w:cs="Times New Roman"/>
                <w:color w:val="auto"/>
              </w:rPr>
            </w:pPr>
          </w:p>
        </w:tc>
        <w:tc>
          <w:tcPr>
            <w:tcW w:w="5333" w:type="dxa"/>
            <w:vAlign w:val="center"/>
          </w:tcPr>
          <w:p w14:paraId="505A9D9A">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交通运输用地（除交通服务场站用地以外的交通运输用地）</w:t>
            </w:r>
          </w:p>
        </w:tc>
        <w:tc>
          <w:tcPr>
            <w:tcW w:w="1116" w:type="dxa"/>
            <w:vAlign w:val="center"/>
          </w:tcPr>
          <w:p w14:paraId="345DC33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0CC63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Align w:val="center"/>
          </w:tcPr>
          <w:p w14:paraId="507A0EF0">
            <w:pPr>
              <w:pStyle w:val="4"/>
              <w:rPr>
                <w:rFonts w:hint="default" w:ascii="Times New Roman" w:hAnsi="Times New Roman" w:cs="Times New Roman"/>
                <w:color w:val="auto"/>
              </w:rPr>
            </w:pPr>
            <w:r>
              <w:rPr>
                <w:rFonts w:hint="default" w:ascii="Times New Roman" w:hAnsi="Times New Roman" w:cs="Times New Roman"/>
                <w:color w:val="auto"/>
              </w:rPr>
              <w:t>住宅用地</w:t>
            </w:r>
          </w:p>
        </w:tc>
        <w:tc>
          <w:tcPr>
            <w:tcW w:w="1322" w:type="dxa"/>
            <w:vAlign w:val="center"/>
          </w:tcPr>
          <w:p w14:paraId="1EEF0406">
            <w:pPr>
              <w:pStyle w:val="4"/>
              <w:rPr>
                <w:rFonts w:hint="default" w:ascii="Times New Roman" w:hAnsi="Times New Roman" w:cs="Times New Roman"/>
                <w:color w:val="auto"/>
              </w:rPr>
            </w:pPr>
            <w:r>
              <w:rPr>
                <w:rFonts w:hint="default" w:ascii="Times New Roman" w:hAnsi="Times New Roman" w:cs="Times New Roman"/>
                <w:color w:val="auto"/>
              </w:rPr>
              <w:t>基准类别</w:t>
            </w:r>
          </w:p>
        </w:tc>
        <w:tc>
          <w:tcPr>
            <w:tcW w:w="5333" w:type="dxa"/>
            <w:vAlign w:val="center"/>
          </w:tcPr>
          <w:p w14:paraId="75F6BBEC">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城镇住宅用地</w:t>
            </w:r>
          </w:p>
        </w:tc>
        <w:tc>
          <w:tcPr>
            <w:tcW w:w="1116" w:type="dxa"/>
            <w:vAlign w:val="center"/>
          </w:tcPr>
          <w:p w14:paraId="14D15FA7">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0ACDE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restart"/>
            <w:vAlign w:val="center"/>
          </w:tcPr>
          <w:p w14:paraId="04E36705">
            <w:pPr>
              <w:pStyle w:val="4"/>
              <w:rPr>
                <w:rFonts w:hint="default" w:ascii="Times New Roman" w:hAnsi="Times New Roman" w:cs="Times New Roman"/>
                <w:color w:val="auto"/>
              </w:rPr>
            </w:pPr>
            <w:r>
              <w:rPr>
                <w:rFonts w:hint="default" w:ascii="Times New Roman" w:hAnsi="Times New Roman" w:cs="Times New Roman"/>
                <w:color w:val="auto"/>
              </w:rPr>
              <w:t>公共管理与公共服务用地</w:t>
            </w:r>
          </w:p>
        </w:tc>
        <w:tc>
          <w:tcPr>
            <w:tcW w:w="1322" w:type="dxa"/>
            <w:vAlign w:val="center"/>
          </w:tcPr>
          <w:p w14:paraId="4ECA7A60">
            <w:pPr>
              <w:pStyle w:val="4"/>
              <w:rPr>
                <w:rFonts w:hint="default" w:ascii="Times New Roman" w:hAnsi="Times New Roman" w:cs="Times New Roman"/>
                <w:color w:val="auto"/>
              </w:rPr>
            </w:pPr>
            <w:r>
              <w:rPr>
                <w:rFonts w:hint="default" w:ascii="Times New Roman" w:hAnsi="Times New Roman" w:cs="Times New Roman"/>
                <w:color w:val="auto"/>
              </w:rPr>
              <w:t>基准类别</w:t>
            </w:r>
          </w:p>
        </w:tc>
        <w:tc>
          <w:tcPr>
            <w:tcW w:w="5333" w:type="dxa"/>
            <w:vAlign w:val="center"/>
          </w:tcPr>
          <w:p w14:paraId="1F5F5CB4">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机关团体用地</w:t>
            </w:r>
          </w:p>
        </w:tc>
        <w:tc>
          <w:tcPr>
            <w:tcW w:w="1116" w:type="dxa"/>
            <w:vAlign w:val="center"/>
          </w:tcPr>
          <w:p w14:paraId="560E96E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0EF79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FCE7AF4">
            <w:pPr>
              <w:pStyle w:val="4"/>
              <w:rPr>
                <w:rFonts w:hint="default" w:ascii="Times New Roman" w:hAnsi="Times New Roman" w:cs="Times New Roman"/>
                <w:color w:val="auto"/>
              </w:rPr>
            </w:pPr>
          </w:p>
        </w:tc>
        <w:tc>
          <w:tcPr>
            <w:tcW w:w="1322" w:type="dxa"/>
            <w:vMerge w:val="restart"/>
            <w:vAlign w:val="center"/>
          </w:tcPr>
          <w:p w14:paraId="2CC88364">
            <w:pPr>
              <w:pStyle w:val="4"/>
              <w:rPr>
                <w:rFonts w:hint="default" w:ascii="Times New Roman" w:hAnsi="Times New Roman" w:cs="Times New Roman"/>
                <w:color w:val="auto"/>
              </w:rPr>
            </w:pPr>
            <w:r>
              <w:rPr>
                <w:rFonts w:hint="default" w:ascii="Times New Roman" w:hAnsi="Times New Roman" w:cs="Times New Roman"/>
                <w:color w:val="auto"/>
              </w:rPr>
              <w:t>其他类别</w:t>
            </w:r>
          </w:p>
        </w:tc>
        <w:tc>
          <w:tcPr>
            <w:tcW w:w="5333" w:type="dxa"/>
            <w:vAlign w:val="center"/>
          </w:tcPr>
          <w:p w14:paraId="2D7572CC">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科研用地</w:t>
            </w:r>
          </w:p>
        </w:tc>
        <w:tc>
          <w:tcPr>
            <w:tcW w:w="1116" w:type="dxa"/>
            <w:vAlign w:val="center"/>
          </w:tcPr>
          <w:p w14:paraId="72A605E9">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52A00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3BFC0EF3">
            <w:pPr>
              <w:pStyle w:val="4"/>
              <w:rPr>
                <w:rFonts w:hint="default" w:ascii="Times New Roman" w:hAnsi="Times New Roman" w:cs="Times New Roman"/>
                <w:color w:val="auto"/>
              </w:rPr>
            </w:pPr>
          </w:p>
        </w:tc>
        <w:tc>
          <w:tcPr>
            <w:tcW w:w="1322" w:type="dxa"/>
            <w:vMerge w:val="continue"/>
            <w:vAlign w:val="center"/>
          </w:tcPr>
          <w:p w14:paraId="33812159">
            <w:pPr>
              <w:pStyle w:val="4"/>
              <w:rPr>
                <w:rFonts w:hint="default" w:ascii="Times New Roman" w:hAnsi="Times New Roman" w:cs="Times New Roman"/>
                <w:color w:val="auto"/>
              </w:rPr>
            </w:pPr>
          </w:p>
        </w:tc>
        <w:tc>
          <w:tcPr>
            <w:tcW w:w="5333" w:type="dxa"/>
            <w:vAlign w:val="center"/>
          </w:tcPr>
          <w:p w14:paraId="1852071E">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文化用地</w:t>
            </w:r>
          </w:p>
        </w:tc>
        <w:tc>
          <w:tcPr>
            <w:tcW w:w="1116" w:type="dxa"/>
            <w:vAlign w:val="center"/>
          </w:tcPr>
          <w:p w14:paraId="7527932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w:t>
            </w:r>
          </w:p>
        </w:tc>
      </w:tr>
      <w:tr w14:paraId="4CF12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215285A6">
            <w:pPr>
              <w:pStyle w:val="4"/>
              <w:rPr>
                <w:rFonts w:hint="default" w:ascii="Times New Roman" w:hAnsi="Times New Roman" w:cs="Times New Roman"/>
                <w:color w:val="auto"/>
              </w:rPr>
            </w:pPr>
          </w:p>
        </w:tc>
        <w:tc>
          <w:tcPr>
            <w:tcW w:w="1322" w:type="dxa"/>
            <w:vMerge w:val="continue"/>
            <w:vAlign w:val="center"/>
          </w:tcPr>
          <w:p w14:paraId="5F312E71">
            <w:pPr>
              <w:pStyle w:val="4"/>
              <w:rPr>
                <w:rFonts w:hint="default" w:ascii="Times New Roman" w:hAnsi="Times New Roman" w:cs="Times New Roman"/>
                <w:color w:val="auto"/>
              </w:rPr>
            </w:pPr>
          </w:p>
        </w:tc>
        <w:tc>
          <w:tcPr>
            <w:tcW w:w="5333" w:type="dxa"/>
            <w:vAlign w:val="center"/>
          </w:tcPr>
          <w:p w14:paraId="3EB67E5E">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教育用地</w:t>
            </w:r>
          </w:p>
        </w:tc>
        <w:tc>
          <w:tcPr>
            <w:tcW w:w="1116" w:type="dxa"/>
            <w:vAlign w:val="center"/>
          </w:tcPr>
          <w:p w14:paraId="5C6BF10E">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r>
      <w:tr w14:paraId="3EF15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07CC6922">
            <w:pPr>
              <w:pStyle w:val="4"/>
              <w:rPr>
                <w:rFonts w:hint="default" w:ascii="Times New Roman" w:hAnsi="Times New Roman" w:cs="Times New Roman"/>
                <w:color w:val="auto"/>
              </w:rPr>
            </w:pPr>
          </w:p>
        </w:tc>
        <w:tc>
          <w:tcPr>
            <w:tcW w:w="1322" w:type="dxa"/>
            <w:vMerge w:val="continue"/>
            <w:vAlign w:val="center"/>
          </w:tcPr>
          <w:p w14:paraId="47881E04">
            <w:pPr>
              <w:pStyle w:val="4"/>
              <w:rPr>
                <w:rFonts w:hint="default" w:ascii="Times New Roman" w:hAnsi="Times New Roman" w:cs="Times New Roman"/>
                <w:color w:val="auto"/>
              </w:rPr>
            </w:pPr>
          </w:p>
        </w:tc>
        <w:tc>
          <w:tcPr>
            <w:tcW w:w="5333" w:type="dxa"/>
            <w:vAlign w:val="center"/>
          </w:tcPr>
          <w:p w14:paraId="14756703">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体育用地</w:t>
            </w:r>
          </w:p>
        </w:tc>
        <w:tc>
          <w:tcPr>
            <w:tcW w:w="1116" w:type="dxa"/>
            <w:vAlign w:val="center"/>
          </w:tcPr>
          <w:p w14:paraId="5425129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w:t>
            </w:r>
          </w:p>
        </w:tc>
      </w:tr>
      <w:tr w14:paraId="45674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B4002A9">
            <w:pPr>
              <w:pStyle w:val="4"/>
              <w:rPr>
                <w:rFonts w:hint="default" w:ascii="Times New Roman" w:hAnsi="Times New Roman" w:cs="Times New Roman"/>
                <w:color w:val="auto"/>
              </w:rPr>
            </w:pPr>
          </w:p>
        </w:tc>
        <w:tc>
          <w:tcPr>
            <w:tcW w:w="1322" w:type="dxa"/>
            <w:vMerge w:val="continue"/>
            <w:vAlign w:val="center"/>
          </w:tcPr>
          <w:p w14:paraId="19B65AE3">
            <w:pPr>
              <w:pStyle w:val="4"/>
              <w:rPr>
                <w:rFonts w:hint="default" w:ascii="Times New Roman" w:hAnsi="Times New Roman" w:cs="Times New Roman"/>
                <w:color w:val="auto"/>
              </w:rPr>
            </w:pPr>
          </w:p>
        </w:tc>
        <w:tc>
          <w:tcPr>
            <w:tcW w:w="5333" w:type="dxa"/>
            <w:vAlign w:val="center"/>
          </w:tcPr>
          <w:p w14:paraId="322848E8">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新闻出版用地</w:t>
            </w:r>
          </w:p>
        </w:tc>
        <w:tc>
          <w:tcPr>
            <w:tcW w:w="1116" w:type="dxa"/>
            <w:vAlign w:val="center"/>
          </w:tcPr>
          <w:p w14:paraId="640CCA48">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w:t>
            </w:r>
          </w:p>
        </w:tc>
      </w:tr>
      <w:tr w14:paraId="342AF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10026FB4">
            <w:pPr>
              <w:pStyle w:val="4"/>
              <w:rPr>
                <w:rFonts w:hint="default" w:ascii="Times New Roman" w:hAnsi="Times New Roman" w:cs="Times New Roman"/>
                <w:color w:val="auto"/>
              </w:rPr>
            </w:pPr>
          </w:p>
        </w:tc>
        <w:tc>
          <w:tcPr>
            <w:tcW w:w="1322" w:type="dxa"/>
            <w:vMerge w:val="continue"/>
            <w:vAlign w:val="center"/>
          </w:tcPr>
          <w:p w14:paraId="1ADF1DF8">
            <w:pPr>
              <w:pStyle w:val="4"/>
              <w:rPr>
                <w:rFonts w:hint="default" w:ascii="Times New Roman" w:hAnsi="Times New Roman" w:cs="Times New Roman"/>
                <w:color w:val="auto"/>
              </w:rPr>
            </w:pPr>
          </w:p>
        </w:tc>
        <w:tc>
          <w:tcPr>
            <w:tcW w:w="5333" w:type="dxa"/>
            <w:vAlign w:val="center"/>
          </w:tcPr>
          <w:p w14:paraId="01E1ED1F">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医疗卫生用地</w:t>
            </w:r>
          </w:p>
        </w:tc>
        <w:tc>
          <w:tcPr>
            <w:tcW w:w="1116" w:type="dxa"/>
            <w:vAlign w:val="center"/>
          </w:tcPr>
          <w:p w14:paraId="5C248E56">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r>
      <w:tr w14:paraId="2F859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0623CA2D">
            <w:pPr>
              <w:pStyle w:val="4"/>
              <w:rPr>
                <w:rFonts w:hint="default" w:ascii="Times New Roman" w:hAnsi="Times New Roman" w:cs="Times New Roman"/>
                <w:color w:val="auto"/>
              </w:rPr>
            </w:pPr>
          </w:p>
        </w:tc>
        <w:tc>
          <w:tcPr>
            <w:tcW w:w="1322" w:type="dxa"/>
            <w:vMerge w:val="continue"/>
            <w:vAlign w:val="center"/>
          </w:tcPr>
          <w:p w14:paraId="45ADF70A">
            <w:pPr>
              <w:pStyle w:val="4"/>
              <w:rPr>
                <w:rFonts w:hint="default" w:ascii="Times New Roman" w:hAnsi="Times New Roman" w:cs="Times New Roman"/>
                <w:color w:val="auto"/>
              </w:rPr>
            </w:pPr>
          </w:p>
        </w:tc>
        <w:tc>
          <w:tcPr>
            <w:tcW w:w="5333" w:type="dxa"/>
            <w:vAlign w:val="center"/>
          </w:tcPr>
          <w:p w14:paraId="0D992FE9">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社会福利设施用地</w:t>
            </w:r>
          </w:p>
        </w:tc>
        <w:tc>
          <w:tcPr>
            <w:tcW w:w="1116" w:type="dxa"/>
            <w:vAlign w:val="center"/>
          </w:tcPr>
          <w:p w14:paraId="15422CE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w:t>
            </w:r>
          </w:p>
        </w:tc>
      </w:tr>
      <w:tr w14:paraId="083CB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3D2DB252">
            <w:pPr>
              <w:pStyle w:val="4"/>
              <w:rPr>
                <w:rFonts w:hint="default" w:ascii="Times New Roman" w:hAnsi="Times New Roman" w:cs="Times New Roman"/>
                <w:color w:val="auto"/>
              </w:rPr>
            </w:pPr>
          </w:p>
        </w:tc>
        <w:tc>
          <w:tcPr>
            <w:tcW w:w="1322" w:type="dxa"/>
            <w:vMerge w:val="continue"/>
            <w:vAlign w:val="center"/>
          </w:tcPr>
          <w:p w14:paraId="4156234B">
            <w:pPr>
              <w:pStyle w:val="4"/>
              <w:rPr>
                <w:rFonts w:hint="default" w:ascii="Times New Roman" w:hAnsi="Times New Roman" w:cs="Times New Roman"/>
                <w:color w:val="auto"/>
              </w:rPr>
            </w:pPr>
          </w:p>
        </w:tc>
        <w:tc>
          <w:tcPr>
            <w:tcW w:w="5333" w:type="dxa"/>
            <w:vAlign w:val="center"/>
          </w:tcPr>
          <w:p w14:paraId="40EDE49C">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公用设施用地</w:t>
            </w:r>
          </w:p>
        </w:tc>
        <w:tc>
          <w:tcPr>
            <w:tcW w:w="1116" w:type="dxa"/>
            <w:vAlign w:val="center"/>
          </w:tcPr>
          <w:p w14:paraId="76D02DB4">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r>
      <w:tr w14:paraId="403CE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vMerge w:val="continue"/>
            <w:vAlign w:val="center"/>
          </w:tcPr>
          <w:p w14:paraId="45346A3D">
            <w:pPr>
              <w:pStyle w:val="4"/>
              <w:rPr>
                <w:rFonts w:hint="default" w:ascii="Times New Roman" w:hAnsi="Times New Roman" w:cs="Times New Roman"/>
                <w:color w:val="auto"/>
              </w:rPr>
            </w:pPr>
          </w:p>
        </w:tc>
        <w:tc>
          <w:tcPr>
            <w:tcW w:w="1322" w:type="dxa"/>
            <w:vMerge w:val="continue"/>
            <w:vAlign w:val="center"/>
          </w:tcPr>
          <w:p w14:paraId="144B5E55">
            <w:pPr>
              <w:pStyle w:val="4"/>
              <w:rPr>
                <w:rFonts w:hint="default" w:ascii="Times New Roman" w:hAnsi="Times New Roman" w:cs="Times New Roman"/>
                <w:color w:val="auto"/>
              </w:rPr>
            </w:pPr>
          </w:p>
        </w:tc>
        <w:tc>
          <w:tcPr>
            <w:tcW w:w="5333" w:type="dxa"/>
            <w:vAlign w:val="center"/>
          </w:tcPr>
          <w:p w14:paraId="6590BB99">
            <w:pPr>
              <w:ind w:firstLine="36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公园与绿地</w:t>
            </w:r>
          </w:p>
        </w:tc>
        <w:tc>
          <w:tcPr>
            <w:tcW w:w="1116" w:type="dxa"/>
            <w:vAlign w:val="center"/>
          </w:tcPr>
          <w:p w14:paraId="3A19D31B">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w:t>
            </w:r>
          </w:p>
        </w:tc>
      </w:tr>
    </w:tbl>
    <w:p w14:paraId="2EC6914A">
      <w:pPr>
        <w:ind w:firstLine="480"/>
        <w:rPr>
          <w:rFonts w:hint="default" w:ascii="Times New Roman" w:hAnsi="Times New Roman" w:cs="Times New Roman"/>
          <w:sz w:val="24"/>
        </w:rPr>
      </w:pPr>
      <w:r>
        <w:rPr>
          <w:rFonts w:hint="default" w:ascii="Times New Roman" w:hAnsi="Times New Roman" w:cs="Times New Roman"/>
          <w:sz w:val="18"/>
          <w:szCs w:val="18"/>
        </w:rPr>
        <w:t>备注：表中未注明具体内涵的用途按照本说明中土地用途分类的内涵界定。</w:t>
      </w:r>
    </w:p>
    <w:p w14:paraId="133FFF52">
      <w:pPr>
        <w:ind w:firstLine="600"/>
        <w:rPr>
          <w:rFonts w:hint="default" w:ascii="Times New Roman" w:hAnsi="Times New Roman" w:cs="Times New Roman"/>
          <w:sz w:val="30"/>
        </w:rPr>
      </w:pPr>
      <w:r>
        <w:rPr>
          <w:rFonts w:hint="default" w:ascii="Times New Roman" w:hAnsi="Times New Roman" w:cs="Times New Roman"/>
          <w:sz w:val="30"/>
        </w:rPr>
        <w:br w:type="page"/>
      </w:r>
    </w:p>
    <w:p w14:paraId="5910DCC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Cs/>
          <w:sz w:val="32"/>
          <w:szCs w:val="32"/>
          <w:u w:val="none"/>
          <w:lang w:val="en-US" w:eastAsia="zh-CN"/>
        </w:rPr>
      </w:pPr>
      <w:r>
        <w:rPr>
          <w:rFonts w:hint="default" w:ascii="Times New Roman" w:hAnsi="Times New Roman" w:eastAsia="方正黑体_GBK" w:cs="Times New Roman"/>
          <w:bCs/>
          <w:sz w:val="32"/>
          <w:szCs w:val="32"/>
          <w:u w:val="none"/>
          <w:lang w:val="en-US" w:eastAsia="zh-CN"/>
        </w:rPr>
        <w:t>附表4.2</w:t>
      </w:r>
    </w:p>
    <w:p w14:paraId="02728BE0">
      <w:pPr>
        <w:adjustRightInd w:val="0"/>
        <w:snapToGrid w:val="0"/>
        <w:spacing w:line="360" w:lineRule="auto"/>
        <w:ind w:firstLine="36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容积率修正系数表</w:t>
      </w:r>
    </w:p>
    <w:tbl>
      <w:tblPr>
        <w:tblStyle w:val="10"/>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2"/>
      </w:tblGrid>
      <w:tr w14:paraId="085FB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07B786EC">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容积率</w:t>
            </w:r>
          </w:p>
        </w:tc>
        <w:tc>
          <w:tcPr>
            <w:tcW w:w="2130" w:type="dxa"/>
            <w:vAlign w:val="center"/>
          </w:tcPr>
          <w:p w14:paraId="2B0EDD2D">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商服</w:t>
            </w:r>
          </w:p>
        </w:tc>
        <w:tc>
          <w:tcPr>
            <w:tcW w:w="2130" w:type="dxa"/>
            <w:vAlign w:val="center"/>
          </w:tcPr>
          <w:p w14:paraId="572555B3">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住宅</w:t>
            </w:r>
          </w:p>
        </w:tc>
        <w:tc>
          <w:tcPr>
            <w:tcW w:w="2132" w:type="dxa"/>
            <w:vAlign w:val="center"/>
          </w:tcPr>
          <w:p w14:paraId="62424DF3">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公共管理与公共服务</w:t>
            </w:r>
          </w:p>
        </w:tc>
      </w:tr>
      <w:tr w14:paraId="422F5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6867E63B">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2130" w:type="dxa"/>
            <w:vAlign w:val="center"/>
          </w:tcPr>
          <w:p w14:paraId="3FD376AB">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1.76</w:t>
            </w:r>
          </w:p>
        </w:tc>
        <w:tc>
          <w:tcPr>
            <w:tcW w:w="2130" w:type="dxa"/>
            <w:vAlign w:val="center"/>
          </w:tcPr>
          <w:p w14:paraId="4BA0D118">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1.7</w:t>
            </w:r>
          </w:p>
        </w:tc>
        <w:tc>
          <w:tcPr>
            <w:tcW w:w="2132" w:type="dxa"/>
            <w:vAlign w:val="center"/>
          </w:tcPr>
          <w:p w14:paraId="778E5F03">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1.09</w:t>
            </w:r>
          </w:p>
        </w:tc>
      </w:tr>
      <w:tr w14:paraId="6EFD5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04A9316B">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1.5</w:t>
            </w:r>
          </w:p>
        </w:tc>
        <w:tc>
          <w:tcPr>
            <w:tcW w:w="2130" w:type="dxa"/>
            <w:vAlign w:val="center"/>
          </w:tcPr>
          <w:p w14:paraId="5242C238">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1.41</w:t>
            </w:r>
          </w:p>
        </w:tc>
        <w:tc>
          <w:tcPr>
            <w:tcW w:w="2130" w:type="dxa"/>
            <w:vAlign w:val="center"/>
          </w:tcPr>
          <w:p w14:paraId="10D386F8">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1.28</w:t>
            </w:r>
          </w:p>
        </w:tc>
        <w:tc>
          <w:tcPr>
            <w:tcW w:w="2132" w:type="dxa"/>
            <w:vAlign w:val="center"/>
          </w:tcPr>
          <w:p w14:paraId="42FE02E6">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r>
      <w:tr w14:paraId="1F4C8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38BA6D91">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2130" w:type="dxa"/>
            <w:vAlign w:val="center"/>
          </w:tcPr>
          <w:p w14:paraId="3BC94C3C">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1.16</w:t>
            </w:r>
          </w:p>
        </w:tc>
        <w:tc>
          <w:tcPr>
            <w:tcW w:w="2130" w:type="dxa"/>
            <w:vAlign w:val="center"/>
          </w:tcPr>
          <w:p w14:paraId="35B692B8">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2132" w:type="dxa"/>
            <w:vAlign w:val="center"/>
          </w:tcPr>
          <w:p w14:paraId="3976B48C">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0.94</w:t>
            </w:r>
          </w:p>
        </w:tc>
      </w:tr>
      <w:tr w14:paraId="2570D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58D7C7DC">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2.5</w:t>
            </w:r>
          </w:p>
        </w:tc>
        <w:tc>
          <w:tcPr>
            <w:tcW w:w="2130" w:type="dxa"/>
            <w:vAlign w:val="center"/>
          </w:tcPr>
          <w:p w14:paraId="4B253CBF">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2130" w:type="dxa"/>
            <w:vAlign w:val="center"/>
          </w:tcPr>
          <w:p w14:paraId="603E5794">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0.83</w:t>
            </w:r>
          </w:p>
        </w:tc>
        <w:tc>
          <w:tcPr>
            <w:tcW w:w="2132" w:type="dxa"/>
            <w:vAlign w:val="center"/>
          </w:tcPr>
          <w:p w14:paraId="4EF07E97">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0.89</w:t>
            </w:r>
          </w:p>
        </w:tc>
      </w:tr>
      <w:tr w14:paraId="0E9F6A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6519CDBC">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w:t>
            </w:r>
          </w:p>
        </w:tc>
        <w:tc>
          <w:tcPr>
            <w:tcW w:w="2130" w:type="dxa"/>
            <w:vAlign w:val="center"/>
          </w:tcPr>
          <w:p w14:paraId="4B98FAF9">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0.9</w:t>
            </w:r>
          </w:p>
        </w:tc>
        <w:tc>
          <w:tcPr>
            <w:tcW w:w="2130" w:type="dxa"/>
            <w:vAlign w:val="center"/>
          </w:tcPr>
          <w:p w14:paraId="4AA2EC4B">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0.73</w:t>
            </w:r>
          </w:p>
        </w:tc>
        <w:tc>
          <w:tcPr>
            <w:tcW w:w="2132" w:type="dxa"/>
            <w:vAlign w:val="center"/>
          </w:tcPr>
          <w:p w14:paraId="66ABD4AE">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0.86</w:t>
            </w:r>
          </w:p>
        </w:tc>
      </w:tr>
      <w:tr w14:paraId="38C73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659A042A">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3.5</w:t>
            </w:r>
          </w:p>
        </w:tc>
        <w:tc>
          <w:tcPr>
            <w:tcW w:w="2130" w:type="dxa"/>
            <w:vAlign w:val="center"/>
          </w:tcPr>
          <w:p w14:paraId="24F40ED2">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0.83</w:t>
            </w:r>
          </w:p>
        </w:tc>
        <w:tc>
          <w:tcPr>
            <w:tcW w:w="2130" w:type="dxa"/>
            <w:vAlign w:val="center"/>
          </w:tcPr>
          <w:p w14:paraId="4ACA8F6B">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0.69</w:t>
            </w:r>
          </w:p>
        </w:tc>
        <w:tc>
          <w:tcPr>
            <w:tcW w:w="2132" w:type="dxa"/>
            <w:vAlign w:val="center"/>
          </w:tcPr>
          <w:p w14:paraId="1CBD0B62">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0.83</w:t>
            </w:r>
          </w:p>
        </w:tc>
      </w:tr>
      <w:tr w14:paraId="4B54D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768D89D6">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w:t>
            </w:r>
          </w:p>
        </w:tc>
        <w:tc>
          <w:tcPr>
            <w:tcW w:w="2130" w:type="dxa"/>
            <w:vAlign w:val="center"/>
          </w:tcPr>
          <w:p w14:paraId="45A01FE7">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0.77</w:t>
            </w:r>
          </w:p>
        </w:tc>
        <w:tc>
          <w:tcPr>
            <w:tcW w:w="2130" w:type="dxa"/>
            <w:vAlign w:val="center"/>
          </w:tcPr>
          <w:p w14:paraId="3B47D5D1">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0.66</w:t>
            </w:r>
          </w:p>
        </w:tc>
        <w:tc>
          <w:tcPr>
            <w:tcW w:w="2132" w:type="dxa"/>
            <w:vAlign w:val="center"/>
          </w:tcPr>
          <w:p w14:paraId="733A7FF5">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0.81</w:t>
            </w:r>
          </w:p>
        </w:tc>
      </w:tr>
      <w:tr w14:paraId="38FB3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vAlign w:val="center"/>
          </w:tcPr>
          <w:p w14:paraId="08B2E180">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4.5</w:t>
            </w:r>
          </w:p>
        </w:tc>
        <w:tc>
          <w:tcPr>
            <w:tcW w:w="2130" w:type="dxa"/>
            <w:vAlign w:val="center"/>
          </w:tcPr>
          <w:p w14:paraId="5E52CD1B">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0.7</w:t>
            </w:r>
          </w:p>
        </w:tc>
        <w:tc>
          <w:tcPr>
            <w:tcW w:w="2130" w:type="dxa"/>
            <w:vAlign w:val="center"/>
          </w:tcPr>
          <w:p w14:paraId="03C6AE36">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0.63</w:t>
            </w:r>
          </w:p>
        </w:tc>
        <w:tc>
          <w:tcPr>
            <w:tcW w:w="2132" w:type="dxa"/>
            <w:vAlign w:val="center"/>
          </w:tcPr>
          <w:p w14:paraId="16EA24D1">
            <w:pPr>
              <w:pStyle w:val="4"/>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0.78</w:t>
            </w:r>
          </w:p>
        </w:tc>
      </w:tr>
    </w:tbl>
    <w:p w14:paraId="556C418E">
      <w:pPr>
        <w:rPr>
          <w:rFonts w:hint="default" w:ascii="Times New Roman" w:hAnsi="Times New Roman" w:cs="Times New Roman"/>
        </w:rPr>
      </w:pPr>
      <w:r>
        <w:rPr>
          <w:rFonts w:hint="default" w:ascii="Times New Roman" w:hAnsi="Times New Roman" w:cs="Times New Roman"/>
        </w:rPr>
        <w:br w:type="page"/>
      </w:r>
    </w:p>
    <w:p w14:paraId="71CB71FD">
      <w:pPr>
        <w:spacing w:line="600" w:lineRule="exact"/>
        <w:rPr>
          <w:rFonts w:hint="default" w:ascii="Times New Roman" w:hAnsi="Times New Roman" w:eastAsia="方正黑体_GBK" w:cs="Times New Roman"/>
          <w:bCs/>
          <w:sz w:val="32"/>
          <w:szCs w:val="32"/>
          <w:u w:val="none"/>
          <w:lang w:val="en-US" w:eastAsia="zh-CN"/>
        </w:rPr>
      </w:pPr>
      <w:r>
        <w:rPr>
          <w:rFonts w:hint="default" w:ascii="Times New Roman" w:hAnsi="Times New Roman" w:eastAsia="方正黑体_GBK" w:cs="Times New Roman"/>
          <w:bCs/>
          <w:sz w:val="32"/>
          <w:szCs w:val="32"/>
          <w:u w:val="none"/>
          <w:lang w:val="en-US" w:eastAsia="zh-CN"/>
        </w:rPr>
        <w:t>附表4.3</w:t>
      </w:r>
    </w:p>
    <w:p w14:paraId="4E5D61F3">
      <w:pPr>
        <w:adjustRightInd w:val="0"/>
        <w:snapToGrid w:val="0"/>
        <w:spacing w:line="360" w:lineRule="auto"/>
        <w:ind w:firstLine="360"/>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地下空间修正系数表</w:t>
      </w:r>
    </w:p>
    <w:tbl>
      <w:tblPr>
        <w:tblStyle w:val="10"/>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350"/>
        <w:gridCol w:w="2393"/>
        <w:gridCol w:w="2442"/>
      </w:tblGrid>
      <w:tr w14:paraId="37C16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14:paraId="48D38E31">
            <w:pPr>
              <w:pStyle w:val="4"/>
              <w:rPr>
                <w:rFonts w:hint="default" w:ascii="Times New Roman" w:hAnsi="Times New Roman" w:cs="Times New Roman"/>
                <w:color w:val="auto"/>
              </w:rPr>
            </w:pPr>
            <w:r>
              <w:rPr>
                <w:rFonts w:hint="default" w:ascii="Times New Roman" w:hAnsi="Times New Roman" w:cs="Times New Roman"/>
                <w:color w:val="auto"/>
              </w:rPr>
              <w:t>地下空间用途</w:t>
            </w:r>
          </w:p>
        </w:tc>
        <w:tc>
          <w:tcPr>
            <w:tcW w:w="2350" w:type="dxa"/>
            <w:vAlign w:val="center"/>
          </w:tcPr>
          <w:p w14:paraId="241B3DE3">
            <w:pPr>
              <w:pStyle w:val="4"/>
              <w:rPr>
                <w:rFonts w:hint="default" w:ascii="Times New Roman" w:hAnsi="Times New Roman" w:cs="Times New Roman"/>
                <w:color w:val="auto"/>
              </w:rPr>
            </w:pPr>
            <w:r>
              <w:rPr>
                <w:rFonts w:hint="default" w:ascii="Times New Roman" w:hAnsi="Times New Roman" w:cs="Times New Roman"/>
                <w:color w:val="auto"/>
              </w:rPr>
              <w:t>适用的基准地价</w:t>
            </w:r>
          </w:p>
        </w:tc>
        <w:tc>
          <w:tcPr>
            <w:tcW w:w="2393" w:type="dxa"/>
            <w:vAlign w:val="center"/>
          </w:tcPr>
          <w:p w14:paraId="3E8F372E">
            <w:pPr>
              <w:pStyle w:val="4"/>
              <w:rPr>
                <w:rFonts w:hint="default" w:ascii="Times New Roman" w:hAnsi="Times New Roman" w:cs="Times New Roman"/>
                <w:color w:val="auto"/>
              </w:rPr>
            </w:pPr>
            <w:r>
              <w:rPr>
                <w:rFonts w:hint="default" w:ascii="Times New Roman" w:hAnsi="Times New Roman" w:cs="Times New Roman"/>
                <w:color w:val="auto"/>
              </w:rPr>
              <w:t>楼层</w:t>
            </w:r>
          </w:p>
        </w:tc>
        <w:tc>
          <w:tcPr>
            <w:tcW w:w="2442" w:type="dxa"/>
            <w:vAlign w:val="center"/>
          </w:tcPr>
          <w:p w14:paraId="4AB97FAB">
            <w:pPr>
              <w:pStyle w:val="4"/>
              <w:rPr>
                <w:rFonts w:hint="default" w:ascii="Times New Roman" w:hAnsi="Times New Roman" w:cs="Times New Roman"/>
                <w:color w:val="auto"/>
              </w:rPr>
            </w:pPr>
            <w:r>
              <w:rPr>
                <w:rFonts w:hint="default" w:ascii="Times New Roman" w:hAnsi="Times New Roman" w:cs="Times New Roman"/>
                <w:color w:val="auto"/>
              </w:rPr>
              <w:t>地下空间修正系数表</w:t>
            </w:r>
          </w:p>
        </w:tc>
      </w:tr>
      <w:tr w14:paraId="1EBAF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Merge w:val="restart"/>
            <w:vAlign w:val="center"/>
          </w:tcPr>
          <w:p w14:paraId="706A0953">
            <w:pPr>
              <w:pStyle w:val="4"/>
              <w:rPr>
                <w:rFonts w:hint="default" w:ascii="Times New Roman" w:hAnsi="Times New Roman" w:cs="Times New Roman"/>
                <w:color w:val="auto"/>
              </w:rPr>
            </w:pPr>
            <w:r>
              <w:rPr>
                <w:rFonts w:hint="default" w:ascii="Times New Roman" w:hAnsi="Times New Roman" w:cs="Times New Roman"/>
                <w:color w:val="auto"/>
              </w:rPr>
              <w:t>商业</w:t>
            </w:r>
          </w:p>
        </w:tc>
        <w:tc>
          <w:tcPr>
            <w:tcW w:w="2350" w:type="dxa"/>
            <w:vMerge w:val="restart"/>
            <w:vAlign w:val="center"/>
          </w:tcPr>
          <w:p w14:paraId="58D58D67">
            <w:pPr>
              <w:pStyle w:val="4"/>
              <w:rPr>
                <w:rFonts w:hint="default" w:ascii="Times New Roman" w:hAnsi="Times New Roman" w:cs="Times New Roman"/>
                <w:color w:val="auto"/>
              </w:rPr>
            </w:pPr>
            <w:r>
              <w:rPr>
                <w:rFonts w:hint="default" w:ascii="Times New Roman" w:hAnsi="Times New Roman" w:cs="Times New Roman"/>
                <w:color w:val="auto"/>
              </w:rPr>
              <w:t>商服用途基准类别</w:t>
            </w:r>
          </w:p>
        </w:tc>
        <w:tc>
          <w:tcPr>
            <w:tcW w:w="2393" w:type="dxa"/>
            <w:vAlign w:val="center"/>
          </w:tcPr>
          <w:p w14:paraId="35B88213">
            <w:pPr>
              <w:pStyle w:val="4"/>
              <w:rPr>
                <w:rFonts w:hint="default" w:ascii="Times New Roman" w:hAnsi="Times New Roman" w:cs="Times New Roman"/>
                <w:color w:val="auto"/>
              </w:rPr>
            </w:pPr>
            <w:r>
              <w:rPr>
                <w:rFonts w:hint="default" w:ascii="Times New Roman" w:hAnsi="Times New Roman" w:cs="Times New Roman"/>
                <w:color w:val="auto"/>
              </w:rPr>
              <w:t>地下第一层</w:t>
            </w:r>
          </w:p>
        </w:tc>
        <w:tc>
          <w:tcPr>
            <w:tcW w:w="2442" w:type="dxa"/>
            <w:vAlign w:val="center"/>
          </w:tcPr>
          <w:p w14:paraId="40B3AD76">
            <w:pPr>
              <w:pStyle w:val="4"/>
              <w:rPr>
                <w:rFonts w:hint="default" w:ascii="Times New Roman" w:hAnsi="Times New Roman" w:cs="Times New Roman"/>
                <w:color w:val="auto"/>
              </w:rPr>
            </w:pPr>
            <w:r>
              <w:rPr>
                <w:rFonts w:hint="default" w:ascii="Times New Roman" w:hAnsi="Times New Roman" w:cs="Times New Roman"/>
                <w:color w:val="auto"/>
              </w:rPr>
              <w:t>0.50</w:t>
            </w:r>
          </w:p>
        </w:tc>
      </w:tr>
      <w:tr w14:paraId="5E8E5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Merge w:val="continue"/>
            <w:vAlign w:val="center"/>
          </w:tcPr>
          <w:p w14:paraId="3FACF827">
            <w:pPr>
              <w:pStyle w:val="4"/>
              <w:rPr>
                <w:rFonts w:hint="default" w:ascii="Times New Roman" w:hAnsi="Times New Roman" w:cs="Times New Roman"/>
                <w:color w:val="auto"/>
              </w:rPr>
            </w:pPr>
          </w:p>
        </w:tc>
        <w:tc>
          <w:tcPr>
            <w:tcW w:w="2350" w:type="dxa"/>
            <w:vMerge w:val="continue"/>
            <w:vAlign w:val="center"/>
          </w:tcPr>
          <w:p w14:paraId="6D777540">
            <w:pPr>
              <w:pStyle w:val="4"/>
              <w:rPr>
                <w:rFonts w:hint="default" w:ascii="Times New Roman" w:hAnsi="Times New Roman" w:cs="Times New Roman"/>
                <w:color w:val="auto"/>
              </w:rPr>
            </w:pPr>
          </w:p>
        </w:tc>
        <w:tc>
          <w:tcPr>
            <w:tcW w:w="2393" w:type="dxa"/>
            <w:vAlign w:val="center"/>
          </w:tcPr>
          <w:p w14:paraId="3FCC5D58">
            <w:pPr>
              <w:pStyle w:val="4"/>
              <w:rPr>
                <w:rFonts w:hint="default" w:ascii="Times New Roman" w:hAnsi="Times New Roman" w:cs="Times New Roman"/>
                <w:color w:val="auto"/>
              </w:rPr>
            </w:pPr>
            <w:r>
              <w:rPr>
                <w:rFonts w:hint="default" w:ascii="Times New Roman" w:hAnsi="Times New Roman" w:cs="Times New Roman"/>
                <w:color w:val="auto"/>
              </w:rPr>
              <w:t>地下第二层及以下</w:t>
            </w:r>
          </w:p>
        </w:tc>
        <w:tc>
          <w:tcPr>
            <w:tcW w:w="2442" w:type="dxa"/>
            <w:vAlign w:val="center"/>
          </w:tcPr>
          <w:p w14:paraId="74DB8466">
            <w:pPr>
              <w:pStyle w:val="4"/>
              <w:rPr>
                <w:rFonts w:hint="default" w:ascii="Times New Roman" w:hAnsi="Times New Roman" w:cs="Times New Roman"/>
                <w:color w:val="auto"/>
              </w:rPr>
            </w:pPr>
            <w:r>
              <w:rPr>
                <w:rFonts w:hint="default" w:ascii="Times New Roman" w:hAnsi="Times New Roman" w:cs="Times New Roman"/>
                <w:color w:val="auto"/>
              </w:rPr>
              <w:t>0.25</w:t>
            </w:r>
          </w:p>
        </w:tc>
      </w:tr>
      <w:tr w14:paraId="3649B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14:paraId="2E7862F2">
            <w:pPr>
              <w:pStyle w:val="4"/>
              <w:rPr>
                <w:rFonts w:hint="default" w:ascii="Times New Roman" w:hAnsi="Times New Roman" w:cs="Times New Roman"/>
                <w:color w:val="auto"/>
              </w:rPr>
            </w:pPr>
            <w:r>
              <w:rPr>
                <w:rFonts w:hint="default" w:ascii="Times New Roman" w:hAnsi="Times New Roman" w:cs="Times New Roman"/>
                <w:color w:val="auto"/>
              </w:rPr>
              <w:t>工矿仓储</w:t>
            </w:r>
          </w:p>
        </w:tc>
        <w:tc>
          <w:tcPr>
            <w:tcW w:w="2350" w:type="dxa"/>
            <w:vAlign w:val="center"/>
          </w:tcPr>
          <w:p w14:paraId="15ED9C93">
            <w:pPr>
              <w:pStyle w:val="4"/>
              <w:rPr>
                <w:rFonts w:hint="default" w:ascii="Times New Roman" w:hAnsi="Times New Roman" w:cs="Times New Roman"/>
                <w:color w:val="auto"/>
              </w:rPr>
            </w:pPr>
            <w:r>
              <w:rPr>
                <w:rFonts w:hint="default" w:ascii="Times New Roman" w:hAnsi="Times New Roman" w:cs="Times New Roman"/>
                <w:color w:val="auto"/>
              </w:rPr>
              <w:t>工矿仓储用途基准类别</w:t>
            </w:r>
          </w:p>
        </w:tc>
        <w:tc>
          <w:tcPr>
            <w:tcW w:w="2393" w:type="dxa"/>
            <w:vAlign w:val="center"/>
          </w:tcPr>
          <w:p w14:paraId="509A3854">
            <w:pPr>
              <w:pStyle w:val="4"/>
              <w:rPr>
                <w:rFonts w:hint="default" w:ascii="Times New Roman" w:hAnsi="Times New Roman" w:cs="Times New Roman"/>
                <w:color w:val="auto"/>
              </w:rPr>
            </w:pPr>
            <w:r>
              <w:rPr>
                <w:rFonts w:hint="default" w:ascii="Times New Roman" w:hAnsi="Times New Roman" w:cs="Times New Roman"/>
                <w:color w:val="auto"/>
              </w:rPr>
              <w:t>地下各层</w:t>
            </w:r>
          </w:p>
        </w:tc>
        <w:tc>
          <w:tcPr>
            <w:tcW w:w="2442" w:type="dxa"/>
            <w:vAlign w:val="center"/>
          </w:tcPr>
          <w:p w14:paraId="1D2A0467">
            <w:pPr>
              <w:pStyle w:val="4"/>
              <w:rPr>
                <w:rFonts w:hint="default" w:ascii="Times New Roman" w:hAnsi="Times New Roman" w:cs="Times New Roman"/>
                <w:color w:val="auto"/>
              </w:rPr>
            </w:pPr>
            <w:r>
              <w:rPr>
                <w:rFonts w:hint="default" w:ascii="Times New Roman" w:hAnsi="Times New Roman" w:cs="Times New Roman"/>
                <w:color w:val="auto"/>
              </w:rPr>
              <w:t>0.30</w:t>
            </w:r>
          </w:p>
        </w:tc>
      </w:tr>
      <w:tr w14:paraId="6C21E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14:paraId="0BB1D8A3">
            <w:pPr>
              <w:pStyle w:val="4"/>
              <w:rPr>
                <w:rFonts w:hint="default" w:ascii="Times New Roman" w:hAnsi="Times New Roman" w:cs="Times New Roman"/>
                <w:color w:val="auto"/>
              </w:rPr>
            </w:pPr>
            <w:r>
              <w:rPr>
                <w:rFonts w:hint="default" w:ascii="Times New Roman" w:hAnsi="Times New Roman" w:cs="Times New Roman"/>
                <w:color w:val="auto"/>
              </w:rPr>
              <w:t>住宅</w:t>
            </w:r>
          </w:p>
        </w:tc>
        <w:tc>
          <w:tcPr>
            <w:tcW w:w="2350" w:type="dxa"/>
            <w:vAlign w:val="center"/>
          </w:tcPr>
          <w:p w14:paraId="56C5016A">
            <w:pPr>
              <w:pStyle w:val="4"/>
              <w:rPr>
                <w:rFonts w:hint="default" w:ascii="Times New Roman" w:hAnsi="Times New Roman" w:cs="Times New Roman"/>
                <w:color w:val="auto"/>
              </w:rPr>
            </w:pPr>
            <w:r>
              <w:rPr>
                <w:rFonts w:hint="default" w:ascii="Times New Roman" w:hAnsi="Times New Roman" w:cs="Times New Roman"/>
                <w:color w:val="auto"/>
              </w:rPr>
              <w:t>住宅用途基准类别</w:t>
            </w:r>
          </w:p>
        </w:tc>
        <w:tc>
          <w:tcPr>
            <w:tcW w:w="2393" w:type="dxa"/>
            <w:vAlign w:val="center"/>
          </w:tcPr>
          <w:p w14:paraId="020D87C3">
            <w:pPr>
              <w:pStyle w:val="4"/>
              <w:rPr>
                <w:rFonts w:hint="default" w:ascii="Times New Roman" w:hAnsi="Times New Roman" w:cs="Times New Roman"/>
                <w:color w:val="auto"/>
              </w:rPr>
            </w:pPr>
            <w:r>
              <w:rPr>
                <w:rFonts w:hint="default" w:ascii="Times New Roman" w:hAnsi="Times New Roman" w:cs="Times New Roman"/>
                <w:color w:val="auto"/>
              </w:rPr>
              <w:t>地下各层</w:t>
            </w:r>
          </w:p>
        </w:tc>
        <w:tc>
          <w:tcPr>
            <w:tcW w:w="2442" w:type="dxa"/>
            <w:vAlign w:val="center"/>
          </w:tcPr>
          <w:p w14:paraId="2EAD673B">
            <w:pPr>
              <w:pStyle w:val="4"/>
              <w:rPr>
                <w:rFonts w:hint="default" w:ascii="Times New Roman" w:hAnsi="Times New Roman" w:cs="Times New Roman"/>
                <w:color w:val="auto"/>
              </w:rPr>
            </w:pPr>
            <w:r>
              <w:rPr>
                <w:rFonts w:hint="default" w:ascii="Times New Roman" w:hAnsi="Times New Roman" w:cs="Times New Roman"/>
                <w:color w:val="auto"/>
              </w:rPr>
              <w:t>0.20</w:t>
            </w:r>
          </w:p>
        </w:tc>
      </w:tr>
      <w:tr w14:paraId="52BC6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14:paraId="2EF3AE28">
            <w:pPr>
              <w:pStyle w:val="4"/>
              <w:rPr>
                <w:rFonts w:hint="default" w:ascii="Times New Roman" w:hAnsi="Times New Roman" w:cs="Times New Roman"/>
                <w:color w:val="auto"/>
              </w:rPr>
            </w:pPr>
            <w:r>
              <w:rPr>
                <w:rFonts w:hint="default" w:ascii="Times New Roman" w:hAnsi="Times New Roman" w:cs="Times New Roman"/>
                <w:color w:val="auto"/>
              </w:rPr>
              <w:t>公共管理与公共服务</w:t>
            </w:r>
          </w:p>
        </w:tc>
        <w:tc>
          <w:tcPr>
            <w:tcW w:w="2350" w:type="dxa"/>
            <w:vAlign w:val="center"/>
          </w:tcPr>
          <w:p w14:paraId="1676489A">
            <w:pPr>
              <w:pStyle w:val="4"/>
              <w:rPr>
                <w:rFonts w:hint="default" w:ascii="Times New Roman" w:hAnsi="Times New Roman" w:cs="Times New Roman"/>
                <w:color w:val="auto"/>
              </w:rPr>
            </w:pPr>
            <w:r>
              <w:rPr>
                <w:rFonts w:hint="default" w:ascii="Times New Roman" w:hAnsi="Times New Roman" w:cs="Times New Roman"/>
                <w:color w:val="auto"/>
              </w:rPr>
              <w:t>公共管理与公共服务基准类别</w:t>
            </w:r>
          </w:p>
        </w:tc>
        <w:tc>
          <w:tcPr>
            <w:tcW w:w="2393" w:type="dxa"/>
            <w:vAlign w:val="center"/>
          </w:tcPr>
          <w:p w14:paraId="7D990B09">
            <w:pPr>
              <w:pStyle w:val="4"/>
              <w:rPr>
                <w:rFonts w:hint="default" w:ascii="Times New Roman" w:hAnsi="Times New Roman" w:cs="Times New Roman"/>
                <w:color w:val="auto"/>
              </w:rPr>
            </w:pPr>
            <w:r>
              <w:rPr>
                <w:rFonts w:hint="default" w:ascii="Times New Roman" w:hAnsi="Times New Roman" w:cs="Times New Roman"/>
                <w:color w:val="auto"/>
              </w:rPr>
              <w:t>地下各层</w:t>
            </w:r>
          </w:p>
        </w:tc>
        <w:tc>
          <w:tcPr>
            <w:tcW w:w="2442" w:type="dxa"/>
            <w:vAlign w:val="center"/>
          </w:tcPr>
          <w:p w14:paraId="6824C400">
            <w:pPr>
              <w:pStyle w:val="4"/>
              <w:rPr>
                <w:rFonts w:hint="default" w:ascii="Times New Roman" w:hAnsi="Times New Roman" w:cs="Times New Roman"/>
                <w:color w:val="auto"/>
              </w:rPr>
            </w:pPr>
            <w:r>
              <w:rPr>
                <w:rFonts w:hint="default" w:ascii="Times New Roman" w:hAnsi="Times New Roman" w:cs="Times New Roman"/>
                <w:color w:val="auto"/>
              </w:rPr>
              <w:t>0.20</w:t>
            </w:r>
          </w:p>
        </w:tc>
      </w:tr>
      <w:tr w14:paraId="73AA5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vAlign w:val="center"/>
          </w:tcPr>
          <w:p w14:paraId="44BA33A1">
            <w:pPr>
              <w:pStyle w:val="4"/>
              <w:rPr>
                <w:rFonts w:hint="default" w:ascii="Times New Roman" w:hAnsi="Times New Roman" w:cs="Times New Roman"/>
                <w:color w:val="auto"/>
              </w:rPr>
            </w:pPr>
            <w:r>
              <w:rPr>
                <w:rFonts w:hint="default" w:ascii="Times New Roman" w:hAnsi="Times New Roman" w:cs="Times New Roman"/>
                <w:color w:val="auto"/>
              </w:rPr>
              <w:t>车库</w:t>
            </w:r>
          </w:p>
        </w:tc>
        <w:tc>
          <w:tcPr>
            <w:tcW w:w="2350" w:type="dxa"/>
            <w:vAlign w:val="center"/>
          </w:tcPr>
          <w:p w14:paraId="4123A92E">
            <w:pPr>
              <w:pStyle w:val="4"/>
              <w:rPr>
                <w:rFonts w:hint="default" w:ascii="Times New Roman" w:hAnsi="Times New Roman" w:cs="Times New Roman"/>
                <w:color w:val="auto"/>
              </w:rPr>
            </w:pPr>
            <w:r>
              <w:rPr>
                <w:rFonts w:hint="default" w:ascii="Times New Roman" w:hAnsi="Times New Roman" w:cs="Times New Roman"/>
                <w:color w:val="auto"/>
              </w:rPr>
              <w:t>商服用途基准类别</w:t>
            </w:r>
          </w:p>
        </w:tc>
        <w:tc>
          <w:tcPr>
            <w:tcW w:w="2393" w:type="dxa"/>
            <w:vAlign w:val="center"/>
          </w:tcPr>
          <w:p w14:paraId="13D12BF2">
            <w:pPr>
              <w:pStyle w:val="4"/>
              <w:rPr>
                <w:rFonts w:hint="default" w:ascii="Times New Roman" w:hAnsi="Times New Roman" w:cs="Times New Roman"/>
                <w:color w:val="auto"/>
              </w:rPr>
            </w:pPr>
            <w:r>
              <w:rPr>
                <w:rFonts w:hint="default" w:ascii="Times New Roman" w:hAnsi="Times New Roman" w:cs="Times New Roman"/>
                <w:color w:val="auto"/>
              </w:rPr>
              <w:t>地下各层</w:t>
            </w:r>
          </w:p>
        </w:tc>
        <w:tc>
          <w:tcPr>
            <w:tcW w:w="2442" w:type="dxa"/>
            <w:vAlign w:val="center"/>
          </w:tcPr>
          <w:p w14:paraId="2F58F86E">
            <w:pPr>
              <w:pStyle w:val="4"/>
              <w:rPr>
                <w:rFonts w:hint="default" w:ascii="Times New Roman" w:hAnsi="Times New Roman" w:cs="Times New Roman"/>
                <w:color w:val="auto"/>
              </w:rPr>
            </w:pPr>
            <w:r>
              <w:rPr>
                <w:rFonts w:hint="default" w:ascii="Times New Roman" w:hAnsi="Times New Roman" w:cs="Times New Roman"/>
                <w:color w:val="auto"/>
              </w:rPr>
              <w:t>0.20</w:t>
            </w:r>
          </w:p>
        </w:tc>
      </w:tr>
    </w:tbl>
    <w:p w14:paraId="488633AE">
      <w:pPr>
        <w:adjustRightInd w:val="0"/>
        <w:snapToGrid w:val="0"/>
        <w:spacing w:line="600" w:lineRule="exact"/>
        <w:jc w:val="left"/>
        <w:rPr>
          <w:rFonts w:hint="default" w:ascii="Times New Roman" w:hAnsi="Times New Roman" w:cs="Times New Roman"/>
          <w:sz w:val="18"/>
          <w:szCs w:val="18"/>
        </w:rPr>
      </w:pPr>
      <w:r>
        <w:rPr>
          <w:rFonts w:hint="default" w:ascii="Times New Roman" w:hAnsi="Times New Roman" w:cs="Times New Roman"/>
          <w:sz w:val="18"/>
          <w:szCs w:val="18"/>
        </w:rPr>
        <w:t>备注：地下空间指地下不计容建筑面积。</w:t>
      </w:r>
    </w:p>
    <w:p w14:paraId="3A5BB003">
      <w:pPr>
        <w:rPr>
          <w:rFonts w:hint="default" w:ascii="Times New Roman" w:hAnsi="Times New Roman" w:cs="Times New Roman"/>
        </w:rPr>
      </w:pPr>
      <w:r>
        <w:rPr>
          <w:rFonts w:hint="default" w:ascii="Times New Roman" w:hAnsi="Times New Roman" w:cs="Times New Roman"/>
        </w:rPr>
        <w:br w:type="page"/>
      </w:r>
    </w:p>
    <w:p w14:paraId="1EF02003">
      <w:pPr>
        <w:spacing w:line="600" w:lineRule="exact"/>
        <w:rPr>
          <w:rFonts w:hint="default" w:ascii="Times New Roman" w:hAnsi="Times New Roman" w:eastAsia="方正黑体_GBK" w:cs="Times New Roman"/>
          <w:bCs/>
          <w:sz w:val="32"/>
          <w:szCs w:val="32"/>
          <w:u w:val="none"/>
          <w:lang w:val="en-US" w:eastAsia="zh-CN"/>
        </w:rPr>
      </w:pPr>
      <w:r>
        <w:rPr>
          <w:rFonts w:hint="default" w:ascii="Times New Roman" w:hAnsi="Times New Roman" w:eastAsia="方正黑体_GBK" w:cs="Times New Roman"/>
          <w:bCs/>
          <w:sz w:val="32"/>
          <w:szCs w:val="32"/>
          <w:u w:val="none"/>
          <w:lang w:val="en-US" w:eastAsia="zh-CN"/>
        </w:rPr>
        <w:t>附表4.4</w:t>
      </w:r>
    </w:p>
    <w:p w14:paraId="79587172">
      <w:pPr>
        <w:adjustRightInd w:val="0"/>
        <w:snapToGrid w:val="0"/>
        <w:spacing w:line="600" w:lineRule="exact"/>
        <w:ind w:firstLine="360"/>
        <w:jc w:val="center"/>
        <w:rPr>
          <w:rFonts w:hint="default" w:ascii="Times New Roman" w:hAnsi="Times New Roman" w:eastAsia="黑体" w:cs="Times New Roman"/>
          <w:sz w:val="18"/>
          <w:szCs w:val="18"/>
        </w:rPr>
      </w:pPr>
      <w:r>
        <w:rPr>
          <w:rFonts w:hint="default" w:ascii="Times New Roman" w:hAnsi="Times New Roman" w:eastAsia="黑体" w:cs="Times New Roman"/>
          <w:sz w:val="18"/>
          <w:szCs w:val="18"/>
        </w:rPr>
        <w:t>土地开发程度修正值表</w:t>
      </w:r>
    </w:p>
    <w:p w14:paraId="761D2F72">
      <w:pPr>
        <w:adjustRightInd w:val="0"/>
        <w:snapToGrid w:val="0"/>
        <w:spacing w:line="600" w:lineRule="exact"/>
        <w:ind w:firstLine="360"/>
        <w:jc w:val="right"/>
        <w:rPr>
          <w:rFonts w:hint="default" w:ascii="Times New Roman" w:hAnsi="Times New Roman" w:cs="Times New Roman"/>
          <w:sz w:val="24"/>
        </w:rPr>
      </w:pPr>
      <w:r>
        <w:rPr>
          <w:rFonts w:hint="default" w:ascii="Times New Roman" w:hAnsi="Times New Roman" w:cs="Times New Roman"/>
          <w:sz w:val="18"/>
          <w:szCs w:val="18"/>
        </w:rPr>
        <w:t>单位：元/平方米（土地面积</w:t>
      </w:r>
      <w:r>
        <w:rPr>
          <w:rFonts w:hint="default" w:ascii="Times New Roman" w:hAnsi="Times New Roman" w:cs="Times New Roman"/>
          <w:sz w:val="24"/>
        </w:rPr>
        <w:t>）</w:t>
      </w:r>
    </w:p>
    <w:tbl>
      <w:tblPr>
        <w:tblStyle w:val="10"/>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908"/>
        <w:gridCol w:w="908"/>
        <w:gridCol w:w="908"/>
        <w:gridCol w:w="908"/>
        <w:gridCol w:w="908"/>
        <w:gridCol w:w="908"/>
        <w:gridCol w:w="908"/>
        <w:gridCol w:w="915"/>
      </w:tblGrid>
      <w:tr w14:paraId="14F3C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51" w:type="dxa"/>
            <w:vAlign w:val="center"/>
          </w:tcPr>
          <w:p w14:paraId="58A2932E">
            <w:pPr>
              <w:pStyle w:val="4"/>
              <w:rPr>
                <w:rFonts w:hint="default" w:ascii="Times New Roman" w:hAnsi="Times New Roman" w:cs="Times New Roman"/>
                <w:color w:val="auto"/>
              </w:rPr>
            </w:pPr>
            <w:r>
              <w:rPr>
                <w:rFonts w:hint="default" w:ascii="Times New Roman" w:hAnsi="Times New Roman" w:cs="Times New Roman"/>
                <w:color w:val="auto"/>
              </w:rPr>
              <w:t>开发程度</w:t>
            </w:r>
          </w:p>
        </w:tc>
        <w:tc>
          <w:tcPr>
            <w:tcW w:w="908" w:type="dxa"/>
            <w:vAlign w:val="center"/>
          </w:tcPr>
          <w:p w14:paraId="0777A9AC">
            <w:pPr>
              <w:pStyle w:val="4"/>
              <w:rPr>
                <w:rFonts w:hint="default" w:ascii="Times New Roman" w:hAnsi="Times New Roman" w:cs="Times New Roman"/>
                <w:color w:val="auto"/>
              </w:rPr>
            </w:pPr>
            <w:r>
              <w:rPr>
                <w:rFonts w:hint="default" w:ascii="Times New Roman" w:hAnsi="Times New Roman" w:cs="Times New Roman"/>
                <w:color w:val="auto"/>
              </w:rPr>
              <w:t>通路</w:t>
            </w:r>
          </w:p>
        </w:tc>
        <w:tc>
          <w:tcPr>
            <w:tcW w:w="908" w:type="dxa"/>
            <w:vAlign w:val="center"/>
          </w:tcPr>
          <w:p w14:paraId="3AE4522C">
            <w:pPr>
              <w:pStyle w:val="4"/>
              <w:rPr>
                <w:rFonts w:hint="default" w:ascii="Times New Roman" w:hAnsi="Times New Roman" w:cs="Times New Roman"/>
                <w:color w:val="auto"/>
              </w:rPr>
            </w:pPr>
            <w:r>
              <w:rPr>
                <w:rFonts w:hint="default" w:ascii="Times New Roman" w:hAnsi="Times New Roman" w:cs="Times New Roman"/>
                <w:color w:val="auto"/>
              </w:rPr>
              <w:t>通上水</w:t>
            </w:r>
          </w:p>
        </w:tc>
        <w:tc>
          <w:tcPr>
            <w:tcW w:w="908" w:type="dxa"/>
            <w:vAlign w:val="center"/>
          </w:tcPr>
          <w:p w14:paraId="43033876">
            <w:pPr>
              <w:pStyle w:val="4"/>
              <w:rPr>
                <w:rFonts w:hint="default" w:ascii="Times New Roman" w:hAnsi="Times New Roman" w:cs="Times New Roman"/>
                <w:color w:val="auto"/>
              </w:rPr>
            </w:pPr>
            <w:r>
              <w:rPr>
                <w:rFonts w:hint="default" w:ascii="Times New Roman" w:hAnsi="Times New Roman" w:cs="Times New Roman"/>
                <w:color w:val="auto"/>
              </w:rPr>
              <w:t>通下水</w:t>
            </w:r>
          </w:p>
        </w:tc>
        <w:tc>
          <w:tcPr>
            <w:tcW w:w="908" w:type="dxa"/>
            <w:vAlign w:val="center"/>
          </w:tcPr>
          <w:p w14:paraId="6F4D0004">
            <w:pPr>
              <w:pStyle w:val="4"/>
              <w:rPr>
                <w:rFonts w:hint="default" w:ascii="Times New Roman" w:hAnsi="Times New Roman" w:cs="Times New Roman"/>
                <w:color w:val="auto"/>
              </w:rPr>
            </w:pPr>
            <w:r>
              <w:rPr>
                <w:rFonts w:hint="default" w:ascii="Times New Roman" w:hAnsi="Times New Roman" w:cs="Times New Roman"/>
                <w:color w:val="auto"/>
              </w:rPr>
              <w:t>通电</w:t>
            </w:r>
          </w:p>
        </w:tc>
        <w:tc>
          <w:tcPr>
            <w:tcW w:w="908" w:type="dxa"/>
            <w:vAlign w:val="center"/>
          </w:tcPr>
          <w:p w14:paraId="4963C0E5">
            <w:pPr>
              <w:pStyle w:val="4"/>
              <w:rPr>
                <w:rFonts w:hint="eastAsia" w:ascii="Times New Roman" w:hAnsi="Times New Roman" w:eastAsia="仿宋" w:cs="Times New Roman"/>
                <w:color w:val="auto"/>
                <w:lang w:eastAsia="zh-CN"/>
              </w:rPr>
            </w:pPr>
            <w:r>
              <w:rPr>
                <w:rFonts w:hint="default" w:ascii="Times New Roman" w:hAnsi="Times New Roman" w:cs="Times New Roman"/>
                <w:color w:val="auto"/>
              </w:rPr>
              <w:t>通</w:t>
            </w:r>
            <w:r>
              <w:rPr>
                <w:rFonts w:hint="eastAsia" w:cs="Times New Roman"/>
                <w:color w:val="auto"/>
                <w:lang w:eastAsia="zh-CN"/>
              </w:rPr>
              <w:t>信</w:t>
            </w:r>
          </w:p>
        </w:tc>
        <w:tc>
          <w:tcPr>
            <w:tcW w:w="908" w:type="dxa"/>
            <w:vAlign w:val="center"/>
          </w:tcPr>
          <w:p w14:paraId="081A83D9">
            <w:pPr>
              <w:pStyle w:val="4"/>
              <w:rPr>
                <w:rFonts w:hint="default" w:ascii="Times New Roman" w:hAnsi="Times New Roman" w:cs="Times New Roman"/>
                <w:color w:val="auto"/>
              </w:rPr>
            </w:pPr>
            <w:r>
              <w:rPr>
                <w:rFonts w:hint="default" w:ascii="Times New Roman" w:hAnsi="Times New Roman" w:cs="Times New Roman"/>
                <w:color w:val="auto"/>
              </w:rPr>
              <w:t>通燃气</w:t>
            </w:r>
          </w:p>
        </w:tc>
        <w:tc>
          <w:tcPr>
            <w:tcW w:w="908" w:type="dxa"/>
            <w:vAlign w:val="center"/>
          </w:tcPr>
          <w:p w14:paraId="4BDF94A6">
            <w:pPr>
              <w:pStyle w:val="4"/>
              <w:rPr>
                <w:rFonts w:hint="default" w:ascii="Times New Roman" w:hAnsi="Times New Roman" w:cs="Times New Roman"/>
                <w:color w:val="auto"/>
              </w:rPr>
            </w:pPr>
            <w:r>
              <w:rPr>
                <w:rFonts w:hint="default" w:ascii="Times New Roman" w:hAnsi="Times New Roman" w:cs="Times New Roman"/>
                <w:color w:val="auto"/>
              </w:rPr>
              <w:t>场地平整</w:t>
            </w:r>
          </w:p>
        </w:tc>
        <w:tc>
          <w:tcPr>
            <w:tcW w:w="915" w:type="dxa"/>
            <w:vAlign w:val="center"/>
          </w:tcPr>
          <w:p w14:paraId="3302072B">
            <w:pPr>
              <w:pStyle w:val="4"/>
              <w:rPr>
                <w:rFonts w:hint="default" w:ascii="Times New Roman" w:hAnsi="Times New Roman" w:cs="Times New Roman"/>
                <w:color w:val="auto"/>
              </w:rPr>
            </w:pPr>
            <w:r>
              <w:rPr>
                <w:rFonts w:hint="default" w:ascii="Times New Roman" w:hAnsi="Times New Roman" w:cs="Times New Roman"/>
                <w:color w:val="auto"/>
              </w:rPr>
              <w:t>合计</w:t>
            </w:r>
          </w:p>
        </w:tc>
      </w:tr>
      <w:tr w14:paraId="46D9C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51" w:type="dxa"/>
            <w:vAlign w:val="center"/>
          </w:tcPr>
          <w:p w14:paraId="10A1B180">
            <w:pPr>
              <w:pStyle w:val="4"/>
              <w:rPr>
                <w:rFonts w:hint="default" w:ascii="Times New Roman" w:hAnsi="Times New Roman" w:cs="Times New Roman"/>
                <w:color w:val="auto"/>
              </w:rPr>
            </w:pPr>
            <w:r>
              <w:rPr>
                <w:rFonts w:hint="default" w:ascii="Times New Roman" w:hAnsi="Times New Roman" w:cs="Times New Roman"/>
                <w:color w:val="auto"/>
              </w:rPr>
              <w:t>开发费用</w:t>
            </w:r>
          </w:p>
        </w:tc>
        <w:tc>
          <w:tcPr>
            <w:tcW w:w="908" w:type="dxa"/>
            <w:vAlign w:val="center"/>
          </w:tcPr>
          <w:p w14:paraId="27DF62C0">
            <w:pPr>
              <w:pStyle w:val="4"/>
              <w:rPr>
                <w:rFonts w:hint="default" w:ascii="Times New Roman" w:hAnsi="Times New Roman" w:cs="Times New Roman"/>
                <w:color w:val="auto"/>
              </w:rPr>
            </w:pPr>
            <w:r>
              <w:rPr>
                <w:rFonts w:hint="default" w:ascii="Times New Roman" w:hAnsi="Times New Roman" w:cs="Times New Roman"/>
                <w:color w:val="auto"/>
              </w:rPr>
              <w:t>20</w:t>
            </w:r>
          </w:p>
        </w:tc>
        <w:tc>
          <w:tcPr>
            <w:tcW w:w="908" w:type="dxa"/>
            <w:vAlign w:val="center"/>
          </w:tcPr>
          <w:p w14:paraId="1CEA0471">
            <w:pPr>
              <w:pStyle w:val="4"/>
              <w:rPr>
                <w:rFonts w:hint="default" w:ascii="Times New Roman" w:hAnsi="Times New Roman" w:cs="Times New Roman"/>
                <w:color w:val="auto"/>
              </w:rPr>
            </w:pPr>
            <w:r>
              <w:rPr>
                <w:rFonts w:hint="default" w:ascii="Times New Roman" w:hAnsi="Times New Roman" w:cs="Times New Roman"/>
                <w:color w:val="auto"/>
              </w:rPr>
              <w:t>10</w:t>
            </w:r>
          </w:p>
        </w:tc>
        <w:tc>
          <w:tcPr>
            <w:tcW w:w="908" w:type="dxa"/>
            <w:vAlign w:val="center"/>
          </w:tcPr>
          <w:p w14:paraId="7A88A398">
            <w:pPr>
              <w:pStyle w:val="4"/>
              <w:rPr>
                <w:rFonts w:hint="default" w:ascii="Times New Roman" w:hAnsi="Times New Roman" w:cs="Times New Roman"/>
                <w:color w:val="auto"/>
              </w:rPr>
            </w:pPr>
            <w:r>
              <w:rPr>
                <w:rFonts w:hint="default" w:ascii="Times New Roman" w:hAnsi="Times New Roman" w:cs="Times New Roman"/>
                <w:color w:val="auto"/>
              </w:rPr>
              <w:t>15</w:t>
            </w:r>
          </w:p>
        </w:tc>
        <w:tc>
          <w:tcPr>
            <w:tcW w:w="908" w:type="dxa"/>
            <w:vAlign w:val="center"/>
          </w:tcPr>
          <w:p w14:paraId="54D7C0A6">
            <w:pPr>
              <w:pStyle w:val="4"/>
              <w:rPr>
                <w:rFonts w:hint="default" w:ascii="Times New Roman" w:hAnsi="Times New Roman" w:cs="Times New Roman"/>
                <w:color w:val="auto"/>
              </w:rPr>
            </w:pPr>
            <w:r>
              <w:rPr>
                <w:rFonts w:hint="default" w:ascii="Times New Roman" w:hAnsi="Times New Roman" w:cs="Times New Roman"/>
                <w:color w:val="auto"/>
              </w:rPr>
              <w:t>15</w:t>
            </w:r>
          </w:p>
        </w:tc>
        <w:tc>
          <w:tcPr>
            <w:tcW w:w="908" w:type="dxa"/>
            <w:vAlign w:val="center"/>
          </w:tcPr>
          <w:p w14:paraId="03BA9FF2">
            <w:pPr>
              <w:pStyle w:val="4"/>
              <w:rPr>
                <w:rFonts w:hint="default" w:ascii="Times New Roman" w:hAnsi="Times New Roman" w:cs="Times New Roman"/>
                <w:color w:val="auto"/>
              </w:rPr>
            </w:pPr>
            <w:r>
              <w:rPr>
                <w:rFonts w:hint="default" w:ascii="Times New Roman" w:hAnsi="Times New Roman" w:cs="Times New Roman"/>
                <w:color w:val="auto"/>
              </w:rPr>
              <w:t>10</w:t>
            </w:r>
          </w:p>
        </w:tc>
        <w:tc>
          <w:tcPr>
            <w:tcW w:w="908" w:type="dxa"/>
            <w:vAlign w:val="center"/>
          </w:tcPr>
          <w:p w14:paraId="2ED312B6">
            <w:pPr>
              <w:pStyle w:val="4"/>
              <w:rPr>
                <w:rFonts w:hint="default" w:ascii="Times New Roman" w:hAnsi="Times New Roman" w:cs="Times New Roman"/>
                <w:color w:val="auto"/>
              </w:rPr>
            </w:pPr>
            <w:r>
              <w:rPr>
                <w:rFonts w:hint="default" w:ascii="Times New Roman" w:hAnsi="Times New Roman" w:cs="Times New Roman"/>
                <w:color w:val="auto"/>
              </w:rPr>
              <w:t>20</w:t>
            </w:r>
          </w:p>
        </w:tc>
        <w:tc>
          <w:tcPr>
            <w:tcW w:w="908" w:type="dxa"/>
            <w:vAlign w:val="center"/>
          </w:tcPr>
          <w:p w14:paraId="71F32592">
            <w:pPr>
              <w:pStyle w:val="4"/>
              <w:rPr>
                <w:rFonts w:hint="default" w:ascii="Times New Roman" w:hAnsi="Times New Roman" w:cs="Times New Roman"/>
                <w:color w:val="auto"/>
              </w:rPr>
            </w:pPr>
            <w:r>
              <w:rPr>
                <w:rFonts w:hint="default" w:ascii="Times New Roman" w:hAnsi="Times New Roman" w:cs="Times New Roman"/>
                <w:color w:val="auto"/>
              </w:rPr>
              <w:t>30</w:t>
            </w:r>
          </w:p>
        </w:tc>
        <w:tc>
          <w:tcPr>
            <w:tcW w:w="915" w:type="dxa"/>
            <w:vAlign w:val="center"/>
          </w:tcPr>
          <w:p w14:paraId="387D4F2B">
            <w:pPr>
              <w:pStyle w:val="4"/>
              <w:rPr>
                <w:rFonts w:hint="default" w:ascii="Times New Roman" w:hAnsi="Times New Roman" w:cs="Times New Roman"/>
                <w:color w:val="auto"/>
              </w:rPr>
            </w:pPr>
            <w:r>
              <w:rPr>
                <w:rFonts w:hint="default" w:ascii="Times New Roman" w:hAnsi="Times New Roman" w:cs="Times New Roman"/>
                <w:color w:val="auto"/>
              </w:rPr>
              <w:t>120</w:t>
            </w:r>
          </w:p>
        </w:tc>
      </w:tr>
    </w:tbl>
    <w:p w14:paraId="1828AECB">
      <w:pPr>
        <w:spacing w:line="600" w:lineRule="exact"/>
        <w:ind w:firstLine="600"/>
        <w:rPr>
          <w:rFonts w:hint="default" w:ascii="Times New Roman" w:hAnsi="Times New Roman" w:cs="Times New Roman"/>
          <w:sz w:val="30"/>
        </w:rPr>
      </w:pPr>
    </w:p>
    <w:p w14:paraId="76DBBD76">
      <w:pPr>
        <w:rPr>
          <w:rFonts w:hint="default" w:ascii="Times New Roman" w:hAnsi="Times New Roman" w:cs="Times New Roman"/>
        </w:rPr>
        <w:sectPr>
          <w:headerReference r:id="rId7" w:type="default"/>
          <w:footerReference r:id="rId8" w:type="default"/>
          <w:pgSz w:w="11906" w:h="16838"/>
          <w:pgMar w:top="1962" w:right="1474" w:bottom="1848" w:left="1587" w:header="851" w:footer="1077" w:gutter="0"/>
          <w:pgNumType w:fmt="decimal"/>
          <w:cols w:space="425" w:num="1"/>
          <w:rtlGutter w:val="0"/>
          <w:docGrid w:type="lines" w:linePitch="312" w:charSpace="0"/>
        </w:sectPr>
      </w:pPr>
      <w:r>
        <w:rPr>
          <w:rFonts w:hint="default" w:ascii="Times New Roman" w:hAnsi="Times New Roman" w:cs="Times New Roman"/>
        </w:rPr>
        <w:br w:type="page"/>
      </w:r>
    </w:p>
    <w:p w14:paraId="11EF04C6">
      <w:pPr>
        <w:spacing w:line="600" w:lineRule="exact"/>
        <w:rPr>
          <w:rFonts w:hint="default" w:ascii="Times New Roman" w:hAnsi="Times New Roman" w:cs="Times New Roman"/>
        </w:rPr>
      </w:pPr>
      <w:r>
        <w:rPr>
          <w:rFonts w:hint="default" w:ascii="Times New Roman" w:hAnsi="Times New Roman" w:eastAsia="方正黑体_GBK" w:cs="Times New Roman"/>
          <w:bCs/>
          <w:sz w:val="32"/>
          <w:szCs w:val="32"/>
          <w:u w:val="none"/>
          <w:lang w:val="en-US" w:eastAsia="zh-CN"/>
        </w:rPr>
        <w:t>附表4.5</w:t>
      </w:r>
      <w:bookmarkStart w:id="1" w:name="_Toc12302230"/>
      <w:bookmarkStart w:id="2" w:name="_Toc12368128"/>
      <w:bookmarkStart w:id="3" w:name="_Toc9331202"/>
      <w:bookmarkStart w:id="4" w:name="_Toc9272789"/>
      <w:r>
        <w:rPr>
          <w:rFonts w:hint="default" w:ascii="Times New Roman" w:hAnsi="Times New Roman" w:cs="Times New Roman"/>
        </w:rPr>
        <w:t>（区域和个别因素修正系数表</w:t>
      </w:r>
      <w:bookmarkEnd w:id="1"/>
      <w:bookmarkEnd w:id="2"/>
      <w:bookmarkEnd w:id="3"/>
      <w:bookmarkEnd w:id="4"/>
      <w:r>
        <w:rPr>
          <w:rFonts w:hint="default" w:ascii="Times New Roman" w:hAnsi="Times New Roman" w:cs="Times New Roman"/>
        </w:rPr>
        <w:t>）</w:t>
      </w:r>
    </w:p>
    <w:p w14:paraId="3FF55091">
      <w:pPr>
        <w:adjustRightInd w:val="0"/>
        <w:snapToGrid w:val="0"/>
        <w:ind w:firstLine="360"/>
        <w:jc w:val="center"/>
        <w:rPr>
          <w:rFonts w:hint="default" w:ascii="Times New Roman" w:hAnsi="Times New Roman" w:eastAsia="黑体" w:cs="Times New Roman"/>
          <w:sz w:val="24"/>
          <w:szCs w:val="24"/>
        </w:rPr>
      </w:pPr>
      <w:bookmarkStart w:id="5" w:name="_Toc12368129"/>
      <w:bookmarkStart w:id="6" w:name="_Toc9331203"/>
      <w:bookmarkStart w:id="7" w:name="_Toc12302231"/>
      <w:bookmarkStart w:id="8" w:name="_Toc9272790"/>
      <w:r>
        <w:rPr>
          <w:rFonts w:hint="default" w:ascii="Times New Roman" w:hAnsi="Times New Roman" w:eastAsia="黑体" w:cs="Times New Roman"/>
          <w:sz w:val="24"/>
          <w:szCs w:val="24"/>
        </w:rPr>
        <w:t>黔江区商服用地基准地价修正因素指标说明及修正系数表</w:t>
      </w:r>
      <w:bookmarkEnd w:id="5"/>
      <w:bookmarkEnd w:id="6"/>
      <w:bookmarkEnd w:id="7"/>
      <w:bookmarkEnd w:id="8"/>
    </w:p>
    <w:tbl>
      <w:tblPr>
        <w:tblStyle w:val="10"/>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54"/>
        <w:gridCol w:w="1611"/>
        <w:gridCol w:w="1352"/>
        <w:gridCol w:w="1352"/>
        <w:gridCol w:w="1352"/>
        <w:gridCol w:w="1352"/>
        <w:gridCol w:w="1353"/>
        <w:gridCol w:w="892"/>
        <w:gridCol w:w="892"/>
        <w:gridCol w:w="892"/>
        <w:gridCol w:w="892"/>
        <w:gridCol w:w="895"/>
      </w:tblGrid>
      <w:tr w14:paraId="520DB2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0" w:type="dxa"/>
            <w:gridSpan w:val="3"/>
            <w:vMerge w:val="restart"/>
            <w:vAlign w:val="center"/>
          </w:tcPr>
          <w:p w14:paraId="45CF157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宗地修正因素</w:t>
            </w:r>
          </w:p>
        </w:tc>
        <w:tc>
          <w:tcPr>
            <w:tcW w:w="6761" w:type="dxa"/>
            <w:gridSpan w:val="5"/>
            <w:vAlign w:val="center"/>
          </w:tcPr>
          <w:p w14:paraId="339F9C7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指标说明</w:t>
            </w:r>
          </w:p>
        </w:tc>
        <w:tc>
          <w:tcPr>
            <w:tcW w:w="4463" w:type="dxa"/>
            <w:gridSpan w:val="5"/>
            <w:vAlign w:val="center"/>
          </w:tcPr>
          <w:p w14:paraId="6F0B0DF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修正系数</w:t>
            </w:r>
          </w:p>
        </w:tc>
      </w:tr>
      <w:tr w14:paraId="1A9E6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0" w:type="dxa"/>
            <w:gridSpan w:val="3"/>
            <w:vMerge w:val="continue"/>
            <w:vAlign w:val="center"/>
          </w:tcPr>
          <w:p w14:paraId="1AFA0C74">
            <w:pPr>
              <w:widowControl/>
              <w:spacing w:line="300" w:lineRule="exact"/>
              <w:jc w:val="left"/>
              <w:rPr>
                <w:rFonts w:hint="default" w:ascii="Times New Roman" w:hAnsi="Times New Roman" w:cs="Times New Roman"/>
                <w:color w:val="000000"/>
                <w:kern w:val="0"/>
                <w:sz w:val="16"/>
                <w:szCs w:val="16"/>
              </w:rPr>
            </w:pPr>
          </w:p>
        </w:tc>
        <w:tc>
          <w:tcPr>
            <w:tcW w:w="1352" w:type="dxa"/>
            <w:vAlign w:val="center"/>
          </w:tcPr>
          <w:p w14:paraId="0CDD299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优</w:t>
            </w:r>
          </w:p>
        </w:tc>
        <w:tc>
          <w:tcPr>
            <w:tcW w:w="1352" w:type="dxa"/>
            <w:vAlign w:val="center"/>
          </w:tcPr>
          <w:p w14:paraId="62BEF13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较优</w:t>
            </w:r>
          </w:p>
        </w:tc>
        <w:tc>
          <w:tcPr>
            <w:tcW w:w="1352" w:type="dxa"/>
            <w:vAlign w:val="center"/>
          </w:tcPr>
          <w:p w14:paraId="341AA9B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一般</w:t>
            </w:r>
          </w:p>
        </w:tc>
        <w:tc>
          <w:tcPr>
            <w:tcW w:w="1352" w:type="dxa"/>
            <w:vAlign w:val="center"/>
          </w:tcPr>
          <w:p w14:paraId="69C9174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较差</w:t>
            </w:r>
          </w:p>
        </w:tc>
        <w:tc>
          <w:tcPr>
            <w:tcW w:w="1353" w:type="dxa"/>
            <w:vAlign w:val="center"/>
          </w:tcPr>
          <w:p w14:paraId="14F23B0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差</w:t>
            </w:r>
          </w:p>
        </w:tc>
        <w:tc>
          <w:tcPr>
            <w:tcW w:w="892" w:type="dxa"/>
            <w:vAlign w:val="center"/>
          </w:tcPr>
          <w:p w14:paraId="1FC1C06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优</w:t>
            </w:r>
          </w:p>
        </w:tc>
        <w:tc>
          <w:tcPr>
            <w:tcW w:w="892" w:type="dxa"/>
            <w:vAlign w:val="center"/>
          </w:tcPr>
          <w:p w14:paraId="2D5985A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较优</w:t>
            </w:r>
          </w:p>
        </w:tc>
        <w:tc>
          <w:tcPr>
            <w:tcW w:w="892" w:type="dxa"/>
            <w:vAlign w:val="center"/>
          </w:tcPr>
          <w:p w14:paraId="0499E8C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一般</w:t>
            </w:r>
          </w:p>
        </w:tc>
        <w:tc>
          <w:tcPr>
            <w:tcW w:w="892" w:type="dxa"/>
            <w:vAlign w:val="center"/>
          </w:tcPr>
          <w:p w14:paraId="2298332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较差</w:t>
            </w:r>
          </w:p>
        </w:tc>
        <w:tc>
          <w:tcPr>
            <w:tcW w:w="895" w:type="dxa"/>
            <w:vAlign w:val="center"/>
          </w:tcPr>
          <w:p w14:paraId="2B69668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差</w:t>
            </w:r>
          </w:p>
        </w:tc>
      </w:tr>
      <w:tr w14:paraId="68B641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restart"/>
            <w:vAlign w:val="center"/>
          </w:tcPr>
          <w:p w14:paraId="4698E98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区域因素</w:t>
            </w:r>
          </w:p>
        </w:tc>
        <w:tc>
          <w:tcPr>
            <w:tcW w:w="654" w:type="dxa"/>
            <w:vMerge w:val="restart"/>
            <w:vAlign w:val="center"/>
          </w:tcPr>
          <w:p w14:paraId="449E398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商服繁华度</w:t>
            </w:r>
          </w:p>
        </w:tc>
        <w:tc>
          <w:tcPr>
            <w:tcW w:w="1611" w:type="dxa"/>
            <w:vAlign w:val="center"/>
          </w:tcPr>
          <w:p w14:paraId="2D16579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距离商服中心距离（m）</w:t>
            </w:r>
          </w:p>
        </w:tc>
        <w:tc>
          <w:tcPr>
            <w:tcW w:w="1352" w:type="dxa"/>
            <w:vAlign w:val="center"/>
          </w:tcPr>
          <w:p w14:paraId="3C08B96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150（含）以下</w:t>
            </w:r>
          </w:p>
        </w:tc>
        <w:tc>
          <w:tcPr>
            <w:tcW w:w="1352" w:type="dxa"/>
            <w:vAlign w:val="center"/>
          </w:tcPr>
          <w:p w14:paraId="175D79B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150-1000（含）</w:t>
            </w:r>
          </w:p>
        </w:tc>
        <w:tc>
          <w:tcPr>
            <w:tcW w:w="1352" w:type="dxa"/>
            <w:vAlign w:val="center"/>
          </w:tcPr>
          <w:p w14:paraId="3D5F029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1000-1500（含）</w:t>
            </w:r>
          </w:p>
        </w:tc>
        <w:tc>
          <w:tcPr>
            <w:tcW w:w="1352" w:type="dxa"/>
            <w:vAlign w:val="center"/>
          </w:tcPr>
          <w:p w14:paraId="48BE2A9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1500-2000（含）</w:t>
            </w:r>
          </w:p>
        </w:tc>
        <w:tc>
          <w:tcPr>
            <w:tcW w:w="1353" w:type="dxa"/>
            <w:vAlign w:val="center"/>
          </w:tcPr>
          <w:p w14:paraId="7753F59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2000以上</w:t>
            </w:r>
          </w:p>
        </w:tc>
        <w:tc>
          <w:tcPr>
            <w:tcW w:w="892" w:type="dxa"/>
            <w:vAlign w:val="center"/>
          </w:tcPr>
          <w:p w14:paraId="190736A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4.4</w:t>
            </w:r>
          </w:p>
        </w:tc>
        <w:tc>
          <w:tcPr>
            <w:tcW w:w="892" w:type="dxa"/>
            <w:vAlign w:val="center"/>
          </w:tcPr>
          <w:p w14:paraId="3C6A431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c>
          <w:tcPr>
            <w:tcW w:w="892" w:type="dxa"/>
            <w:vAlign w:val="center"/>
          </w:tcPr>
          <w:p w14:paraId="244926D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10CB750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c>
          <w:tcPr>
            <w:tcW w:w="895" w:type="dxa"/>
            <w:vAlign w:val="center"/>
          </w:tcPr>
          <w:p w14:paraId="3113625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-4.4</w:t>
            </w:r>
          </w:p>
        </w:tc>
      </w:tr>
      <w:tr w14:paraId="01214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1381FF55">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550290E0">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00D3346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商业网点密度</w:t>
            </w:r>
          </w:p>
        </w:tc>
        <w:tc>
          <w:tcPr>
            <w:tcW w:w="1352" w:type="dxa"/>
            <w:vAlign w:val="center"/>
          </w:tcPr>
          <w:p w14:paraId="4181A6F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密集</w:t>
            </w:r>
          </w:p>
        </w:tc>
        <w:tc>
          <w:tcPr>
            <w:tcW w:w="1352" w:type="dxa"/>
            <w:vAlign w:val="center"/>
          </w:tcPr>
          <w:p w14:paraId="145A7A3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较密集</w:t>
            </w:r>
          </w:p>
        </w:tc>
        <w:tc>
          <w:tcPr>
            <w:tcW w:w="1352" w:type="dxa"/>
            <w:vAlign w:val="center"/>
          </w:tcPr>
          <w:p w14:paraId="6AEE157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一般</w:t>
            </w:r>
          </w:p>
        </w:tc>
        <w:tc>
          <w:tcPr>
            <w:tcW w:w="1352" w:type="dxa"/>
            <w:vAlign w:val="center"/>
          </w:tcPr>
          <w:p w14:paraId="3DA5EAF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较不密集</w:t>
            </w:r>
          </w:p>
        </w:tc>
        <w:tc>
          <w:tcPr>
            <w:tcW w:w="1353" w:type="dxa"/>
            <w:vAlign w:val="center"/>
          </w:tcPr>
          <w:p w14:paraId="2ECE0CC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不密集</w:t>
            </w:r>
          </w:p>
        </w:tc>
        <w:tc>
          <w:tcPr>
            <w:tcW w:w="892" w:type="dxa"/>
            <w:vAlign w:val="center"/>
          </w:tcPr>
          <w:p w14:paraId="355CB76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2.4</w:t>
            </w:r>
          </w:p>
        </w:tc>
        <w:tc>
          <w:tcPr>
            <w:tcW w:w="892" w:type="dxa"/>
            <w:vAlign w:val="center"/>
          </w:tcPr>
          <w:p w14:paraId="7A4447E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1.2</w:t>
            </w:r>
          </w:p>
        </w:tc>
        <w:tc>
          <w:tcPr>
            <w:tcW w:w="892" w:type="dxa"/>
            <w:vAlign w:val="center"/>
          </w:tcPr>
          <w:p w14:paraId="094004A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118BE9C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-1.2</w:t>
            </w:r>
          </w:p>
        </w:tc>
        <w:tc>
          <w:tcPr>
            <w:tcW w:w="895" w:type="dxa"/>
            <w:vAlign w:val="center"/>
          </w:tcPr>
          <w:p w14:paraId="6BBC528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-2.4</w:t>
            </w:r>
          </w:p>
        </w:tc>
      </w:tr>
      <w:tr w14:paraId="1808E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325B2558">
            <w:pPr>
              <w:widowControl/>
              <w:spacing w:line="300" w:lineRule="exact"/>
              <w:jc w:val="left"/>
              <w:rPr>
                <w:rFonts w:hint="default" w:ascii="Times New Roman" w:hAnsi="Times New Roman" w:cs="Times New Roman"/>
                <w:color w:val="000000"/>
                <w:kern w:val="0"/>
                <w:sz w:val="16"/>
                <w:szCs w:val="16"/>
              </w:rPr>
            </w:pPr>
          </w:p>
        </w:tc>
        <w:tc>
          <w:tcPr>
            <w:tcW w:w="654" w:type="dxa"/>
            <w:vMerge w:val="restart"/>
            <w:vAlign w:val="center"/>
          </w:tcPr>
          <w:p w14:paraId="7C5761B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交通条件</w:t>
            </w:r>
          </w:p>
        </w:tc>
        <w:tc>
          <w:tcPr>
            <w:tcW w:w="1611" w:type="dxa"/>
            <w:vAlign w:val="center"/>
          </w:tcPr>
          <w:p w14:paraId="71401FB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临街道路类型</w:t>
            </w:r>
          </w:p>
        </w:tc>
        <w:tc>
          <w:tcPr>
            <w:tcW w:w="1352" w:type="dxa"/>
            <w:vAlign w:val="center"/>
          </w:tcPr>
          <w:p w14:paraId="054A27C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50米内有主干道</w:t>
            </w:r>
          </w:p>
        </w:tc>
        <w:tc>
          <w:tcPr>
            <w:tcW w:w="1352" w:type="dxa"/>
            <w:vAlign w:val="center"/>
          </w:tcPr>
          <w:p w14:paraId="2E845B4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100米内有主干道</w:t>
            </w:r>
          </w:p>
        </w:tc>
        <w:tc>
          <w:tcPr>
            <w:tcW w:w="1352" w:type="dxa"/>
            <w:vAlign w:val="center"/>
          </w:tcPr>
          <w:p w14:paraId="6327BE1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200米内有主干道</w:t>
            </w:r>
          </w:p>
        </w:tc>
        <w:tc>
          <w:tcPr>
            <w:tcW w:w="1352" w:type="dxa"/>
            <w:vAlign w:val="center"/>
          </w:tcPr>
          <w:p w14:paraId="4EB2B9F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200米内有次干道</w:t>
            </w:r>
          </w:p>
        </w:tc>
        <w:tc>
          <w:tcPr>
            <w:tcW w:w="1353" w:type="dxa"/>
            <w:vAlign w:val="center"/>
          </w:tcPr>
          <w:p w14:paraId="75707DD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200米外有次干道</w:t>
            </w:r>
          </w:p>
        </w:tc>
        <w:tc>
          <w:tcPr>
            <w:tcW w:w="892" w:type="dxa"/>
            <w:vAlign w:val="center"/>
          </w:tcPr>
          <w:p w14:paraId="7B47EDB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1.3</w:t>
            </w:r>
          </w:p>
        </w:tc>
        <w:tc>
          <w:tcPr>
            <w:tcW w:w="892" w:type="dxa"/>
            <w:vAlign w:val="center"/>
          </w:tcPr>
          <w:p w14:paraId="773F87B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c>
          <w:tcPr>
            <w:tcW w:w="892" w:type="dxa"/>
            <w:vAlign w:val="center"/>
          </w:tcPr>
          <w:p w14:paraId="006523A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4F8DB41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c>
          <w:tcPr>
            <w:tcW w:w="895" w:type="dxa"/>
            <w:vAlign w:val="center"/>
          </w:tcPr>
          <w:p w14:paraId="2E6861D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-1.3</w:t>
            </w:r>
          </w:p>
        </w:tc>
      </w:tr>
      <w:tr w14:paraId="760A4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0C661361">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488A1D16">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6464D41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公交线路数（条）</w:t>
            </w:r>
          </w:p>
        </w:tc>
        <w:tc>
          <w:tcPr>
            <w:tcW w:w="1352" w:type="dxa"/>
            <w:vAlign w:val="center"/>
          </w:tcPr>
          <w:p w14:paraId="7297807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6（含）以上</w:t>
            </w:r>
          </w:p>
        </w:tc>
        <w:tc>
          <w:tcPr>
            <w:tcW w:w="1352" w:type="dxa"/>
            <w:vAlign w:val="center"/>
          </w:tcPr>
          <w:p w14:paraId="65B98E0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4-5</w:t>
            </w:r>
          </w:p>
        </w:tc>
        <w:tc>
          <w:tcPr>
            <w:tcW w:w="1352" w:type="dxa"/>
            <w:vAlign w:val="center"/>
          </w:tcPr>
          <w:p w14:paraId="20CD6C8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2-3</w:t>
            </w:r>
          </w:p>
        </w:tc>
        <w:tc>
          <w:tcPr>
            <w:tcW w:w="1352" w:type="dxa"/>
            <w:vAlign w:val="center"/>
          </w:tcPr>
          <w:p w14:paraId="55225A5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w:t>
            </w:r>
          </w:p>
        </w:tc>
        <w:tc>
          <w:tcPr>
            <w:tcW w:w="1353" w:type="dxa"/>
            <w:vAlign w:val="center"/>
          </w:tcPr>
          <w:p w14:paraId="129DB59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无</w:t>
            </w:r>
          </w:p>
        </w:tc>
        <w:tc>
          <w:tcPr>
            <w:tcW w:w="892" w:type="dxa"/>
            <w:vAlign w:val="center"/>
          </w:tcPr>
          <w:p w14:paraId="78E94DF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c>
          <w:tcPr>
            <w:tcW w:w="892" w:type="dxa"/>
            <w:vAlign w:val="center"/>
          </w:tcPr>
          <w:p w14:paraId="1C7CED2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2" w:type="dxa"/>
            <w:vAlign w:val="center"/>
          </w:tcPr>
          <w:p w14:paraId="4AECC73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43576DC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5" w:type="dxa"/>
            <w:vAlign w:val="center"/>
          </w:tcPr>
          <w:p w14:paraId="402387A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r>
      <w:tr w14:paraId="444F1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739C35F8">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7AE73B93">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1E028BF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距火车站的距离（m）</w:t>
            </w:r>
          </w:p>
        </w:tc>
        <w:tc>
          <w:tcPr>
            <w:tcW w:w="1352" w:type="dxa"/>
            <w:vAlign w:val="center"/>
          </w:tcPr>
          <w:p w14:paraId="02C47B0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1000（含）以下</w:t>
            </w:r>
          </w:p>
        </w:tc>
        <w:tc>
          <w:tcPr>
            <w:tcW w:w="1352" w:type="dxa"/>
            <w:vAlign w:val="center"/>
          </w:tcPr>
          <w:p w14:paraId="04B9A4B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1000-1500（含）</w:t>
            </w:r>
          </w:p>
        </w:tc>
        <w:tc>
          <w:tcPr>
            <w:tcW w:w="1352" w:type="dxa"/>
            <w:vAlign w:val="center"/>
          </w:tcPr>
          <w:p w14:paraId="6734497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1500-2000（含）</w:t>
            </w:r>
          </w:p>
        </w:tc>
        <w:tc>
          <w:tcPr>
            <w:tcW w:w="1352" w:type="dxa"/>
            <w:vAlign w:val="center"/>
          </w:tcPr>
          <w:p w14:paraId="6077CA3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2000-3000（含）</w:t>
            </w:r>
          </w:p>
        </w:tc>
        <w:tc>
          <w:tcPr>
            <w:tcW w:w="1353" w:type="dxa"/>
            <w:vAlign w:val="center"/>
          </w:tcPr>
          <w:p w14:paraId="3A66827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3000以上</w:t>
            </w:r>
          </w:p>
        </w:tc>
        <w:tc>
          <w:tcPr>
            <w:tcW w:w="892" w:type="dxa"/>
            <w:vAlign w:val="center"/>
          </w:tcPr>
          <w:p w14:paraId="473D6FA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c>
          <w:tcPr>
            <w:tcW w:w="892" w:type="dxa"/>
            <w:vAlign w:val="center"/>
          </w:tcPr>
          <w:p w14:paraId="4BCCB20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2" w:type="dxa"/>
            <w:vAlign w:val="center"/>
          </w:tcPr>
          <w:p w14:paraId="006C74A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0C54291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5" w:type="dxa"/>
            <w:vAlign w:val="center"/>
          </w:tcPr>
          <w:p w14:paraId="3233A62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r>
      <w:tr w14:paraId="1D535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07F4CAD7">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37D5BDD2">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0DE1E4F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距机场的距离（m）</w:t>
            </w:r>
          </w:p>
        </w:tc>
        <w:tc>
          <w:tcPr>
            <w:tcW w:w="1352" w:type="dxa"/>
            <w:vAlign w:val="center"/>
          </w:tcPr>
          <w:p w14:paraId="16C5715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1000（含）以下</w:t>
            </w:r>
          </w:p>
        </w:tc>
        <w:tc>
          <w:tcPr>
            <w:tcW w:w="1352" w:type="dxa"/>
            <w:vAlign w:val="center"/>
          </w:tcPr>
          <w:p w14:paraId="3031D44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1000-2000（含）</w:t>
            </w:r>
          </w:p>
        </w:tc>
        <w:tc>
          <w:tcPr>
            <w:tcW w:w="1352" w:type="dxa"/>
            <w:vAlign w:val="center"/>
          </w:tcPr>
          <w:p w14:paraId="7F149DA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2000-3000（含）</w:t>
            </w:r>
          </w:p>
        </w:tc>
        <w:tc>
          <w:tcPr>
            <w:tcW w:w="1352" w:type="dxa"/>
            <w:vAlign w:val="center"/>
          </w:tcPr>
          <w:p w14:paraId="1D6D37A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3000-4000（含）</w:t>
            </w:r>
          </w:p>
        </w:tc>
        <w:tc>
          <w:tcPr>
            <w:tcW w:w="1353" w:type="dxa"/>
            <w:vAlign w:val="center"/>
          </w:tcPr>
          <w:p w14:paraId="5F5BD1C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4000以上</w:t>
            </w:r>
          </w:p>
        </w:tc>
        <w:tc>
          <w:tcPr>
            <w:tcW w:w="892" w:type="dxa"/>
            <w:vAlign w:val="center"/>
          </w:tcPr>
          <w:p w14:paraId="271326F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c>
          <w:tcPr>
            <w:tcW w:w="892" w:type="dxa"/>
            <w:vAlign w:val="center"/>
          </w:tcPr>
          <w:p w14:paraId="2FBD26D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2" w:type="dxa"/>
            <w:vAlign w:val="center"/>
          </w:tcPr>
          <w:p w14:paraId="47D5DF4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52F6B94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5" w:type="dxa"/>
            <w:vAlign w:val="center"/>
          </w:tcPr>
          <w:p w14:paraId="5B79C4A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r>
      <w:tr w14:paraId="79418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1F4F5F46">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0253FE71">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3D90BA8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距长途汽车站的距离（m）</w:t>
            </w:r>
          </w:p>
        </w:tc>
        <w:tc>
          <w:tcPr>
            <w:tcW w:w="1352" w:type="dxa"/>
            <w:vAlign w:val="center"/>
          </w:tcPr>
          <w:p w14:paraId="0096DF9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1000（含） 以下</w:t>
            </w:r>
          </w:p>
        </w:tc>
        <w:tc>
          <w:tcPr>
            <w:tcW w:w="1352" w:type="dxa"/>
            <w:vAlign w:val="center"/>
          </w:tcPr>
          <w:p w14:paraId="0FDD8DF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1000-1500（含）</w:t>
            </w:r>
          </w:p>
        </w:tc>
        <w:tc>
          <w:tcPr>
            <w:tcW w:w="1352" w:type="dxa"/>
            <w:vAlign w:val="center"/>
          </w:tcPr>
          <w:p w14:paraId="014AC4F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1500-2000（含）</w:t>
            </w:r>
          </w:p>
        </w:tc>
        <w:tc>
          <w:tcPr>
            <w:tcW w:w="1352" w:type="dxa"/>
            <w:vAlign w:val="center"/>
          </w:tcPr>
          <w:p w14:paraId="4109936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2000-3000（含）</w:t>
            </w:r>
          </w:p>
        </w:tc>
        <w:tc>
          <w:tcPr>
            <w:tcW w:w="1353" w:type="dxa"/>
            <w:vAlign w:val="center"/>
          </w:tcPr>
          <w:p w14:paraId="285B71A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3000以上</w:t>
            </w:r>
          </w:p>
        </w:tc>
        <w:tc>
          <w:tcPr>
            <w:tcW w:w="892" w:type="dxa"/>
            <w:vAlign w:val="center"/>
          </w:tcPr>
          <w:p w14:paraId="0A06FD3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c>
          <w:tcPr>
            <w:tcW w:w="892" w:type="dxa"/>
            <w:vAlign w:val="center"/>
          </w:tcPr>
          <w:p w14:paraId="6A76921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2" w:type="dxa"/>
            <w:vAlign w:val="center"/>
          </w:tcPr>
          <w:p w14:paraId="1E39B2D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4DEBFCE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5" w:type="dxa"/>
            <w:vAlign w:val="center"/>
          </w:tcPr>
          <w:p w14:paraId="71514EB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r>
      <w:tr w14:paraId="71FCE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16B91069">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17D07A20">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5812A45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距高速公路出口的距离（m）</w:t>
            </w:r>
          </w:p>
        </w:tc>
        <w:tc>
          <w:tcPr>
            <w:tcW w:w="1352" w:type="dxa"/>
            <w:vAlign w:val="center"/>
          </w:tcPr>
          <w:p w14:paraId="6AD2933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1000（含） 以下</w:t>
            </w:r>
          </w:p>
        </w:tc>
        <w:tc>
          <w:tcPr>
            <w:tcW w:w="1352" w:type="dxa"/>
            <w:vAlign w:val="center"/>
          </w:tcPr>
          <w:p w14:paraId="74513EC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1000-1500（含）</w:t>
            </w:r>
          </w:p>
        </w:tc>
        <w:tc>
          <w:tcPr>
            <w:tcW w:w="1352" w:type="dxa"/>
            <w:vAlign w:val="center"/>
          </w:tcPr>
          <w:p w14:paraId="117DBC4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1500-2000（含）</w:t>
            </w:r>
          </w:p>
        </w:tc>
        <w:tc>
          <w:tcPr>
            <w:tcW w:w="1352" w:type="dxa"/>
            <w:vAlign w:val="center"/>
          </w:tcPr>
          <w:p w14:paraId="74689F5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2000-3000（含）</w:t>
            </w:r>
          </w:p>
        </w:tc>
        <w:tc>
          <w:tcPr>
            <w:tcW w:w="1353" w:type="dxa"/>
            <w:vAlign w:val="center"/>
          </w:tcPr>
          <w:p w14:paraId="35DCA6D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3000以上</w:t>
            </w:r>
          </w:p>
        </w:tc>
        <w:tc>
          <w:tcPr>
            <w:tcW w:w="892" w:type="dxa"/>
            <w:vAlign w:val="center"/>
          </w:tcPr>
          <w:p w14:paraId="1ACC307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c>
          <w:tcPr>
            <w:tcW w:w="892" w:type="dxa"/>
            <w:vAlign w:val="center"/>
          </w:tcPr>
          <w:p w14:paraId="535D102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0.1</w:t>
            </w:r>
          </w:p>
        </w:tc>
        <w:tc>
          <w:tcPr>
            <w:tcW w:w="892" w:type="dxa"/>
            <w:vAlign w:val="center"/>
          </w:tcPr>
          <w:p w14:paraId="4223096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64153FD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-0.1</w:t>
            </w:r>
          </w:p>
        </w:tc>
        <w:tc>
          <w:tcPr>
            <w:tcW w:w="895" w:type="dxa"/>
            <w:vAlign w:val="center"/>
          </w:tcPr>
          <w:p w14:paraId="2121192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-0.2</w:t>
            </w:r>
          </w:p>
        </w:tc>
      </w:tr>
      <w:tr w14:paraId="166BA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4AB9204A">
            <w:pPr>
              <w:widowControl/>
              <w:spacing w:line="300" w:lineRule="exact"/>
              <w:jc w:val="left"/>
              <w:rPr>
                <w:rFonts w:hint="default" w:ascii="Times New Roman" w:hAnsi="Times New Roman" w:cs="Times New Roman"/>
                <w:color w:val="000000"/>
                <w:kern w:val="0"/>
                <w:sz w:val="16"/>
                <w:szCs w:val="16"/>
              </w:rPr>
            </w:pPr>
          </w:p>
        </w:tc>
        <w:tc>
          <w:tcPr>
            <w:tcW w:w="654" w:type="dxa"/>
            <w:vMerge w:val="restart"/>
            <w:vAlign w:val="center"/>
          </w:tcPr>
          <w:p w14:paraId="3EEFC9F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基础设施</w:t>
            </w:r>
          </w:p>
        </w:tc>
        <w:tc>
          <w:tcPr>
            <w:tcW w:w="1611" w:type="dxa"/>
            <w:vAlign w:val="center"/>
          </w:tcPr>
          <w:p w14:paraId="386FD85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供水保证度（%）</w:t>
            </w:r>
          </w:p>
        </w:tc>
        <w:tc>
          <w:tcPr>
            <w:tcW w:w="1352" w:type="dxa"/>
            <w:vAlign w:val="center"/>
          </w:tcPr>
          <w:p w14:paraId="6ACEE13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95（含）以上</w:t>
            </w:r>
          </w:p>
        </w:tc>
        <w:tc>
          <w:tcPr>
            <w:tcW w:w="1352" w:type="dxa"/>
            <w:vAlign w:val="center"/>
          </w:tcPr>
          <w:p w14:paraId="7AB1143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90（含）-95</w:t>
            </w:r>
          </w:p>
        </w:tc>
        <w:tc>
          <w:tcPr>
            <w:tcW w:w="1352" w:type="dxa"/>
            <w:vAlign w:val="center"/>
          </w:tcPr>
          <w:p w14:paraId="15FB108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85（含）-90</w:t>
            </w:r>
          </w:p>
        </w:tc>
        <w:tc>
          <w:tcPr>
            <w:tcW w:w="1352" w:type="dxa"/>
            <w:vAlign w:val="center"/>
          </w:tcPr>
          <w:p w14:paraId="5C3308C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70（含）-85</w:t>
            </w:r>
          </w:p>
        </w:tc>
        <w:tc>
          <w:tcPr>
            <w:tcW w:w="1353" w:type="dxa"/>
            <w:vAlign w:val="center"/>
          </w:tcPr>
          <w:p w14:paraId="496A5BD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70以下</w:t>
            </w:r>
          </w:p>
        </w:tc>
        <w:tc>
          <w:tcPr>
            <w:tcW w:w="892" w:type="dxa"/>
            <w:vAlign w:val="center"/>
          </w:tcPr>
          <w:p w14:paraId="313E8C6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c>
          <w:tcPr>
            <w:tcW w:w="892" w:type="dxa"/>
            <w:vAlign w:val="center"/>
          </w:tcPr>
          <w:p w14:paraId="6236312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0.3</w:t>
            </w:r>
          </w:p>
        </w:tc>
        <w:tc>
          <w:tcPr>
            <w:tcW w:w="892" w:type="dxa"/>
            <w:vAlign w:val="center"/>
          </w:tcPr>
          <w:p w14:paraId="0B6AAAF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67881A9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-0.3</w:t>
            </w:r>
          </w:p>
        </w:tc>
        <w:tc>
          <w:tcPr>
            <w:tcW w:w="895" w:type="dxa"/>
            <w:vAlign w:val="center"/>
          </w:tcPr>
          <w:p w14:paraId="1988354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r>
      <w:tr w14:paraId="19503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0503FAE0">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2DDE58DA">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3F61794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供电保证度（%）</w:t>
            </w:r>
          </w:p>
        </w:tc>
        <w:tc>
          <w:tcPr>
            <w:tcW w:w="1352" w:type="dxa"/>
            <w:vAlign w:val="center"/>
          </w:tcPr>
          <w:p w14:paraId="3F523BB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95（含）以上</w:t>
            </w:r>
          </w:p>
        </w:tc>
        <w:tc>
          <w:tcPr>
            <w:tcW w:w="1352" w:type="dxa"/>
            <w:vAlign w:val="center"/>
          </w:tcPr>
          <w:p w14:paraId="5F137E7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90（含）-95</w:t>
            </w:r>
          </w:p>
        </w:tc>
        <w:tc>
          <w:tcPr>
            <w:tcW w:w="1352" w:type="dxa"/>
            <w:vAlign w:val="center"/>
          </w:tcPr>
          <w:p w14:paraId="0B4ADFD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85（含）-90</w:t>
            </w:r>
          </w:p>
        </w:tc>
        <w:tc>
          <w:tcPr>
            <w:tcW w:w="1352" w:type="dxa"/>
            <w:vAlign w:val="center"/>
          </w:tcPr>
          <w:p w14:paraId="2B71088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75（含）-85</w:t>
            </w:r>
          </w:p>
        </w:tc>
        <w:tc>
          <w:tcPr>
            <w:tcW w:w="1353" w:type="dxa"/>
            <w:vAlign w:val="center"/>
          </w:tcPr>
          <w:p w14:paraId="3A4FC0B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75以下</w:t>
            </w:r>
          </w:p>
        </w:tc>
        <w:tc>
          <w:tcPr>
            <w:tcW w:w="892" w:type="dxa"/>
            <w:vAlign w:val="center"/>
          </w:tcPr>
          <w:p w14:paraId="71B1171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c>
          <w:tcPr>
            <w:tcW w:w="892" w:type="dxa"/>
            <w:vAlign w:val="center"/>
          </w:tcPr>
          <w:p w14:paraId="5FB750B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0.3</w:t>
            </w:r>
          </w:p>
        </w:tc>
        <w:tc>
          <w:tcPr>
            <w:tcW w:w="892" w:type="dxa"/>
            <w:vAlign w:val="center"/>
          </w:tcPr>
          <w:p w14:paraId="187EB72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6F0B156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-0.3</w:t>
            </w:r>
          </w:p>
        </w:tc>
        <w:tc>
          <w:tcPr>
            <w:tcW w:w="895" w:type="dxa"/>
            <w:vAlign w:val="center"/>
          </w:tcPr>
          <w:p w14:paraId="3F6E813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r>
      <w:tr w14:paraId="7B29E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29E05397">
            <w:pPr>
              <w:widowControl/>
              <w:spacing w:line="300" w:lineRule="exact"/>
              <w:jc w:val="left"/>
              <w:rPr>
                <w:rFonts w:hint="default" w:ascii="Times New Roman" w:hAnsi="Times New Roman" w:cs="Times New Roman"/>
                <w:color w:val="000000"/>
                <w:kern w:val="0"/>
                <w:sz w:val="16"/>
                <w:szCs w:val="16"/>
              </w:rPr>
            </w:pPr>
          </w:p>
        </w:tc>
        <w:tc>
          <w:tcPr>
            <w:tcW w:w="654" w:type="dxa"/>
            <w:vMerge w:val="continue"/>
            <w:vAlign w:val="center"/>
          </w:tcPr>
          <w:p w14:paraId="114CDE48">
            <w:pPr>
              <w:widowControl/>
              <w:spacing w:line="300" w:lineRule="exact"/>
              <w:jc w:val="left"/>
              <w:rPr>
                <w:rFonts w:hint="default" w:ascii="Times New Roman" w:hAnsi="Times New Roman" w:cs="Times New Roman"/>
                <w:color w:val="000000"/>
                <w:kern w:val="0"/>
                <w:sz w:val="16"/>
                <w:szCs w:val="16"/>
              </w:rPr>
            </w:pPr>
          </w:p>
        </w:tc>
        <w:tc>
          <w:tcPr>
            <w:tcW w:w="1611" w:type="dxa"/>
            <w:vAlign w:val="center"/>
          </w:tcPr>
          <w:p w14:paraId="4FA0AD0D">
            <w:pPr>
              <w:widowControl/>
              <w:spacing w:line="300" w:lineRule="exact"/>
              <w:jc w:val="center"/>
              <w:rPr>
                <w:rFonts w:hint="default" w:ascii="Times New Roman" w:hAnsi="Times New Roman" w:cs="Times New Roman"/>
                <w:color w:val="000000"/>
                <w:kern w:val="0"/>
                <w:sz w:val="16"/>
                <w:szCs w:val="16"/>
              </w:rPr>
            </w:pPr>
            <w:r>
              <w:rPr>
                <w:rFonts w:hint="eastAsia" w:ascii="Times New Roman" w:hAnsi="Times New Roman" w:cs="Times New Roman"/>
                <w:color w:val="000000"/>
                <w:kern w:val="0"/>
                <w:sz w:val="16"/>
                <w:szCs w:val="16"/>
                <w:lang w:eastAsia="zh-CN"/>
              </w:rPr>
              <w:t>通信</w:t>
            </w:r>
            <w:r>
              <w:rPr>
                <w:rFonts w:hint="default" w:ascii="Times New Roman" w:hAnsi="Times New Roman" w:cs="Times New Roman"/>
                <w:color w:val="000000"/>
                <w:kern w:val="0"/>
                <w:sz w:val="16"/>
                <w:szCs w:val="16"/>
              </w:rPr>
              <w:t>保证度（%）</w:t>
            </w:r>
          </w:p>
        </w:tc>
        <w:tc>
          <w:tcPr>
            <w:tcW w:w="1352" w:type="dxa"/>
            <w:vAlign w:val="center"/>
          </w:tcPr>
          <w:p w14:paraId="3FF2850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95（含）以上</w:t>
            </w:r>
          </w:p>
        </w:tc>
        <w:tc>
          <w:tcPr>
            <w:tcW w:w="1352" w:type="dxa"/>
            <w:vAlign w:val="center"/>
          </w:tcPr>
          <w:p w14:paraId="428D0A0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90（含）-95</w:t>
            </w:r>
          </w:p>
        </w:tc>
        <w:tc>
          <w:tcPr>
            <w:tcW w:w="1352" w:type="dxa"/>
            <w:vAlign w:val="center"/>
          </w:tcPr>
          <w:p w14:paraId="458EC6C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85（含）-90</w:t>
            </w:r>
          </w:p>
        </w:tc>
        <w:tc>
          <w:tcPr>
            <w:tcW w:w="1352" w:type="dxa"/>
            <w:vAlign w:val="center"/>
          </w:tcPr>
          <w:p w14:paraId="579901B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75（含）-85</w:t>
            </w:r>
          </w:p>
        </w:tc>
        <w:tc>
          <w:tcPr>
            <w:tcW w:w="1353" w:type="dxa"/>
            <w:vAlign w:val="center"/>
          </w:tcPr>
          <w:p w14:paraId="0EEAAF1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75以下</w:t>
            </w:r>
          </w:p>
        </w:tc>
        <w:tc>
          <w:tcPr>
            <w:tcW w:w="892" w:type="dxa"/>
            <w:vAlign w:val="center"/>
          </w:tcPr>
          <w:p w14:paraId="30B5351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c>
          <w:tcPr>
            <w:tcW w:w="892" w:type="dxa"/>
            <w:vAlign w:val="center"/>
          </w:tcPr>
          <w:p w14:paraId="25CDF3B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0.3</w:t>
            </w:r>
          </w:p>
        </w:tc>
        <w:tc>
          <w:tcPr>
            <w:tcW w:w="892" w:type="dxa"/>
            <w:vAlign w:val="center"/>
          </w:tcPr>
          <w:p w14:paraId="064295B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332D146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-0.3</w:t>
            </w:r>
          </w:p>
        </w:tc>
        <w:tc>
          <w:tcPr>
            <w:tcW w:w="895" w:type="dxa"/>
            <w:vAlign w:val="center"/>
          </w:tcPr>
          <w:p w14:paraId="3014B35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r>
      <w:tr w14:paraId="0BD05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70EBC236">
            <w:pPr>
              <w:widowControl/>
              <w:spacing w:line="300" w:lineRule="exact"/>
              <w:jc w:val="left"/>
              <w:rPr>
                <w:rFonts w:hint="default" w:ascii="Times New Roman" w:hAnsi="Times New Roman" w:cs="Times New Roman"/>
                <w:color w:val="000000"/>
                <w:kern w:val="0"/>
                <w:sz w:val="16"/>
                <w:szCs w:val="16"/>
              </w:rPr>
            </w:pPr>
          </w:p>
        </w:tc>
        <w:tc>
          <w:tcPr>
            <w:tcW w:w="2265" w:type="dxa"/>
            <w:gridSpan w:val="2"/>
            <w:vAlign w:val="center"/>
          </w:tcPr>
          <w:p w14:paraId="64CEEDA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人口状况（客流万人次/日）</w:t>
            </w:r>
          </w:p>
        </w:tc>
        <w:tc>
          <w:tcPr>
            <w:tcW w:w="1352" w:type="dxa"/>
            <w:vAlign w:val="center"/>
          </w:tcPr>
          <w:p w14:paraId="0DFC5BD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10（含）以上</w:t>
            </w:r>
          </w:p>
        </w:tc>
        <w:tc>
          <w:tcPr>
            <w:tcW w:w="1352" w:type="dxa"/>
            <w:vAlign w:val="center"/>
          </w:tcPr>
          <w:p w14:paraId="48B12CF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6（含）-10</w:t>
            </w:r>
          </w:p>
        </w:tc>
        <w:tc>
          <w:tcPr>
            <w:tcW w:w="1352" w:type="dxa"/>
            <w:vAlign w:val="center"/>
          </w:tcPr>
          <w:p w14:paraId="2B2031A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3（含）-6</w:t>
            </w:r>
          </w:p>
        </w:tc>
        <w:tc>
          <w:tcPr>
            <w:tcW w:w="1352" w:type="dxa"/>
            <w:vAlign w:val="center"/>
          </w:tcPr>
          <w:p w14:paraId="0E7384B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1（含）-3</w:t>
            </w:r>
          </w:p>
        </w:tc>
        <w:tc>
          <w:tcPr>
            <w:tcW w:w="1353" w:type="dxa"/>
            <w:vAlign w:val="center"/>
          </w:tcPr>
          <w:p w14:paraId="586CBE2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1以下</w:t>
            </w:r>
          </w:p>
        </w:tc>
        <w:tc>
          <w:tcPr>
            <w:tcW w:w="892" w:type="dxa"/>
            <w:vAlign w:val="center"/>
          </w:tcPr>
          <w:p w14:paraId="7AAC1D1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c>
          <w:tcPr>
            <w:tcW w:w="892" w:type="dxa"/>
            <w:vAlign w:val="center"/>
          </w:tcPr>
          <w:p w14:paraId="7893C3A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c>
          <w:tcPr>
            <w:tcW w:w="892" w:type="dxa"/>
            <w:vAlign w:val="center"/>
          </w:tcPr>
          <w:p w14:paraId="77A20E4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6B2A53D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c>
          <w:tcPr>
            <w:tcW w:w="895" w:type="dxa"/>
            <w:vAlign w:val="center"/>
          </w:tcPr>
          <w:p w14:paraId="3539EF2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r>
      <w:tr w14:paraId="395E6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242F84ED">
            <w:pPr>
              <w:widowControl/>
              <w:spacing w:line="300" w:lineRule="exact"/>
              <w:jc w:val="left"/>
              <w:rPr>
                <w:rFonts w:hint="default" w:ascii="Times New Roman" w:hAnsi="Times New Roman" w:cs="Times New Roman"/>
                <w:color w:val="000000"/>
                <w:kern w:val="0"/>
                <w:sz w:val="16"/>
                <w:szCs w:val="16"/>
              </w:rPr>
            </w:pPr>
          </w:p>
        </w:tc>
        <w:tc>
          <w:tcPr>
            <w:tcW w:w="2265" w:type="dxa"/>
            <w:gridSpan w:val="2"/>
            <w:vAlign w:val="center"/>
          </w:tcPr>
          <w:p w14:paraId="39E1BE0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规划状况</w:t>
            </w:r>
          </w:p>
        </w:tc>
        <w:tc>
          <w:tcPr>
            <w:tcW w:w="1352" w:type="dxa"/>
            <w:vAlign w:val="center"/>
          </w:tcPr>
          <w:p w14:paraId="7ACA909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有利</w:t>
            </w:r>
          </w:p>
        </w:tc>
        <w:tc>
          <w:tcPr>
            <w:tcW w:w="1352" w:type="dxa"/>
            <w:vAlign w:val="center"/>
          </w:tcPr>
          <w:p w14:paraId="60B1F42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较有利</w:t>
            </w:r>
          </w:p>
        </w:tc>
        <w:tc>
          <w:tcPr>
            <w:tcW w:w="1352" w:type="dxa"/>
            <w:vAlign w:val="center"/>
          </w:tcPr>
          <w:p w14:paraId="471731D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无影响</w:t>
            </w:r>
          </w:p>
        </w:tc>
        <w:tc>
          <w:tcPr>
            <w:tcW w:w="1352" w:type="dxa"/>
            <w:vAlign w:val="center"/>
          </w:tcPr>
          <w:p w14:paraId="22035A3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较不利</w:t>
            </w:r>
          </w:p>
        </w:tc>
        <w:tc>
          <w:tcPr>
            <w:tcW w:w="1353" w:type="dxa"/>
            <w:vAlign w:val="center"/>
          </w:tcPr>
          <w:p w14:paraId="29BAAB9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不利</w:t>
            </w:r>
          </w:p>
        </w:tc>
        <w:tc>
          <w:tcPr>
            <w:tcW w:w="892" w:type="dxa"/>
            <w:vAlign w:val="center"/>
          </w:tcPr>
          <w:p w14:paraId="05B0679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1.3</w:t>
            </w:r>
          </w:p>
        </w:tc>
        <w:tc>
          <w:tcPr>
            <w:tcW w:w="892" w:type="dxa"/>
            <w:vAlign w:val="center"/>
          </w:tcPr>
          <w:p w14:paraId="50E4835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c>
          <w:tcPr>
            <w:tcW w:w="892" w:type="dxa"/>
            <w:vAlign w:val="center"/>
          </w:tcPr>
          <w:p w14:paraId="5874277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557EEE3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-0.7</w:t>
            </w:r>
          </w:p>
        </w:tc>
        <w:tc>
          <w:tcPr>
            <w:tcW w:w="895" w:type="dxa"/>
            <w:vAlign w:val="center"/>
          </w:tcPr>
          <w:p w14:paraId="2EB75FC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-1.3</w:t>
            </w:r>
          </w:p>
        </w:tc>
      </w:tr>
      <w:tr w14:paraId="36069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restart"/>
            <w:vAlign w:val="center"/>
          </w:tcPr>
          <w:p w14:paraId="5E100F8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个别因素</w:t>
            </w:r>
          </w:p>
        </w:tc>
        <w:tc>
          <w:tcPr>
            <w:tcW w:w="2265" w:type="dxa"/>
            <w:gridSpan w:val="2"/>
            <w:vAlign w:val="center"/>
          </w:tcPr>
          <w:p w14:paraId="71D1CA1A">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距公交站点的距离（m）</w:t>
            </w:r>
          </w:p>
        </w:tc>
        <w:tc>
          <w:tcPr>
            <w:tcW w:w="1352" w:type="dxa"/>
            <w:vAlign w:val="center"/>
          </w:tcPr>
          <w:p w14:paraId="1FA3BAE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100（含）以下</w:t>
            </w:r>
          </w:p>
        </w:tc>
        <w:tc>
          <w:tcPr>
            <w:tcW w:w="1352" w:type="dxa"/>
            <w:vAlign w:val="center"/>
          </w:tcPr>
          <w:p w14:paraId="56CCA1E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100-300（含）</w:t>
            </w:r>
          </w:p>
        </w:tc>
        <w:tc>
          <w:tcPr>
            <w:tcW w:w="1352" w:type="dxa"/>
            <w:vAlign w:val="center"/>
          </w:tcPr>
          <w:p w14:paraId="11FCBE6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300-800（含）</w:t>
            </w:r>
          </w:p>
        </w:tc>
        <w:tc>
          <w:tcPr>
            <w:tcW w:w="1352" w:type="dxa"/>
            <w:vAlign w:val="center"/>
          </w:tcPr>
          <w:p w14:paraId="72E0E963">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800-1500（含）</w:t>
            </w:r>
          </w:p>
        </w:tc>
        <w:tc>
          <w:tcPr>
            <w:tcW w:w="1353" w:type="dxa"/>
            <w:vAlign w:val="center"/>
          </w:tcPr>
          <w:p w14:paraId="15808AB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1500以上</w:t>
            </w:r>
          </w:p>
        </w:tc>
        <w:tc>
          <w:tcPr>
            <w:tcW w:w="892" w:type="dxa"/>
            <w:vAlign w:val="center"/>
          </w:tcPr>
          <w:p w14:paraId="0B83948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0.8</w:t>
            </w:r>
          </w:p>
        </w:tc>
        <w:tc>
          <w:tcPr>
            <w:tcW w:w="892" w:type="dxa"/>
            <w:vAlign w:val="center"/>
          </w:tcPr>
          <w:p w14:paraId="7345BC7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c>
          <w:tcPr>
            <w:tcW w:w="892" w:type="dxa"/>
            <w:vAlign w:val="center"/>
          </w:tcPr>
          <w:p w14:paraId="5E07D37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41C269F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w:t>
            </w:r>
          </w:p>
        </w:tc>
        <w:tc>
          <w:tcPr>
            <w:tcW w:w="895" w:type="dxa"/>
            <w:vAlign w:val="center"/>
          </w:tcPr>
          <w:p w14:paraId="05446C1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-0.8</w:t>
            </w:r>
          </w:p>
        </w:tc>
      </w:tr>
      <w:tr w14:paraId="3FBCF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47C13E77">
            <w:pPr>
              <w:widowControl/>
              <w:spacing w:line="300" w:lineRule="exact"/>
              <w:jc w:val="left"/>
              <w:rPr>
                <w:rFonts w:hint="default" w:ascii="Times New Roman" w:hAnsi="Times New Roman" w:cs="Times New Roman"/>
                <w:color w:val="000000"/>
                <w:kern w:val="0"/>
                <w:sz w:val="16"/>
                <w:szCs w:val="16"/>
              </w:rPr>
            </w:pPr>
          </w:p>
        </w:tc>
        <w:tc>
          <w:tcPr>
            <w:tcW w:w="2265" w:type="dxa"/>
            <w:gridSpan w:val="2"/>
            <w:vAlign w:val="center"/>
          </w:tcPr>
          <w:p w14:paraId="7BFCD5E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宗地临街状况</w:t>
            </w:r>
          </w:p>
        </w:tc>
        <w:tc>
          <w:tcPr>
            <w:tcW w:w="1352" w:type="dxa"/>
            <w:vAlign w:val="center"/>
          </w:tcPr>
          <w:p w14:paraId="1508655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三面临街</w:t>
            </w:r>
          </w:p>
        </w:tc>
        <w:tc>
          <w:tcPr>
            <w:tcW w:w="1352" w:type="dxa"/>
            <w:vAlign w:val="center"/>
          </w:tcPr>
          <w:p w14:paraId="05B77EB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两面临街</w:t>
            </w:r>
          </w:p>
        </w:tc>
        <w:tc>
          <w:tcPr>
            <w:tcW w:w="1352" w:type="dxa"/>
            <w:vAlign w:val="center"/>
          </w:tcPr>
          <w:p w14:paraId="495755C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一面临街</w:t>
            </w:r>
          </w:p>
        </w:tc>
        <w:tc>
          <w:tcPr>
            <w:tcW w:w="1352" w:type="dxa"/>
            <w:vAlign w:val="center"/>
          </w:tcPr>
          <w:p w14:paraId="350B85F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袋地</w:t>
            </w:r>
          </w:p>
        </w:tc>
        <w:tc>
          <w:tcPr>
            <w:tcW w:w="1353" w:type="dxa"/>
            <w:vAlign w:val="center"/>
          </w:tcPr>
          <w:p w14:paraId="4931C48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袋地（严重影响利用）</w:t>
            </w:r>
          </w:p>
        </w:tc>
        <w:tc>
          <w:tcPr>
            <w:tcW w:w="892" w:type="dxa"/>
            <w:vAlign w:val="center"/>
          </w:tcPr>
          <w:p w14:paraId="4DA0129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2.4</w:t>
            </w:r>
          </w:p>
        </w:tc>
        <w:tc>
          <w:tcPr>
            <w:tcW w:w="892" w:type="dxa"/>
            <w:vAlign w:val="center"/>
          </w:tcPr>
          <w:p w14:paraId="315F311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1.2</w:t>
            </w:r>
          </w:p>
        </w:tc>
        <w:tc>
          <w:tcPr>
            <w:tcW w:w="892" w:type="dxa"/>
            <w:vAlign w:val="center"/>
          </w:tcPr>
          <w:p w14:paraId="02CD9CF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3F01715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-1.2</w:t>
            </w:r>
          </w:p>
        </w:tc>
        <w:tc>
          <w:tcPr>
            <w:tcW w:w="895" w:type="dxa"/>
            <w:vAlign w:val="center"/>
          </w:tcPr>
          <w:p w14:paraId="0C2F11E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-2.4</w:t>
            </w:r>
          </w:p>
        </w:tc>
      </w:tr>
      <w:tr w14:paraId="6235E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0CBBFF76">
            <w:pPr>
              <w:widowControl/>
              <w:spacing w:line="300" w:lineRule="exact"/>
              <w:jc w:val="left"/>
              <w:rPr>
                <w:rFonts w:hint="default" w:ascii="Times New Roman" w:hAnsi="Times New Roman" w:cs="Times New Roman"/>
                <w:color w:val="000000"/>
                <w:kern w:val="0"/>
                <w:sz w:val="16"/>
                <w:szCs w:val="16"/>
              </w:rPr>
            </w:pPr>
          </w:p>
        </w:tc>
        <w:tc>
          <w:tcPr>
            <w:tcW w:w="2265" w:type="dxa"/>
            <w:gridSpan w:val="2"/>
            <w:vAlign w:val="center"/>
          </w:tcPr>
          <w:p w14:paraId="0629066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宗地宽深比</w:t>
            </w:r>
          </w:p>
        </w:tc>
        <w:tc>
          <w:tcPr>
            <w:tcW w:w="1352" w:type="dxa"/>
            <w:vAlign w:val="center"/>
          </w:tcPr>
          <w:p w14:paraId="68D8A412">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1.6（含）以上</w:t>
            </w:r>
          </w:p>
        </w:tc>
        <w:tc>
          <w:tcPr>
            <w:tcW w:w="1352" w:type="dxa"/>
            <w:vAlign w:val="center"/>
          </w:tcPr>
          <w:p w14:paraId="721E673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1.2（含）-1.6</w:t>
            </w:r>
          </w:p>
        </w:tc>
        <w:tc>
          <w:tcPr>
            <w:tcW w:w="1352" w:type="dxa"/>
            <w:vAlign w:val="center"/>
          </w:tcPr>
          <w:p w14:paraId="0EA2D54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0.8（含）-1.2</w:t>
            </w:r>
          </w:p>
        </w:tc>
        <w:tc>
          <w:tcPr>
            <w:tcW w:w="1352" w:type="dxa"/>
            <w:vAlign w:val="center"/>
          </w:tcPr>
          <w:p w14:paraId="647F8087">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0.4（含）-0.8</w:t>
            </w:r>
          </w:p>
        </w:tc>
        <w:tc>
          <w:tcPr>
            <w:tcW w:w="1353" w:type="dxa"/>
            <w:vAlign w:val="center"/>
          </w:tcPr>
          <w:p w14:paraId="460B5D3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0.4以下</w:t>
            </w:r>
          </w:p>
        </w:tc>
        <w:tc>
          <w:tcPr>
            <w:tcW w:w="892" w:type="dxa"/>
            <w:vAlign w:val="center"/>
          </w:tcPr>
          <w:p w14:paraId="0465BD0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c>
          <w:tcPr>
            <w:tcW w:w="892" w:type="dxa"/>
            <w:vAlign w:val="center"/>
          </w:tcPr>
          <w:p w14:paraId="07B4167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c>
          <w:tcPr>
            <w:tcW w:w="892" w:type="dxa"/>
            <w:vAlign w:val="center"/>
          </w:tcPr>
          <w:p w14:paraId="53B60EC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528E675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c>
          <w:tcPr>
            <w:tcW w:w="895" w:type="dxa"/>
            <w:vAlign w:val="center"/>
          </w:tcPr>
          <w:p w14:paraId="71B849DC">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r>
      <w:tr w14:paraId="0C7DD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39221F90">
            <w:pPr>
              <w:widowControl/>
              <w:spacing w:line="300" w:lineRule="exact"/>
              <w:jc w:val="left"/>
              <w:rPr>
                <w:rFonts w:hint="default" w:ascii="Times New Roman" w:hAnsi="Times New Roman" w:cs="Times New Roman"/>
                <w:color w:val="000000"/>
                <w:kern w:val="0"/>
                <w:sz w:val="16"/>
                <w:szCs w:val="16"/>
              </w:rPr>
            </w:pPr>
          </w:p>
        </w:tc>
        <w:tc>
          <w:tcPr>
            <w:tcW w:w="2265" w:type="dxa"/>
            <w:gridSpan w:val="2"/>
            <w:vAlign w:val="center"/>
          </w:tcPr>
          <w:p w14:paraId="63DBFBD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宗地的整形度</w:t>
            </w:r>
          </w:p>
        </w:tc>
        <w:tc>
          <w:tcPr>
            <w:tcW w:w="1352" w:type="dxa"/>
            <w:vAlign w:val="center"/>
          </w:tcPr>
          <w:p w14:paraId="75B057E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规则</w:t>
            </w:r>
          </w:p>
        </w:tc>
        <w:tc>
          <w:tcPr>
            <w:tcW w:w="1352" w:type="dxa"/>
            <w:vAlign w:val="center"/>
          </w:tcPr>
          <w:p w14:paraId="7C543DE1">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较规则</w:t>
            </w:r>
          </w:p>
        </w:tc>
        <w:tc>
          <w:tcPr>
            <w:tcW w:w="1352" w:type="dxa"/>
            <w:vAlign w:val="center"/>
          </w:tcPr>
          <w:p w14:paraId="0B2E72F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一般</w:t>
            </w:r>
          </w:p>
        </w:tc>
        <w:tc>
          <w:tcPr>
            <w:tcW w:w="1352" w:type="dxa"/>
            <w:vAlign w:val="center"/>
          </w:tcPr>
          <w:p w14:paraId="171B9B04">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较不规则</w:t>
            </w:r>
          </w:p>
        </w:tc>
        <w:tc>
          <w:tcPr>
            <w:tcW w:w="1353" w:type="dxa"/>
            <w:vAlign w:val="center"/>
          </w:tcPr>
          <w:p w14:paraId="5FEB5916">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不规则</w:t>
            </w:r>
          </w:p>
        </w:tc>
        <w:tc>
          <w:tcPr>
            <w:tcW w:w="892" w:type="dxa"/>
            <w:vAlign w:val="center"/>
          </w:tcPr>
          <w:p w14:paraId="567EC96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c>
          <w:tcPr>
            <w:tcW w:w="892" w:type="dxa"/>
            <w:vAlign w:val="center"/>
          </w:tcPr>
          <w:p w14:paraId="2BF885DD">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0.6</w:t>
            </w:r>
          </w:p>
        </w:tc>
        <w:tc>
          <w:tcPr>
            <w:tcW w:w="892" w:type="dxa"/>
            <w:vAlign w:val="center"/>
          </w:tcPr>
          <w:p w14:paraId="28406860">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5985DE1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-0.6</w:t>
            </w:r>
          </w:p>
        </w:tc>
        <w:tc>
          <w:tcPr>
            <w:tcW w:w="895" w:type="dxa"/>
            <w:vAlign w:val="center"/>
          </w:tcPr>
          <w:p w14:paraId="494DDC2B">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r>
      <w:tr w14:paraId="0E89C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1" w:type="dxa"/>
            <w:gridSpan w:val="8"/>
            <w:vAlign w:val="center"/>
          </w:tcPr>
          <w:p w14:paraId="680B942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合计</w:t>
            </w:r>
          </w:p>
        </w:tc>
        <w:tc>
          <w:tcPr>
            <w:tcW w:w="892" w:type="dxa"/>
            <w:vAlign w:val="center"/>
          </w:tcPr>
          <w:p w14:paraId="0D76C315">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c>
          <w:tcPr>
            <w:tcW w:w="892" w:type="dxa"/>
            <w:vAlign w:val="center"/>
          </w:tcPr>
          <w:p w14:paraId="150FC4CF">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c>
          <w:tcPr>
            <w:tcW w:w="892" w:type="dxa"/>
            <w:vAlign w:val="center"/>
          </w:tcPr>
          <w:p w14:paraId="6DA7F998">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0</w:t>
            </w:r>
          </w:p>
        </w:tc>
        <w:tc>
          <w:tcPr>
            <w:tcW w:w="892" w:type="dxa"/>
            <w:vAlign w:val="center"/>
          </w:tcPr>
          <w:p w14:paraId="3230B04E">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-11</w:t>
            </w:r>
          </w:p>
        </w:tc>
        <w:tc>
          <w:tcPr>
            <w:tcW w:w="895" w:type="dxa"/>
            <w:vAlign w:val="center"/>
          </w:tcPr>
          <w:p w14:paraId="14FBE119">
            <w:pPr>
              <w:widowControl/>
              <w:spacing w:line="300" w:lineRule="exact"/>
              <w:jc w:val="center"/>
              <w:rPr>
                <w:rFonts w:hint="default" w:ascii="Times New Roman" w:hAnsi="Times New Roman" w:cs="Times New Roman"/>
                <w:color w:val="000000"/>
                <w:kern w:val="0"/>
                <w:sz w:val="16"/>
                <w:szCs w:val="16"/>
              </w:rPr>
            </w:pPr>
            <w:r>
              <w:rPr>
                <w:rFonts w:hint="default" w:ascii="Times New Roman" w:hAnsi="Times New Roman" w:cs="Times New Roman"/>
                <w:color w:val="000000"/>
                <w:kern w:val="0"/>
                <w:sz w:val="16"/>
                <w:szCs w:val="16"/>
              </w:rPr>
              <w:t>-22</w:t>
            </w:r>
          </w:p>
        </w:tc>
      </w:tr>
    </w:tbl>
    <w:p w14:paraId="471EC696">
      <w:pPr>
        <w:ind w:firstLine="360"/>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注：数字后标注（含）表示含本数</w:t>
      </w:r>
    </w:p>
    <w:p w14:paraId="2B41311A">
      <w:pPr>
        <w:pStyle w:val="3"/>
        <w:rPr>
          <w:rFonts w:hint="default" w:ascii="Times New Roman" w:hAnsi="Times New Roman" w:cs="Times New Roman"/>
        </w:rPr>
      </w:pPr>
    </w:p>
    <w:p w14:paraId="6B0EDDC6">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br w:type="page"/>
      </w:r>
    </w:p>
    <w:p w14:paraId="3E13CFCE">
      <w:pPr>
        <w:adjustRightInd w:val="0"/>
        <w:snapToGrid w:val="0"/>
        <w:ind w:firstLine="36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黔江区工矿仓储用地基准地价修正因素指标说明及修正系数表</w:t>
      </w:r>
    </w:p>
    <w:tbl>
      <w:tblPr>
        <w:tblStyle w:val="10"/>
        <w:tblW w:w="14174" w:type="dxa"/>
        <w:jc w:val="center"/>
        <w:tblLayout w:type="fixed"/>
        <w:tblCellMar>
          <w:top w:w="0" w:type="dxa"/>
          <w:left w:w="108" w:type="dxa"/>
          <w:bottom w:w="0" w:type="dxa"/>
          <w:right w:w="108" w:type="dxa"/>
        </w:tblCellMar>
      </w:tblPr>
      <w:tblGrid>
        <w:gridCol w:w="685"/>
        <w:gridCol w:w="695"/>
        <w:gridCol w:w="1843"/>
        <w:gridCol w:w="1203"/>
        <w:gridCol w:w="1203"/>
        <w:gridCol w:w="1203"/>
        <w:gridCol w:w="1203"/>
        <w:gridCol w:w="1204"/>
        <w:gridCol w:w="987"/>
        <w:gridCol w:w="987"/>
        <w:gridCol w:w="987"/>
        <w:gridCol w:w="987"/>
        <w:gridCol w:w="987"/>
      </w:tblGrid>
      <w:tr w14:paraId="2877BAB2">
        <w:tblPrEx>
          <w:tblCellMar>
            <w:top w:w="0" w:type="dxa"/>
            <w:left w:w="108" w:type="dxa"/>
            <w:bottom w:w="0" w:type="dxa"/>
            <w:right w:w="108" w:type="dxa"/>
          </w:tblCellMar>
        </w:tblPrEx>
        <w:trPr>
          <w:trHeight w:val="397" w:hRule="atLeast"/>
          <w:jc w:val="center"/>
        </w:trPr>
        <w:tc>
          <w:tcPr>
            <w:tcW w:w="3223" w:type="dxa"/>
            <w:gridSpan w:val="3"/>
            <w:vMerge w:val="restart"/>
            <w:tcBorders>
              <w:top w:val="single" w:color="auto" w:sz="12" w:space="0"/>
              <w:left w:val="single" w:color="auto" w:sz="12" w:space="0"/>
              <w:bottom w:val="single" w:color="auto" w:sz="4" w:space="0"/>
              <w:right w:val="single" w:color="auto" w:sz="4" w:space="0"/>
            </w:tcBorders>
            <w:vAlign w:val="center"/>
          </w:tcPr>
          <w:p w14:paraId="3F6CC9D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宗地修正因素</w:t>
            </w:r>
          </w:p>
        </w:tc>
        <w:tc>
          <w:tcPr>
            <w:tcW w:w="6016" w:type="dxa"/>
            <w:gridSpan w:val="5"/>
            <w:tcBorders>
              <w:top w:val="single" w:color="auto" w:sz="12" w:space="0"/>
              <w:left w:val="single" w:color="auto" w:sz="4" w:space="0"/>
              <w:bottom w:val="single" w:color="auto" w:sz="4" w:space="0"/>
              <w:right w:val="single" w:color="auto" w:sz="4" w:space="0"/>
            </w:tcBorders>
            <w:vAlign w:val="center"/>
          </w:tcPr>
          <w:p w14:paraId="0A94FD3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指标说明</w:t>
            </w:r>
          </w:p>
        </w:tc>
        <w:tc>
          <w:tcPr>
            <w:tcW w:w="4935" w:type="dxa"/>
            <w:gridSpan w:val="5"/>
            <w:tcBorders>
              <w:top w:val="single" w:color="auto" w:sz="12" w:space="0"/>
              <w:left w:val="single" w:color="auto" w:sz="4" w:space="0"/>
              <w:bottom w:val="single" w:color="auto" w:sz="4" w:space="0"/>
              <w:right w:val="single" w:color="auto" w:sz="12" w:space="0"/>
            </w:tcBorders>
            <w:vAlign w:val="center"/>
          </w:tcPr>
          <w:p w14:paraId="7EC205E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修正系数</w:t>
            </w:r>
          </w:p>
        </w:tc>
      </w:tr>
      <w:tr w14:paraId="3E993578">
        <w:tblPrEx>
          <w:tblCellMar>
            <w:top w:w="0" w:type="dxa"/>
            <w:left w:w="108" w:type="dxa"/>
            <w:bottom w:w="0" w:type="dxa"/>
            <w:right w:w="108" w:type="dxa"/>
          </w:tblCellMar>
        </w:tblPrEx>
        <w:trPr>
          <w:trHeight w:val="397" w:hRule="atLeast"/>
          <w:jc w:val="center"/>
        </w:trPr>
        <w:tc>
          <w:tcPr>
            <w:tcW w:w="3223" w:type="dxa"/>
            <w:gridSpan w:val="3"/>
            <w:vMerge w:val="continue"/>
            <w:tcBorders>
              <w:top w:val="single" w:color="auto" w:sz="4" w:space="0"/>
              <w:left w:val="single" w:color="auto" w:sz="12" w:space="0"/>
              <w:bottom w:val="single" w:color="auto" w:sz="4" w:space="0"/>
              <w:right w:val="single" w:color="auto" w:sz="4" w:space="0"/>
            </w:tcBorders>
            <w:vAlign w:val="center"/>
          </w:tcPr>
          <w:p w14:paraId="791268E9">
            <w:pPr>
              <w:widowControl/>
              <w:spacing w:line="300" w:lineRule="exact"/>
              <w:jc w:val="left"/>
              <w:rPr>
                <w:rFonts w:hint="default" w:ascii="Times New Roman" w:hAnsi="Times New Roman" w:cs="Times New Roman"/>
                <w:color w:val="000000"/>
                <w:kern w:val="0"/>
                <w:sz w:val="18"/>
                <w:szCs w:val="18"/>
              </w:rPr>
            </w:pPr>
          </w:p>
        </w:tc>
        <w:tc>
          <w:tcPr>
            <w:tcW w:w="1203" w:type="dxa"/>
            <w:tcBorders>
              <w:top w:val="single" w:color="auto" w:sz="4" w:space="0"/>
              <w:left w:val="single" w:color="auto" w:sz="4" w:space="0"/>
              <w:bottom w:val="single" w:color="auto" w:sz="4" w:space="0"/>
              <w:right w:val="single" w:color="auto" w:sz="4" w:space="0"/>
            </w:tcBorders>
            <w:vAlign w:val="center"/>
          </w:tcPr>
          <w:p w14:paraId="5A6A7DB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优</w:t>
            </w:r>
          </w:p>
        </w:tc>
        <w:tc>
          <w:tcPr>
            <w:tcW w:w="1203" w:type="dxa"/>
            <w:tcBorders>
              <w:top w:val="single" w:color="auto" w:sz="4" w:space="0"/>
              <w:left w:val="single" w:color="auto" w:sz="4" w:space="0"/>
              <w:bottom w:val="single" w:color="auto" w:sz="4" w:space="0"/>
              <w:right w:val="single" w:color="auto" w:sz="4" w:space="0"/>
            </w:tcBorders>
            <w:vAlign w:val="center"/>
          </w:tcPr>
          <w:p w14:paraId="7F819CE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较优</w:t>
            </w:r>
          </w:p>
        </w:tc>
        <w:tc>
          <w:tcPr>
            <w:tcW w:w="1203" w:type="dxa"/>
            <w:tcBorders>
              <w:top w:val="single" w:color="auto" w:sz="4" w:space="0"/>
              <w:left w:val="single" w:color="auto" w:sz="4" w:space="0"/>
              <w:bottom w:val="single" w:color="auto" w:sz="4" w:space="0"/>
              <w:right w:val="single" w:color="auto" w:sz="4" w:space="0"/>
            </w:tcBorders>
            <w:vAlign w:val="center"/>
          </w:tcPr>
          <w:p w14:paraId="06BC4DF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203" w:type="dxa"/>
            <w:tcBorders>
              <w:top w:val="single" w:color="auto" w:sz="4" w:space="0"/>
              <w:left w:val="single" w:color="auto" w:sz="4" w:space="0"/>
              <w:bottom w:val="single" w:color="auto" w:sz="4" w:space="0"/>
              <w:right w:val="single" w:color="auto" w:sz="4" w:space="0"/>
            </w:tcBorders>
            <w:vAlign w:val="center"/>
          </w:tcPr>
          <w:p w14:paraId="2B4DF50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较差</w:t>
            </w:r>
          </w:p>
        </w:tc>
        <w:tc>
          <w:tcPr>
            <w:tcW w:w="1204" w:type="dxa"/>
            <w:tcBorders>
              <w:top w:val="single" w:color="auto" w:sz="4" w:space="0"/>
              <w:left w:val="single" w:color="auto" w:sz="4" w:space="0"/>
              <w:bottom w:val="single" w:color="auto" w:sz="4" w:space="0"/>
              <w:right w:val="single" w:color="auto" w:sz="4" w:space="0"/>
            </w:tcBorders>
            <w:vAlign w:val="center"/>
          </w:tcPr>
          <w:p w14:paraId="1CA65C2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差</w:t>
            </w:r>
          </w:p>
        </w:tc>
        <w:tc>
          <w:tcPr>
            <w:tcW w:w="987" w:type="dxa"/>
            <w:tcBorders>
              <w:top w:val="single" w:color="auto" w:sz="4" w:space="0"/>
              <w:left w:val="single" w:color="auto" w:sz="4" w:space="0"/>
              <w:bottom w:val="single" w:color="auto" w:sz="4" w:space="0"/>
              <w:right w:val="single" w:color="auto" w:sz="4" w:space="0"/>
            </w:tcBorders>
            <w:vAlign w:val="center"/>
          </w:tcPr>
          <w:p w14:paraId="51A8B06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优</w:t>
            </w:r>
          </w:p>
        </w:tc>
        <w:tc>
          <w:tcPr>
            <w:tcW w:w="987" w:type="dxa"/>
            <w:tcBorders>
              <w:top w:val="single" w:color="auto" w:sz="4" w:space="0"/>
              <w:left w:val="single" w:color="auto" w:sz="4" w:space="0"/>
              <w:bottom w:val="single" w:color="auto" w:sz="4" w:space="0"/>
              <w:right w:val="single" w:color="auto" w:sz="4" w:space="0"/>
            </w:tcBorders>
            <w:vAlign w:val="center"/>
          </w:tcPr>
          <w:p w14:paraId="5C739B8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较优</w:t>
            </w:r>
          </w:p>
        </w:tc>
        <w:tc>
          <w:tcPr>
            <w:tcW w:w="987" w:type="dxa"/>
            <w:tcBorders>
              <w:top w:val="single" w:color="auto" w:sz="4" w:space="0"/>
              <w:left w:val="single" w:color="auto" w:sz="4" w:space="0"/>
              <w:bottom w:val="single" w:color="auto" w:sz="4" w:space="0"/>
              <w:right w:val="single" w:color="auto" w:sz="4" w:space="0"/>
            </w:tcBorders>
            <w:vAlign w:val="center"/>
          </w:tcPr>
          <w:p w14:paraId="34D266A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987" w:type="dxa"/>
            <w:tcBorders>
              <w:top w:val="single" w:color="auto" w:sz="4" w:space="0"/>
              <w:left w:val="single" w:color="auto" w:sz="4" w:space="0"/>
              <w:bottom w:val="single" w:color="auto" w:sz="4" w:space="0"/>
              <w:right w:val="single" w:color="auto" w:sz="4" w:space="0"/>
            </w:tcBorders>
            <w:vAlign w:val="center"/>
          </w:tcPr>
          <w:p w14:paraId="34524FA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较差</w:t>
            </w:r>
          </w:p>
        </w:tc>
        <w:tc>
          <w:tcPr>
            <w:tcW w:w="987" w:type="dxa"/>
            <w:tcBorders>
              <w:top w:val="single" w:color="auto" w:sz="4" w:space="0"/>
              <w:left w:val="single" w:color="auto" w:sz="4" w:space="0"/>
              <w:bottom w:val="single" w:color="auto" w:sz="4" w:space="0"/>
              <w:right w:val="single" w:color="auto" w:sz="12" w:space="0"/>
            </w:tcBorders>
            <w:vAlign w:val="center"/>
          </w:tcPr>
          <w:p w14:paraId="01A3712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差</w:t>
            </w:r>
          </w:p>
        </w:tc>
      </w:tr>
      <w:tr w14:paraId="7051A610">
        <w:tblPrEx>
          <w:tblCellMar>
            <w:top w:w="0" w:type="dxa"/>
            <w:left w:w="108" w:type="dxa"/>
            <w:bottom w:w="0" w:type="dxa"/>
            <w:right w:w="108" w:type="dxa"/>
          </w:tblCellMar>
        </w:tblPrEx>
        <w:trPr>
          <w:trHeight w:val="397" w:hRule="atLeast"/>
          <w:jc w:val="center"/>
        </w:trPr>
        <w:tc>
          <w:tcPr>
            <w:tcW w:w="685" w:type="dxa"/>
            <w:vMerge w:val="restart"/>
            <w:tcBorders>
              <w:top w:val="single" w:color="auto" w:sz="4" w:space="0"/>
              <w:left w:val="single" w:color="auto" w:sz="12" w:space="0"/>
              <w:bottom w:val="single" w:color="auto" w:sz="4" w:space="0"/>
              <w:right w:val="single" w:color="auto" w:sz="4" w:space="0"/>
            </w:tcBorders>
            <w:vAlign w:val="center"/>
          </w:tcPr>
          <w:p w14:paraId="573FB35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区域因素</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6C49069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交通条件</w:t>
            </w:r>
          </w:p>
        </w:tc>
        <w:tc>
          <w:tcPr>
            <w:tcW w:w="1843" w:type="dxa"/>
            <w:tcBorders>
              <w:top w:val="single" w:color="auto" w:sz="4" w:space="0"/>
              <w:left w:val="single" w:color="auto" w:sz="4" w:space="0"/>
              <w:bottom w:val="single" w:color="auto" w:sz="4" w:space="0"/>
              <w:right w:val="single" w:color="auto" w:sz="4" w:space="0"/>
            </w:tcBorders>
            <w:vAlign w:val="center"/>
          </w:tcPr>
          <w:p w14:paraId="146EECA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临道路类型</w:t>
            </w:r>
          </w:p>
        </w:tc>
        <w:tc>
          <w:tcPr>
            <w:tcW w:w="1203" w:type="dxa"/>
            <w:tcBorders>
              <w:top w:val="single" w:color="auto" w:sz="4" w:space="0"/>
              <w:left w:val="single" w:color="auto" w:sz="4" w:space="0"/>
              <w:bottom w:val="single" w:color="auto" w:sz="4" w:space="0"/>
              <w:right w:val="single" w:color="auto" w:sz="4" w:space="0"/>
            </w:tcBorders>
            <w:vAlign w:val="center"/>
          </w:tcPr>
          <w:p w14:paraId="467F7B7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交通型主干道</w:t>
            </w:r>
          </w:p>
        </w:tc>
        <w:tc>
          <w:tcPr>
            <w:tcW w:w="1203" w:type="dxa"/>
            <w:tcBorders>
              <w:top w:val="single" w:color="auto" w:sz="4" w:space="0"/>
              <w:left w:val="single" w:color="auto" w:sz="4" w:space="0"/>
              <w:bottom w:val="single" w:color="auto" w:sz="4" w:space="0"/>
              <w:right w:val="single" w:color="auto" w:sz="4" w:space="0"/>
            </w:tcBorders>
            <w:vAlign w:val="center"/>
          </w:tcPr>
          <w:p w14:paraId="18FF887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混合型主干道</w:t>
            </w:r>
          </w:p>
        </w:tc>
        <w:tc>
          <w:tcPr>
            <w:tcW w:w="1203" w:type="dxa"/>
            <w:tcBorders>
              <w:top w:val="single" w:color="auto" w:sz="4" w:space="0"/>
              <w:left w:val="single" w:color="auto" w:sz="4" w:space="0"/>
              <w:bottom w:val="single" w:color="auto" w:sz="4" w:space="0"/>
              <w:right w:val="single" w:color="auto" w:sz="4" w:space="0"/>
            </w:tcBorders>
            <w:vAlign w:val="center"/>
          </w:tcPr>
          <w:p w14:paraId="643D7FE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生活型主干道或交通型次干道</w:t>
            </w:r>
          </w:p>
        </w:tc>
        <w:tc>
          <w:tcPr>
            <w:tcW w:w="1203" w:type="dxa"/>
            <w:tcBorders>
              <w:top w:val="single" w:color="auto" w:sz="4" w:space="0"/>
              <w:left w:val="single" w:color="auto" w:sz="4" w:space="0"/>
              <w:bottom w:val="single" w:color="auto" w:sz="4" w:space="0"/>
              <w:right w:val="single" w:color="auto" w:sz="4" w:space="0"/>
            </w:tcBorders>
            <w:vAlign w:val="center"/>
          </w:tcPr>
          <w:p w14:paraId="3C04857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生活型次干道</w:t>
            </w:r>
          </w:p>
        </w:tc>
        <w:tc>
          <w:tcPr>
            <w:tcW w:w="1204" w:type="dxa"/>
            <w:tcBorders>
              <w:top w:val="single" w:color="auto" w:sz="4" w:space="0"/>
              <w:left w:val="single" w:color="auto" w:sz="4" w:space="0"/>
              <w:bottom w:val="single" w:color="auto" w:sz="4" w:space="0"/>
              <w:right w:val="single" w:color="auto" w:sz="4" w:space="0"/>
            </w:tcBorders>
            <w:vAlign w:val="center"/>
          </w:tcPr>
          <w:p w14:paraId="6410F21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支路</w:t>
            </w:r>
          </w:p>
        </w:tc>
        <w:tc>
          <w:tcPr>
            <w:tcW w:w="987" w:type="dxa"/>
            <w:tcBorders>
              <w:top w:val="single" w:color="auto" w:sz="4" w:space="0"/>
              <w:left w:val="single" w:color="auto" w:sz="4" w:space="0"/>
              <w:bottom w:val="single" w:color="auto" w:sz="4" w:space="0"/>
              <w:right w:val="single" w:color="auto" w:sz="4" w:space="0"/>
            </w:tcBorders>
            <w:vAlign w:val="center"/>
          </w:tcPr>
          <w:p w14:paraId="61104BC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987" w:type="dxa"/>
            <w:tcBorders>
              <w:top w:val="single" w:color="auto" w:sz="4" w:space="0"/>
              <w:left w:val="single" w:color="auto" w:sz="4" w:space="0"/>
              <w:bottom w:val="single" w:color="auto" w:sz="4" w:space="0"/>
              <w:right w:val="single" w:color="auto" w:sz="4" w:space="0"/>
            </w:tcBorders>
            <w:vAlign w:val="center"/>
          </w:tcPr>
          <w:p w14:paraId="1280812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987" w:type="dxa"/>
            <w:tcBorders>
              <w:top w:val="single" w:color="auto" w:sz="4" w:space="0"/>
              <w:left w:val="single" w:color="auto" w:sz="4" w:space="0"/>
              <w:bottom w:val="single" w:color="auto" w:sz="4" w:space="0"/>
              <w:right w:val="single" w:color="auto" w:sz="4" w:space="0"/>
            </w:tcBorders>
            <w:vAlign w:val="center"/>
          </w:tcPr>
          <w:p w14:paraId="4D7CCBF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12E5BC9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987" w:type="dxa"/>
            <w:tcBorders>
              <w:top w:val="single" w:color="auto" w:sz="4" w:space="0"/>
              <w:left w:val="single" w:color="auto" w:sz="4" w:space="0"/>
              <w:bottom w:val="single" w:color="auto" w:sz="4" w:space="0"/>
              <w:right w:val="single" w:color="auto" w:sz="12" w:space="0"/>
            </w:tcBorders>
            <w:vAlign w:val="center"/>
          </w:tcPr>
          <w:p w14:paraId="673C821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r>
      <w:tr w14:paraId="1660F6DB">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17C40CC1">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6BF3668A">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6626AFC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区域内部道路级别（宽度m）</w:t>
            </w:r>
          </w:p>
        </w:tc>
        <w:tc>
          <w:tcPr>
            <w:tcW w:w="1203" w:type="dxa"/>
            <w:tcBorders>
              <w:top w:val="single" w:color="auto" w:sz="4" w:space="0"/>
              <w:left w:val="single" w:color="auto" w:sz="4" w:space="0"/>
              <w:bottom w:val="single" w:color="auto" w:sz="4" w:space="0"/>
              <w:right w:val="single" w:color="auto" w:sz="4" w:space="0"/>
            </w:tcBorders>
            <w:vAlign w:val="center"/>
          </w:tcPr>
          <w:p w14:paraId="67466B3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20（含）以上</w:t>
            </w:r>
          </w:p>
        </w:tc>
        <w:tc>
          <w:tcPr>
            <w:tcW w:w="1203" w:type="dxa"/>
            <w:tcBorders>
              <w:top w:val="single" w:color="auto" w:sz="4" w:space="0"/>
              <w:left w:val="single" w:color="auto" w:sz="4" w:space="0"/>
              <w:bottom w:val="single" w:color="auto" w:sz="4" w:space="0"/>
              <w:right w:val="single" w:color="auto" w:sz="4" w:space="0"/>
            </w:tcBorders>
            <w:vAlign w:val="center"/>
          </w:tcPr>
          <w:p w14:paraId="6A009B5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10（含）-20</w:t>
            </w:r>
          </w:p>
        </w:tc>
        <w:tc>
          <w:tcPr>
            <w:tcW w:w="1203" w:type="dxa"/>
            <w:tcBorders>
              <w:top w:val="single" w:color="auto" w:sz="4" w:space="0"/>
              <w:left w:val="single" w:color="auto" w:sz="4" w:space="0"/>
              <w:bottom w:val="single" w:color="auto" w:sz="4" w:space="0"/>
              <w:right w:val="single" w:color="auto" w:sz="4" w:space="0"/>
            </w:tcBorders>
            <w:vAlign w:val="center"/>
          </w:tcPr>
          <w:p w14:paraId="142BC27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5（含）-10</w:t>
            </w:r>
          </w:p>
        </w:tc>
        <w:tc>
          <w:tcPr>
            <w:tcW w:w="1203" w:type="dxa"/>
            <w:tcBorders>
              <w:top w:val="single" w:color="auto" w:sz="4" w:space="0"/>
              <w:left w:val="single" w:color="auto" w:sz="4" w:space="0"/>
              <w:bottom w:val="single" w:color="auto" w:sz="4" w:space="0"/>
              <w:right w:val="single" w:color="auto" w:sz="4" w:space="0"/>
            </w:tcBorders>
            <w:vAlign w:val="center"/>
          </w:tcPr>
          <w:p w14:paraId="69DC4E2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5以下</w:t>
            </w:r>
          </w:p>
        </w:tc>
        <w:tc>
          <w:tcPr>
            <w:tcW w:w="1204" w:type="dxa"/>
            <w:tcBorders>
              <w:top w:val="single" w:color="auto" w:sz="4" w:space="0"/>
              <w:left w:val="single" w:color="auto" w:sz="4" w:space="0"/>
              <w:bottom w:val="single" w:color="auto" w:sz="4" w:space="0"/>
              <w:right w:val="single" w:color="auto" w:sz="4" w:space="0"/>
            </w:tcBorders>
            <w:vAlign w:val="center"/>
          </w:tcPr>
          <w:p w14:paraId="4171E2A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987" w:type="dxa"/>
            <w:tcBorders>
              <w:top w:val="single" w:color="auto" w:sz="4" w:space="0"/>
              <w:left w:val="single" w:color="auto" w:sz="4" w:space="0"/>
              <w:bottom w:val="single" w:color="auto" w:sz="4" w:space="0"/>
              <w:right w:val="single" w:color="auto" w:sz="4" w:space="0"/>
            </w:tcBorders>
            <w:vAlign w:val="center"/>
          </w:tcPr>
          <w:p w14:paraId="52200D7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87" w:type="dxa"/>
            <w:tcBorders>
              <w:top w:val="single" w:color="auto" w:sz="4" w:space="0"/>
              <w:left w:val="single" w:color="auto" w:sz="4" w:space="0"/>
              <w:bottom w:val="single" w:color="auto" w:sz="4" w:space="0"/>
              <w:right w:val="single" w:color="auto" w:sz="4" w:space="0"/>
            </w:tcBorders>
            <w:vAlign w:val="center"/>
          </w:tcPr>
          <w:p w14:paraId="5DA840C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4" w:space="0"/>
            </w:tcBorders>
            <w:vAlign w:val="center"/>
          </w:tcPr>
          <w:p w14:paraId="747C765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197F035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12" w:space="0"/>
            </w:tcBorders>
            <w:vAlign w:val="center"/>
          </w:tcPr>
          <w:p w14:paraId="6C48EE8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291C6D31">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1EA784C9">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2F445ECE">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3555765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距最近货运火车站的距离</w:t>
            </w:r>
          </w:p>
        </w:tc>
        <w:tc>
          <w:tcPr>
            <w:tcW w:w="1203" w:type="dxa"/>
            <w:tcBorders>
              <w:top w:val="single" w:color="auto" w:sz="4" w:space="0"/>
              <w:left w:val="single" w:color="auto" w:sz="4" w:space="0"/>
              <w:bottom w:val="single" w:color="auto" w:sz="4" w:space="0"/>
              <w:right w:val="single" w:color="auto" w:sz="4" w:space="0"/>
            </w:tcBorders>
            <w:vAlign w:val="center"/>
          </w:tcPr>
          <w:p w14:paraId="763B61B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有铁路专线</w:t>
            </w:r>
          </w:p>
        </w:tc>
        <w:tc>
          <w:tcPr>
            <w:tcW w:w="1203" w:type="dxa"/>
            <w:tcBorders>
              <w:top w:val="single" w:color="auto" w:sz="4" w:space="0"/>
              <w:left w:val="single" w:color="auto" w:sz="4" w:space="0"/>
              <w:bottom w:val="single" w:color="auto" w:sz="4" w:space="0"/>
              <w:right w:val="single" w:color="auto" w:sz="4" w:space="0"/>
            </w:tcBorders>
            <w:vAlign w:val="center"/>
          </w:tcPr>
          <w:p w14:paraId="31FC7C0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10（含）以下</w:t>
            </w:r>
          </w:p>
        </w:tc>
        <w:tc>
          <w:tcPr>
            <w:tcW w:w="1203" w:type="dxa"/>
            <w:tcBorders>
              <w:top w:val="single" w:color="auto" w:sz="4" w:space="0"/>
              <w:left w:val="single" w:color="auto" w:sz="4" w:space="0"/>
              <w:bottom w:val="single" w:color="auto" w:sz="4" w:space="0"/>
              <w:right w:val="single" w:color="auto" w:sz="4" w:space="0"/>
            </w:tcBorders>
            <w:vAlign w:val="center"/>
          </w:tcPr>
          <w:p w14:paraId="15E3166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10-20（含）</w:t>
            </w:r>
          </w:p>
        </w:tc>
        <w:tc>
          <w:tcPr>
            <w:tcW w:w="1203" w:type="dxa"/>
            <w:tcBorders>
              <w:top w:val="single" w:color="auto" w:sz="4" w:space="0"/>
              <w:left w:val="single" w:color="auto" w:sz="4" w:space="0"/>
              <w:bottom w:val="single" w:color="auto" w:sz="4" w:space="0"/>
              <w:right w:val="single" w:color="auto" w:sz="4" w:space="0"/>
            </w:tcBorders>
            <w:vAlign w:val="center"/>
          </w:tcPr>
          <w:p w14:paraId="1B61D59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20-40（含）</w:t>
            </w:r>
          </w:p>
        </w:tc>
        <w:tc>
          <w:tcPr>
            <w:tcW w:w="1204" w:type="dxa"/>
            <w:tcBorders>
              <w:top w:val="single" w:color="auto" w:sz="4" w:space="0"/>
              <w:left w:val="single" w:color="auto" w:sz="4" w:space="0"/>
              <w:bottom w:val="single" w:color="auto" w:sz="4" w:space="0"/>
              <w:right w:val="single" w:color="auto" w:sz="4" w:space="0"/>
            </w:tcBorders>
            <w:vAlign w:val="center"/>
          </w:tcPr>
          <w:p w14:paraId="652563D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40以上</w:t>
            </w:r>
          </w:p>
        </w:tc>
        <w:tc>
          <w:tcPr>
            <w:tcW w:w="987" w:type="dxa"/>
            <w:tcBorders>
              <w:top w:val="single" w:color="auto" w:sz="4" w:space="0"/>
              <w:left w:val="single" w:color="auto" w:sz="4" w:space="0"/>
              <w:bottom w:val="single" w:color="auto" w:sz="4" w:space="0"/>
              <w:right w:val="single" w:color="auto" w:sz="4" w:space="0"/>
            </w:tcBorders>
            <w:vAlign w:val="center"/>
          </w:tcPr>
          <w:p w14:paraId="12600C1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987" w:type="dxa"/>
            <w:tcBorders>
              <w:top w:val="single" w:color="auto" w:sz="4" w:space="0"/>
              <w:left w:val="single" w:color="auto" w:sz="4" w:space="0"/>
              <w:bottom w:val="single" w:color="auto" w:sz="4" w:space="0"/>
              <w:right w:val="single" w:color="auto" w:sz="4" w:space="0"/>
            </w:tcBorders>
            <w:vAlign w:val="center"/>
          </w:tcPr>
          <w:p w14:paraId="07803B2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4" w:space="0"/>
            </w:tcBorders>
            <w:vAlign w:val="center"/>
          </w:tcPr>
          <w:p w14:paraId="53D90F6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097DEA8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12" w:space="0"/>
            </w:tcBorders>
            <w:vAlign w:val="center"/>
          </w:tcPr>
          <w:p w14:paraId="60E87E2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4893A967">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614477EC">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5388CDED">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27636E5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长途车站距离（km）</w:t>
            </w:r>
          </w:p>
        </w:tc>
        <w:tc>
          <w:tcPr>
            <w:tcW w:w="1203" w:type="dxa"/>
            <w:tcBorders>
              <w:top w:val="single" w:color="auto" w:sz="4" w:space="0"/>
              <w:left w:val="single" w:color="auto" w:sz="4" w:space="0"/>
              <w:bottom w:val="single" w:color="auto" w:sz="4" w:space="0"/>
              <w:right w:val="single" w:color="auto" w:sz="4" w:space="0"/>
            </w:tcBorders>
            <w:vAlign w:val="center"/>
          </w:tcPr>
          <w:p w14:paraId="62CDE73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2（含）以下</w:t>
            </w:r>
          </w:p>
        </w:tc>
        <w:tc>
          <w:tcPr>
            <w:tcW w:w="1203" w:type="dxa"/>
            <w:tcBorders>
              <w:top w:val="single" w:color="auto" w:sz="4" w:space="0"/>
              <w:left w:val="single" w:color="auto" w:sz="4" w:space="0"/>
              <w:bottom w:val="single" w:color="auto" w:sz="4" w:space="0"/>
              <w:right w:val="single" w:color="auto" w:sz="4" w:space="0"/>
            </w:tcBorders>
            <w:vAlign w:val="center"/>
          </w:tcPr>
          <w:p w14:paraId="6D71362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2-5（含）</w:t>
            </w:r>
          </w:p>
        </w:tc>
        <w:tc>
          <w:tcPr>
            <w:tcW w:w="1203" w:type="dxa"/>
            <w:tcBorders>
              <w:top w:val="single" w:color="auto" w:sz="4" w:space="0"/>
              <w:left w:val="single" w:color="auto" w:sz="4" w:space="0"/>
              <w:bottom w:val="single" w:color="auto" w:sz="4" w:space="0"/>
              <w:right w:val="single" w:color="auto" w:sz="4" w:space="0"/>
            </w:tcBorders>
            <w:vAlign w:val="center"/>
          </w:tcPr>
          <w:p w14:paraId="7FC108E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5-10（含）</w:t>
            </w:r>
          </w:p>
        </w:tc>
        <w:tc>
          <w:tcPr>
            <w:tcW w:w="1203" w:type="dxa"/>
            <w:tcBorders>
              <w:top w:val="single" w:color="auto" w:sz="4" w:space="0"/>
              <w:left w:val="single" w:color="auto" w:sz="4" w:space="0"/>
              <w:bottom w:val="single" w:color="auto" w:sz="4" w:space="0"/>
              <w:right w:val="single" w:color="auto" w:sz="4" w:space="0"/>
            </w:tcBorders>
            <w:vAlign w:val="center"/>
          </w:tcPr>
          <w:p w14:paraId="7AA2761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10-20（含）</w:t>
            </w:r>
          </w:p>
        </w:tc>
        <w:tc>
          <w:tcPr>
            <w:tcW w:w="1204" w:type="dxa"/>
            <w:tcBorders>
              <w:top w:val="single" w:color="auto" w:sz="4" w:space="0"/>
              <w:left w:val="single" w:color="auto" w:sz="4" w:space="0"/>
              <w:bottom w:val="single" w:color="auto" w:sz="4" w:space="0"/>
              <w:right w:val="single" w:color="auto" w:sz="4" w:space="0"/>
            </w:tcBorders>
            <w:vAlign w:val="center"/>
          </w:tcPr>
          <w:p w14:paraId="0B03B92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20以上</w:t>
            </w:r>
          </w:p>
        </w:tc>
        <w:tc>
          <w:tcPr>
            <w:tcW w:w="987" w:type="dxa"/>
            <w:tcBorders>
              <w:top w:val="single" w:color="auto" w:sz="4" w:space="0"/>
              <w:left w:val="single" w:color="auto" w:sz="4" w:space="0"/>
              <w:bottom w:val="single" w:color="auto" w:sz="4" w:space="0"/>
              <w:right w:val="single" w:color="auto" w:sz="4" w:space="0"/>
            </w:tcBorders>
            <w:vAlign w:val="center"/>
          </w:tcPr>
          <w:p w14:paraId="319FD87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4" w:space="0"/>
            </w:tcBorders>
            <w:vAlign w:val="center"/>
          </w:tcPr>
          <w:p w14:paraId="3F27F77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4" w:space="0"/>
            </w:tcBorders>
            <w:vAlign w:val="center"/>
          </w:tcPr>
          <w:p w14:paraId="46D6564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450E96F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12" w:space="0"/>
            </w:tcBorders>
            <w:vAlign w:val="center"/>
          </w:tcPr>
          <w:p w14:paraId="2E2196B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6E10302C">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0BD08D8E">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23982283">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2D48A0E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距机场的距离（km）</w:t>
            </w:r>
          </w:p>
        </w:tc>
        <w:tc>
          <w:tcPr>
            <w:tcW w:w="1203" w:type="dxa"/>
            <w:tcBorders>
              <w:top w:val="single" w:color="auto" w:sz="4" w:space="0"/>
              <w:left w:val="single" w:color="auto" w:sz="4" w:space="0"/>
              <w:bottom w:val="single" w:color="auto" w:sz="4" w:space="0"/>
              <w:right w:val="single" w:color="auto" w:sz="4" w:space="0"/>
            </w:tcBorders>
            <w:vAlign w:val="center"/>
          </w:tcPr>
          <w:p w14:paraId="109D610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5（含）以下</w:t>
            </w:r>
          </w:p>
        </w:tc>
        <w:tc>
          <w:tcPr>
            <w:tcW w:w="1203" w:type="dxa"/>
            <w:tcBorders>
              <w:top w:val="single" w:color="auto" w:sz="4" w:space="0"/>
              <w:left w:val="single" w:color="auto" w:sz="4" w:space="0"/>
              <w:bottom w:val="single" w:color="auto" w:sz="4" w:space="0"/>
              <w:right w:val="single" w:color="auto" w:sz="4" w:space="0"/>
            </w:tcBorders>
            <w:vAlign w:val="center"/>
          </w:tcPr>
          <w:p w14:paraId="3051DFC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5-20（含）</w:t>
            </w:r>
          </w:p>
        </w:tc>
        <w:tc>
          <w:tcPr>
            <w:tcW w:w="1203" w:type="dxa"/>
            <w:tcBorders>
              <w:top w:val="single" w:color="auto" w:sz="4" w:space="0"/>
              <w:left w:val="single" w:color="auto" w:sz="4" w:space="0"/>
              <w:bottom w:val="single" w:color="auto" w:sz="4" w:space="0"/>
              <w:right w:val="single" w:color="auto" w:sz="4" w:space="0"/>
            </w:tcBorders>
            <w:vAlign w:val="center"/>
          </w:tcPr>
          <w:p w14:paraId="7806C29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20-30（含）</w:t>
            </w:r>
          </w:p>
        </w:tc>
        <w:tc>
          <w:tcPr>
            <w:tcW w:w="1203" w:type="dxa"/>
            <w:tcBorders>
              <w:top w:val="single" w:color="auto" w:sz="4" w:space="0"/>
              <w:left w:val="single" w:color="auto" w:sz="4" w:space="0"/>
              <w:bottom w:val="single" w:color="auto" w:sz="4" w:space="0"/>
              <w:right w:val="single" w:color="auto" w:sz="4" w:space="0"/>
            </w:tcBorders>
            <w:vAlign w:val="center"/>
          </w:tcPr>
          <w:p w14:paraId="77C9CA8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30-40（含）</w:t>
            </w:r>
          </w:p>
        </w:tc>
        <w:tc>
          <w:tcPr>
            <w:tcW w:w="1204" w:type="dxa"/>
            <w:tcBorders>
              <w:top w:val="single" w:color="auto" w:sz="4" w:space="0"/>
              <w:left w:val="single" w:color="auto" w:sz="4" w:space="0"/>
              <w:bottom w:val="single" w:color="auto" w:sz="4" w:space="0"/>
              <w:right w:val="single" w:color="auto" w:sz="4" w:space="0"/>
            </w:tcBorders>
            <w:vAlign w:val="center"/>
          </w:tcPr>
          <w:p w14:paraId="70513EB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40以上</w:t>
            </w:r>
          </w:p>
        </w:tc>
        <w:tc>
          <w:tcPr>
            <w:tcW w:w="987" w:type="dxa"/>
            <w:tcBorders>
              <w:top w:val="single" w:color="auto" w:sz="4" w:space="0"/>
              <w:left w:val="single" w:color="auto" w:sz="4" w:space="0"/>
              <w:bottom w:val="single" w:color="auto" w:sz="4" w:space="0"/>
              <w:right w:val="single" w:color="auto" w:sz="4" w:space="0"/>
            </w:tcBorders>
            <w:vAlign w:val="center"/>
          </w:tcPr>
          <w:p w14:paraId="4DC8A75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4" w:space="0"/>
            </w:tcBorders>
            <w:vAlign w:val="center"/>
          </w:tcPr>
          <w:p w14:paraId="31187E4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4" w:space="0"/>
            </w:tcBorders>
            <w:vAlign w:val="center"/>
          </w:tcPr>
          <w:p w14:paraId="241B628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3C72DC4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12" w:space="0"/>
            </w:tcBorders>
            <w:vAlign w:val="center"/>
          </w:tcPr>
          <w:p w14:paraId="489D92C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10455CD7">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7C7256D8">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3E919BCC">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35CF794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距高速公路出入口的距离（km）</w:t>
            </w:r>
          </w:p>
        </w:tc>
        <w:tc>
          <w:tcPr>
            <w:tcW w:w="1203" w:type="dxa"/>
            <w:tcBorders>
              <w:top w:val="single" w:color="auto" w:sz="4" w:space="0"/>
              <w:left w:val="single" w:color="auto" w:sz="4" w:space="0"/>
              <w:bottom w:val="single" w:color="auto" w:sz="4" w:space="0"/>
              <w:right w:val="single" w:color="auto" w:sz="4" w:space="0"/>
            </w:tcBorders>
            <w:vAlign w:val="center"/>
          </w:tcPr>
          <w:p w14:paraId="7E72F5C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5（含）以下</w:t>
            </w:r>
          </w:p>
        </w:tc>
        <w:tc>
          <w:tcPr>
            <w:tcW w:w="1203" w:type="dxa"/>
            <w:tcBorders>
              <w:top w:val="single" w:color="auto" w:sz="4" w:space="0"/>
              <w:left w:val="single" w:color="auto" w:sz="4" w:space="0"/>
              <w:bottom w:val="single" w:color="auto" w:sz="4" w:space="0"/>
              <w:right w:val="single" w:color="auto" w:sz="4" w:space="0"/>
            </w:tcBorders>
            <w:vAlign w:val="center"/>
          </w:tcPr>
          <w:p w14:paraId="422A143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5-10（含）</w:t>
            </w:r>
          </w:p>
        </w:tc>
        <w:tc>
          <w:tcPr>
            <w:tcW w:w="1203" w:type="dxa"/>
            <w:tcBorders>
              <w:top w:val="single" w:color="auto" w:sz="4" w:space="0"/>
              <w:left w:val="single" w:color="auto" w:sz="4" w:space="0"/>
              <w:bottom w:val="single" w:color="auto" w:sz="4" w:space="0"/>
              <w:right w:val="single" w:color="auto" w:sz="4" w:space="0"/>
            </w:tcBorders>
            <w:vAlign w:val="center"/>
          </w:tcPr>
          <w:p w14:paraId="16EA9F3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10-15（含）</w:t>
            </w:r>
          </w:p>
        </w:tc>
        <w:tc>
          <w:tcPr>
            <w:tcW w:w="1203" w:type="dxa"/>
            <w:tcBorders>
              <w:top w:val="single" w:color="auto" w:sz="4" w:space="0"/>
              <w:left w:val="single" w:color="auto" w:sz="4" w:space="0"/>
              <w:bottom w:val="single" w:color="auto" w:sz="4" w:space="0"/>
              <w:right w:val="single" w:color="auto" w:sz="4" w:space="0"/>
            </w:tcBorders>
            <w:vAlign w:val="center"/>
          </w:tcPr>
          <w:p w14:paraId="7C98AA5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15-20（含）</w:t>
            </w:r>
          </w:p>
        </w:tc>
        <w:tc>
          <w:tcPr>
            <w:tcW w:w="1204" w:type="dxa"/>
            <w:tcBorders>
              <w:top w:val="single" w:color="auto" w:sz="4" w:space="0"/>
              <w:left w:val="single" w:color="auto" w:sz="4" w:space="0"/>
              <w:bottom w:val="single" w:color="auto" w:sz="4" w:space="0"/>
              <w:right w:val="single" w:color="auto" w:sz="4" w:space="0"/>
            </w:tcBorders>
            <w:vAlign w:val="center"/>
          </w:tcPr>
          <w:p w14:paraId="3FE1070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20以上</w:t>
            </w:r>
          </w:p>
        </w:tc>
        <w:tc>
          <w:tcPr>
            <w:tcW w:w="987" w:type="dxa"/>
            <w:tcBorders>
              <w:top w:val="single" w:color="auto" w:sz="4" w:space="0"/>
              <w:left w:val="single" w:color="auto" w:sz="4" w:space="0"/>
              <w:bottom w:val="single" w:color="auto" w:sz="4" w:space="0"/>
              <w:right w:val="single" w:color="auto" w:sz="4" w:space="0"/>
            </w:tcBorders>
            <w:vAlign w:val="center"/>
          </w:tcPr>
          <w:p w14:paraId="1932917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987" w:type="dxa"/>
            <w:tcBorders>
              <w:top w:val="single" w:color="auto" w:sz="4" w:space="0"/>
              <w:left w:val="single" w:color="auto" w:sz="4" w:space="0"/>
              <w:bottom w:val="single" w:color="auto" w:sz="4" w:space="0"/>
              <w:right w:val="single" w:color="auto" w:sz="4" w:space="0"/>
            </w:tcBorders>
            <w:vAlign w:val="center"/>
          </w:tcPr>
          <w:p w14:paraId="2405476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4" w:space="0"/>
            </w:tcBorders>
            <w:vAlign w:val="center"/>
          </w:tcPr>
          <w:p w14:paraId="3AF1CA8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4B1FE81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12" w:space="0"/>
            </w:tcBorders>
            <w:vAlign w:val="center"/>
          </w:tcPr>
          <w:p w14:paraId="32ED9CC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2453E797">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54810EFD">
            <w:pPr>
              <w:widowControl/>
              <w:spacing w:line="300" w:lineRule="exact"/>
              <w:jc w:val="left"/>
              <w:rPr>
                <w:rFonts w:hint="default" w:ascii="Times New Roman" w:hAnsi="Times New Roman" w:cs="Times New Roman"/>
                <w:color w:val="000000"/>
                <w:kern w:val="0"/>
                <w:sz w:val="18"/>
                <w:szCs w:val="18"/>
              </w:rPr>
            </w:pP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028A2BB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基础设施条件</w:t>
            </w:r>
          </w:p>
        </w:tc>
        <w:tc>
          <w:tcPr>
            <w:tcW w:w="1843" w:type="dxa"/>
            <w:tcBorders>
              <w:top w:val="single" w:color="auto" w:sz="4" w:space="0"/>
              <w:left w:val="single" w:color="auto" w:sz="4" w:space="0"/>
              <w:bottom w:val="single" w:color="auto" w:sz="4" w:space="0"/>
              <w:right w:val="single" w:color="auto" w:sz="4" w:space="0"/>
            </w:tcBorders>
            <w:vAlign w:val="center"/>
          </w:tcPr>
          <w:p w14:paraId="1612770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动力能源保证度（%）</w:t>
            </w:r>
          </w:p>
        </w:tc>
        <w:tc>
          <w:tcPr>
            <w:tcW w:w="1203" w:type="dxa"/>
            <w:tcBorders>
              <w:top w:val="single" w:color="auto" w:sz="4" w:space="0"/>
              <w:left w:val="single" w:color="auto" w:sz="4" w:space="0"/>
              <w:bottom w:val="single" w:color="auto" w:sz="4" w:space="0"/>
              <w:right w:val="single" w:color="auto" w:sz="4" w:space="0"/>
            </w:tcBorders>
            <w:vAlign w:val="center"/>
          </w:tcPr>
          <w:p w14:paraId="414124E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203" w:type="dxa"/>
            <w:tcBorders>
              <w:top w:val="single" w:color="auto" w:sz="4" w:space="0"/>
              <w:left w:val="single" w:color="auto" w:sz="4" w:space="0"/>
              <w:bottom w:val="single" w:color="auto" w:sz="4" w:space="0"/>
              <w:right w:val="single" w:color="auto" w:sz="4" w:space="0"/>
            </w:tcBorders>
            <w:vAlign w:val="center"/>
          </w:tcPr>
          <w:p w14:paraId="5127261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203" w:type="dxa"/>
            <w:tcBorders>
              <w:top w:val="single" w:color="auto" w:sz="4" w:space="0"/>
              <w:left w:val="single" w:color="auto" w:sz="4" w:space="0"/>
              <w:bottom w:val="single" w:color="auto" w:sz="4" w:space="0"/>
              <w:right w:val="single" w:color="auto" w:sz="4" w:space="0"/>
            </w:tcBorders>
            <w:vAlign w:val="center"/>
          </w:tcPr>
          <w:p w14:paraId="5505BD9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203" w:type="dxa"/>
            <w:tcBorders>
              <w:top w:val="single" w:color="auto" w:sz="4" w:space="0"/>
              <w:left w:val="single" w:color="auto" w:sz="4" w:space="0"/>
              <w:bottom w:val="single" w:color="auto" w:sz="4" w:space="0"/>
              <w:right w:val="single" w:color="auto" w:sz="4" w:space="0"/>
            </w:tcBorders>
            <w:vAlign w:val="center"/>
          </w:tcPr>
          <w:p w14:paraId="76D4868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70（含）-85</w:t>
            </w:r>
          </w:p>
        </w:tc>
        <w:tc>
          <w:tcPr>
            <w:tcW w:w="1204" w:type="dxa"/>
            <w:tcBorders>
              <w:top w:val="single" w:color="auto" w:sz="4" w:space="0"/>
              <w:left w:val="single" w:color="auto" w:sz="4" w:space="0"/>
              <w:bottom w:val="single" w:color="auto" w:sz="4" w:space="0"/>
              <w:right w:val="single" w:color="auto" w:sz="4" w:space="0"/>
            </w:tcBorders>
            <w:vAlign w:val="center"/>
          </w:tcPr>
          <w:p w14:paraId="28C4C77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70 以下</w:t>
            </w:r>
          </w:p>
        </w:tc>
        <w:tc>
          <w:tcPr>
            <w:tcW w:w="987" w:type="dxa"/>
            <w:tcBorders>
              <w:top w:val="single" w:color="auto" w:sz="4" w:space="0"/>
              <w:left w:val="single" w:color="auto" w:sz="4" w:space="0"/>
              <w:bottom w:val="single" w:color="auto" w:sz="4" w:space="0"/>
              <w:right w:val="single" w:color="auto" w:sz="4" w:space="0"/>
            </w:tcBorders>
            <w:vAlign w:val="center"/>
          </w:tcPr>
          <w:p w14:paraId="614767C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987" w:type="dxa"/>
            <w:tcBorders>
              <w:top w:val="single" w:color="auto" w:sz="4" w:space="0"/>
              <w:left w:val="single" w:color="auto" w:sz="4" w:space="0"/>
              <w:bottom w:val="single" w:color="auto" w:sz="4" w:space="0"/>
              <w:right w:val="single" w:color="auto" w:sz="4" w:space="0"/>
            </w:tcBorders>
            <w:vAlign w:val="center"/>
          </w:tcPr>
          <w:p w14:paraId="4EE0DB7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987" w:type="dxa"/>
            <w:tcBorders>
              <w:top w:val="single" w:color="auto" w:sz="4" w:space="0"/>
              <w:left w:val="single" w:color="auto" w:sz="4" w:space="0"/>
              <w:bottom w:val="single" w:color="auto" w:sz="4" w:space="0"/>
              <w:right w:val="single" w:color="auto" w:sz="4" w:space="0"/>
            </w:tcBorders>
            <w:vAlign w:val="center"/>
          </w:tcPr>
          <w:p w14:paraId="4A26BED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5EEF5A9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987" w:type="dxa"/>
            <w:tcBorders>
              <w:top w:val="single" w:color="auto" w:sz="4" w:space="0"/>
              <w:left w:val="single" w:color="auto" w:sz="4" w:space="0"/>
              <w:bottom w:val="single" w:color="auto" w:sz="4" w:space="0"/>
              <w:right w:val="single" w:color="auto" w:sz="12" w:space="0"/>
            </w:tcBorders>
            <w:vAlign w:val="center"/>
          </w:tcPr>
          <w:p w14:paraId="22B3095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r>
      <w:tr w14:paraId="58E1F51B">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29ED7FD1">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14017FC6">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2B9CDAB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供水保证度（%）</w:t>
            </w:r>
          </w:p>
        </w:tc>
        <w:tc>
          <w:tcPr>
            <w:tcW w:w="1203" w:type="dxa"/>
            <w:tcBorders>
              <w:top w:val="single" w:color="auto" w:sz="4" w:space="0"/>
              <w:left w:val="single" w:color="auto" w:sz="4" w:space="0"/>
              <w:bottom w:val="single" w:color="auto" w:sz="4" w:space="0"/>
              <w:right w:val="single" w:color="auto" w:sz="4" w:space="0"/>
            </w:tcBorders>
            <w:vAlign w:val="center"/>
          </w:tcPr>
          <w:p w14:paraId="46526D9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203" w:type="dxa"/>
            <w:tcBorders>
              <w:top w:val="single" w:color="auto" w:sz="4" w:space="0"/>
              <w:left w:val="single" w:color="auto" w:sz="4" w:space="0"/>
              <w:bottom w:val="single" w:color="auto" w:sz="4" w:space="0"/>
              <w:right w:val="single" w:color="auto" w:sz="4" w:space="0"/>
            </w:tcBorders>
            <w:vAlign w:val="center"/>
          </w:tcPr>
          <w:p w14:paraId="643BA75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203" w:type="dxa"/>
            <w:tcBorders>
              <w:top w:val="single" w:color="auto" w:sz="4" w:space="0"/>
              <w:left w:val="single" w:color="auto" w:sz="4" w:space="0"/>
              <w:bottom w:val="single" w:color="auto" w:sz="4" w:space="0"/>
              <w:right w:val="single" w:color="auto" w:sz="4" w:space="0"/>
            </w:tcBorders>
            <w:vAlign w:val="center"/>
          </w:tcPr>
          <w:p w14:paraId="07036C7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203" w:type="dxa"/>
            <w:tcBorders>
              <w:top w:val="single" w:color="auto" w:sz="4" w:space="0"/>
              <w:left w:val="single" w:color="auto" w:sz="4" w:space="0"/>
              <w:bottom w:val="single" w:color="auto" w:sz="4" w:space="0"/>
              <w:right w:val="single" w:color="auto" w:sz="4" w:space="0"/>
            </w:tcBorders>
            <w:vAlign w:val="center"/>
          </w:tcPr>
          <w:p w14:paraId="36EA1BF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204" w:type="dxa"/>
            <w:tcBorders>
              <w:top w:val="single" w:color="auto" w:sz="4" w:space="0"/>
              <w:left w:val="single" w:color="auto" w:sz="4" w:space="0"/>
              <w:bottom w:val="single" w:color="auto" w:sz="4" w:space="0"/>
              <w:right w:val="single" w:color="auto" w:sz="4" w:space="0"/>
            </w:tcBorders>
            <w:vAlign w:val="center"/>
          </w:tcPr>
          <w:p w14:paraId="686D5CE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987" w:type="dxa"/>
            <w:tcBorders>
              <w:top w:val="single" w:color="auto" w:sz="4" w:space="0"/>
              <w:left w:val="single" w:color="auto" w:sz="4" w:space="0"/>
              <w:bottom w:val="single" w:color="auto" w:sz="4" w:space="0"/>
              <w:right w:val="single" w:color="auto" w:sz="4" w:space="0"/>
            </w:tcBorders>
            <w:vAlign w:val="center"/>
          </w:tcPr>
          <w:p w14:paraId="7A37D6C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987" w:type="dxa"/>
            <w:tcBorders>
              <w:top w:val="single" w:color="auto" w:sz="4" w:space="0"/>
              <w:left w:val="single" w:color="auto" w:sz="4" w:space="0"/>
              <w:bottom w:val="single" w:color="auto" w:sz="4" w:space="0"/>
              <w:right w:val="single" w:color="auto" w:sz="4" w:space="0"/>
            </w:tcBorders>
            <w:vAlign w:val="center"/>
          </w:tcPr>
          <w:p w14:paraId="3C4B278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0.9</w:t>
            </w:r>
          </w:p>
        </w:tc>
        <w:tc>
          <w:tcPr>
            <w:tcW w:w="987" w:type="dxa"/>
            <w:tcBorders>
              <w:top w:val="single" w:color="auto" w:sz="4" w:space="0"/>
              <w:left w:val="single" w:color="auto" w:sz="4" w:space="0"/>
              <w:bottom w:val="single" w:color="auto" w:sz="4" w:space="0"/>
              <w:right w:val="single" w:color="auto" w:sz="4" w:space="0"/>
            </w:tcBorders>
            <w:vAlign w:val="center"/>
          </w:tcPr>
          <w:p w14:paraId="321CDE4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1EAEB3F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-0.9</w:t>
            </w:r>
          </w:p>
        </w:tc>
        <w:tc>
          <w:tcPr>
            <w:tcW w:w="987" w:type="dxa"/>
            <w:tcBorders>
              <w:top w:val="single" w:color="auto" w:sz="4" w:space="0"/>
              <w:left w:val="single" w:color="auto" w:sz="4" w:space="0"/>
              <w:bottom w:val="single" w:color="auto" w:sz="4" w:space="0"/>
              <w:right w:val="single" w:color="auto" w:sz="12" w:space="0"/>
            </w:tcBorders>
            <w:vAlign w:val="center"/>
          </w:tcPr>
          <w:p w14:paraId="6F7248F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r>
      <w:tr w14:paraId="7766027D">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4AA9D24B">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773708AA">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15BB512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排水设施完善度（%）</w:t>
            </w:r>
          </w:p>
        </w:tc>
        <w:tc>
          <w:tcPr>
            <w:tcW w:w="1203" w:type="dxa"/>
            <w:tcBorders>
              <w:top w:val="single" w:color="auto" w:sz="4" w:space="0"/>
              <w:left w:val="single" w:color="auto" w:sz="4" w:space="0"/>
              <w:bottom w:val="single" w:color="auto" w:sz="4" w:space="0"/>
              <w:right w:val="single" w:color="auto" w:sz="4" w:space="0"/>
            </w:tcBorders>
            <w:vAlign w:val="center"/>
          </w:tcPr>
          <w:p w14:paraId="6E2B4AF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203" w:type="dxa"/>
            <w:tcBorders>
              <w:top w:val="single" w:color="auto" w:sz="4" w:space="0"/>
              <w:left w:val="single" w:color="auto" w:sz="4" w:space="0"/>
              <w:bottom w:val="single" w:color="auto" w:sz="4" w:space="0"/>
              <w:right w:val="single" w:color="auto" w:sz="4" w:space="0"/>
            </w:tcBorders>
            <w:vAlign w:val="center"/>
          </w:tcPr>
          <w:p w14:paraId="7755412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203" w:type="dxa"/>
            <w:tcBorders>
              <w:top w:val="single" w:color="auto" w:sz="4" w:space="0"/>
              <w:left w:val="single" w:color="auto" w:sz="4" w:space="0"/>
              <w:bottom w:val="single" w:color="auto" w:sz="4" w:space="0"/>
              <w:right w:val="single" w:color="auto" w:sz="4" w:space="0"/>
            </w:tcBorders>
            <w:vAlign w:val="center"/>
          </w:tcPr>
          <w:p w14:paraId="05B224A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203" w:type="dxa"/>
            <w:tcBorders>
              <w:top w:val="single" w:color="auto" w:sz="4" w:space="0"/>
              <w:left w:val="single" w:color="auto" w:sz="4" w:space="0"/>
              <w:bottom w:val="single" w:color="auto" w:sz="4" w:space="0"/>
              <w:right w:val="single" w:color="auto" w:sz="4" w:space="0"/>
            </w:tcBorders>
            <w:vAlign w:val="center"/>
          </w:tcPr>
          <w:p w14:paraId="18F2046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204" w:type="dxa"/>
            <w:tcBorders>
              <w:top w:val="single" w:color="auto" w:sz="4" w:space="0"/>
              <w:left w:val="single" w:color="auto" w:sz="4" w:space="0"/>
              <w:bottom w:val="single" w:color="auto" w:sz="4" w:space="0"/>
              <w:right w:val="single" w:color="auto" w:sz="4" w:space="0"/>
            </w:tcBorders>
            <w:vAlign w:val="center"/>
          </w:tcPr>
          <w:p w14:paraId="516106A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987" w:type="dxa"/>
            <w:tcBorders>
              <w:top w:val="single" w:color="auto" w:sz="4" w:space="0"/>
              <w:left w:val="single" w:color="auto" w:sz="4" w:space="0"/>
              <w:bottom w:val="single" w:color="auto" w:sz="4" w:space="0"/>
              <w:right w:val="single" w:color="auto" w:sz="4" w:space="0"/>
            </w:tcBorders>
            <w:vAlign w:val="center"/>
          </w:tcPr>
          <w:p w14:paraId="4335BF4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87" w:type="dxa"/>
            <w:tcBorders>
              <w:top w:val="single" w:color="auto" w:sz="4" w:space="0"/>
              <w:left w:val="single" w:color="auto" w:sz="4" w:space="0"/>
              <w:bottom w:val="single" w:color="auto" w:sz="4" w:space="0"/>
              <w:right w:val="single" w:color="auto" w:sz="4" w:space="0"/>
            </w:tcBorders>
            <w:vAlign w:val="center"/>
          </w:tcPr>
          <w:p w14:paraId="1292CD1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4" w:space="0"/>
            </w:tcBorders>
            <w:vAlign w:val="center"/>
          </w:tcPr>
          <w:p w14:paraId="6D5A506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113824E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12" w:space="0"/>
            </w:tcBorders>
            <w:vAlign w:val="center"/>
          </w:tcPr>
          <w:p w14:paraId="0465A22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343AFA01">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6FD27E39">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65BB3426">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71C332E6">
            <w:pPr>
              <w:widowControl/>
              <w:spacing w:line="300" w:lineRule="exact"/>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eastAsia="zh-CN"/>
              </w:rPr>
              <w:t>通信</w:t>
            </w:r>
            <w:r>
              <w:rPr>
                <w:rFonts w:hint="default" w:ascii="Times New Roman" w:hAnsi="Times New Roman" w:cs="Times New Roman"/>
                <w:color w:val="000000"/>
                <w:kern w:val="0"/>
                <w:sz w:val="18"/>
                <w:szCs w:val="18"/>
              </w:rPr>
              <w:t>保证度（%）</w:t>
            </w:r>
          </w:p>
        </w:tc>
        <w:tc>
          <w:tcPr>
            <w:tcW w:w="1203" w:type="dxa"/>
            <w:tcBorders>
              <w:top w:val="single" w:color="auto" w:sz="4" w:space="0"/>
              <w:left w:val="single" w:color="auto" w:sz="4" w:space="0"/>
              <w:bottom w:val="single" w:color="auto" w:sz="4" w:space="0"/>
              <w:right w:val="single" w:color="auto" w:sz="4" w:space="0"/>
            </w:tcBorders>
            <w:vAlign w:val="center"/>
          </w:tcPr>
          <w:p w14:paraId="44890A1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203" w:type="dxa"/>
            <w:tcBorders>
              <w:top w:val="single" w:color="auto" w:sz="4" w:space="0"/>
              <w:left w:val="single" w:color="auto" w:sz="4" w:space="0"/>
              <w:bottom w:val="single" w:color="auto" w:sz="4" w:space="0"/>
              <w:right w:val="single" w:color="auto" w:sz="4" w:space="0"/>
            </w:tcBorders>
            <w:vAlign w:val="center"/>
          </w:tcPr>
          <w:p w14:paraId="36E8A0C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203" w:type="dxa"/>
            <w:tcBorders>
              <w:top w:val="single" w:color="auto" w:sz="4" w:space="0"/>
              <w:left w:val="single" w:color="auto" w:sz="4" w:space="0"/>
              <w:bottom w:val="single" w:color="auto" w:sz="4" w:space="0"/>
              <w:right w:val="single" w:color="auto" w:sz="4" w:space="0"/>
            </w:tcBorders>
            <w:vAlign w:val="center"/>
          </w:tcPr>
          <w:p w14:paraId="46F0BFE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203" w:type="dxa"/>
            <w:tcBorders>
              <w:top w:val="single" w:color="auto" w:sz="4" w:space="0"/>
              <w:left w:val="single" w:color="auto" w:sz="4" w:space="0"/>
              <w:bottom w:val="single" w:color="auto" w:sz="4" w:space="0"/>
              <w:right w:val="single" w:color="auto" w:sz="4" w:space="0"/>
            </w:tcBorders>
            <w:vAlign w:val="center"/>
          </w:tcPr>
          <w:p w14:paraId="48BD353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204" w:type="dxa"/>
            <w:tcBorders>
              <w:top w:val="single" w:color="auto" w:sz="4" w:space="0"/>
              <w:left w:val="single" w:color="auto" w:sz="4" w:space="0"/>
              <w:bottom w:val="single" w:color="auto" w:sz="4" w:space="0"/>
              <w:right w:val="single" w:color="auto" w:sz="4" w:space="0"/>
            </w:tcBorders>
            <w:vAlign w:val="center"/>
          </w:tcPr>
          <w:p w14:paraId="4DA2909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987" w:type="dxa"/>
            <w:tcBorders>
              <w:top w:val="single" w:color="auto" w:sz="4" w:space="0"/>
              <w:left w:val="single" w:color="auto" w:sz="4" w:space="0"/>
              <w:bottom w:val="single" w:color="auto" w:sz="4" w:space="0"/>
              <w:right w:val="single" w:color="auto" w:sz="4" w:space="0"/>
            </w:tcBorders>
            <w:vAlign w:val="center"/>
          </w:tcPr>
          <w:p w14:paraId="21EA83C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4" w:space="0"/>
            </w:tcBorders>
            <w:vAlign w:val="center"/>
          </w:tcPr>
          <w:p w14:paraId="6B09072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4" w:space="0"/>
            </w:tcBorders>
            <w:vAlign w:val="center"/>
          </w:tcPr>
          <w:p w14:paraId="428C548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2425C48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12" w:space="0"/>
            </w:tcBorders>
            <w:vAlign w:val="center"/>
          </w:tcPr>
          <w:p w14:paraId="1D12354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73BA53B6">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61EF8555">
            <w:pPr>
              <w:widowControl/>
              <w:spacing w:line="300" w:lineRule="exact"/>
              <w:jc w:val="left"/>
              <w:rPr>
                <w:rFonts w:hint="default" w:ascii="Times New Roman" w:hAnsi="Times New Roman" w:cs="Times New Roman"/>
                <w:color w:val="000000"/>
                <w:kern w:val="0"/>
                <w:sz w:val="18"/>
                <w:szCs w:val="18"/>
              </w:rPr>
            </w:pPr>
          </w:p>
        </w:tc>
        <w:tc>
          <w:tcPr>
            <w:tcW w:w="695" w:type="dxa"/>
            <w:vMerge w:val="restart"/>
            <w:tcBorders>
              <w:top w:val="single" w:color="auto" w:sz="4" w:space="0"/>
              <w:left w:val="single" w:color="auto" w:sz="4" w:space="0"/>
              <w:bottom w:val="single" w:color="auto" w:sz="4" w:space="0"/>
              <w:right w:val="single" w:color="auto" w:sz="4" w:space="0"/>
            </w:tcBorders>
            <w:vAlign w:val="center"/>
          </w:tcPr>
          <w:p w14:paraId="47EA148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产业集聚度</w:t>
            </w:r>
          </w:p>
        </w:tc>
        <w:tc>
          <w:tcPr>
            <w:tcW w:w="1843" w:type="dxa"/>
            <w:tcBorders>
              <w:top w:val="single" w:color="auto" w:sz="4" w:space="0"/>
              <w:left w:val="single" w:color="auto" w:sz="4" w:space="0"/>
              <w:bottom w:val="single" w:color="auto" w:sz="4" w:space="0"/>
              <w:right w:val="single" w:color="auto" w:sz="4" w:space="0"/>
            </w:tcBorders>
            <w:vAlign w:val="center"/>
          </w:tcPr>
          <w:p w14:paraId="055F68E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产业集聚类型</w:t>
            </w:r>
          </w:p>
        </w:tc>
        <w:tc>
          <w:tcPr>
            <w:tcW w:w="1203" w:type="dxa"/>
            <w:tcBorders>
              <w:top w:val="single" w:color="auto" w:sz="4" w:space="0"/>
              <w:left w:val="single" w:color="auto" w:sz="4" w:space="0"/>
              <w:bottom w:val="single" w:color="auto" w:sz="4" w:space="0"/>
              <w:right w:val="single" w:color="auto" w:sz="4" w:space="0"/>
            </w:tcBorders>
            <w:vAlign w:val="center"/>
          </w:tcPr>
          <w:p w14:paraId="4A133BF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高新技术，联系紧密</w:t>
            </w:r>
          </w:p>
        </w:tc>
        <w:tc>
          <w:tcPr>
            <w:tcW w:w="1203" w:type="dxa"/>
            <w:tcBorders>
              <w:top w:val="single" w:color="auto" w:sz="4" w:space="0"/>
              <w:left w:val="single" w:color="auto" w:sz="4" w:space="0"/>
              <w:bottom w:val="single" w:color="auto" w:sz="4" w:space="0"/>
              <w:right w:val="single" w:color="auto" w:sz="4" w:space="0"/>
            </w:tcBorders>
            <w:vAlign w:val="center"/>
          </w:tcPr>
          <w:p w14:paraId="1BD7776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高新技术，产业联系一般；一般产业，联系紧密</w:t>
            </w:r>
          </w:p>
        </w:tc>
        <w:tc>
          <w:tcPr>
            <w:tcW w:w="1203" w:type="dxa"/>
            <w:tcBorders>
              <w:top w:val="single" w:color="auto" w:sz="4" w:space="0"/>
              <w:left w:val="single" w:color="auto" w:sz="4" w:space="0"/>
              <w:bottom w:val="single" w:color="auto" w:sz="4" w:space="0"/>
              <w:right w:val="single" w:color="auto" w:sz="4" w:space="0"/>
            </w:tcBorders>
            <w:vAlign w:val="center"/>
          </w:tcPr>
          <w:p w14:paraId="6DD5834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高新技术，联系松散；一般产业，联系一般</w:t>
            </w:r>
          </w:p>
        </w:tc>
        <w:tc>
          <w:tcPr>
            <w:tcW w:w="1203" w:type="dxa"/>
            <w:tcBorders>
              <w:top w:val="single" w:color="auto" w:sz="4" w:space="0"/>
              <w:left w:val="single" w:color="auto" w:sz="4" w:space="0"/>
              <w:bottom w:val="single" w:color="auto" w:sz="4" w:space="0"/>
              <w:right w:val="single" w:color="auto" w:sz="4" w:space="0"/>
            </w:tcBorders>
            <w:vAlign w:val="center"/>
          </w:tcPr>
          <w:p w14:paraId="3BC4AA9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一般产业，联系松散</w:t>
            </w:r>
          </w:p>
        </w:tc>
        <w:tc>
          <w:tcPr>
            <w:tcW w:w="1204" w:type="dxa"/>
            <w:tcBorders>
              <w:top w:val="single" w:color="auto" w:sz="4" w:space="0"/>
              <w:left w:val="single" w:color="auto" w:sz="4" w:space="0"/>
              <w:bottom w:val="single" w:color="auto" w:sz="4" w:space="0"/>
              <w:right w:val="single" w:color="auto" w:sz="4" w:space="0"/>
            </w:tcBorders>
            <w:vAlign w:val="center"/>
          </w:tcPr>
          <w:p w14:paraId="224BB94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独立分布区</w:t>
            </w:r>
          </w:p>
        </w:tc>
        <w:tc>
          <w:tcPr>
            <w:tcW w:w="987" w:type="dxa"/>
            <w:tcBorders>
              <w:top w:val="single" w:color="auto" w:sz="4" w:space="0"/>
              <w:left w:val="single" w:color="auto" w:sz="4" w:space="0"/>
              <w:bottom w:val="single" w:color="auto" w:sz="4" w:space="0"/>
              <w:right w:val="single" w:color="auto" w:sz="4" w:space="0"/>
            </w:tcBorders>
            <w:vAlign w:val="center"/>
          </w:tcPr>
          <w:p w14:paraId="3BE7433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987" w:type="dxa"/>
            <w:tcBorders>
              <w:top w:val="single" w:color="auto" w:sz="4" w:space="0"/>
              <w:left w:val="single" w:color="auto" w:sz="4" w:space="0"/>
              <w:bottom w:val="single" w:color="auto" w:sz="4" w:space="0"/>
              <w:right w:val="single" w:color="auto" w:sz="4" w:space="0"/>
            </w:tcBorders>
            <w:vAlign w:val="center"/>
          </w:tcPr>
          <w:p w14:paraId="4AD03FA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987" w:type="dxa"/>
            <w:tcBorders>
              <w:top w:val="single" w:color="auto" w:sz="4" w:space="0"/>
              <w:left w:val="single" w:color="auto" w:sz="4" w:space="0"/>
              <w:bottom w:val="single" w:color="auto" w:sz="4" w:space="0"/>
              <w:right w:val="single" w:color="auto" w:sz="4" w:space="0"/>
            </w:tcBorders>
            <w:vAlign w:val="center"/>
          </w:tcPr>
          <w:p w14:paraId="7201FBB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2B7581D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987" w:type="dxa"/>
            <w:tcBorders>
              <w:top w:val="single" w:color="auto" w:sz="4" w:space="0"/>
              <w:left w:val="single" w:color="auto" w:sz="4" w:space="0"/>
              <w:bottom w:val="single" w:color="auto" w:sz="4" w:space="0"/>
              <w:right w:val="single" w:color="auto" w:sz="12" w:space="0"/>
            </w:tcBorders>
            <w:vAlign w:val="center"/>
          </w:tcPr>
          <w:p w14:paraId="628B7B5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r>
      <w:tr w14:paraId="2C5D4689">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2C267AF2">
            <w:pPr>
              <w:widowControl/>
              <w:spacing w:line="300" w:lineRule="exact"/>
              <w:jc w:val="left"/>
              <w:rPr>
                <w:rFonts w:hint="default" w:ascii="Times New Roman" w:hAnsi="Times New Roman" w:cs="Times New Roman"/>
                <w:color w:val="000000"/>
                <w:kern w:val="0"/>
                <w:sz w:val="18"/>
                <w:szCs w:val="18"/>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14:paraId="31BDB5BC">
            <w:pPr>
              <w:widowControl/>
              <w:spacing w:line="300" w:lineRule="exact"/>
              <w:jc w:val="left"/>
              <w:rPr>
                <w:rFonts w:hint="default" w:ascii="Times New Roman" w:hAnsi="Times New Roman" w:cs="Times New Roman"/>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14:paraId="2E3F5E0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企业规模（万㎡）</w:t>
            </w:r>
          </w:p>
        </w:tc>
        <w:tc>
          <w:tcPr>
            <w:tcW w:w="1203" w:type="dxa"/>
            <w:tcBorders>
              <w:top w:val="single" w:color="auto" w:sz="4" w:space="0"/>
              <w:left w:val="single" w:color="auto" w:sz="4" w:space="0"/>
              <w:bottom w:val="single" w:color="auto" w:sz="4" w:space="0"/>
              <w:right w:val="single" w:color="auto" w:sz="4" w:space="0"/>
            </w:tcBorders>
            <w:vAlign w:val="center"/>
          </w:tcPr>
          <w:p w14:paraId="69A8EF9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10（含）以上</w:t>
            </w:r>
          </w:p>
        </w:tc>
        <w:tc>
          <w:tcPr>
            <w:tcW w:w="1203" w:type="dxa"/>
            <w:tcBorders>
              <w:top w:val="single" w:color="auto" w:sz="4" w:space="0"/>
              <w:left w:val="single" w:color="auto" w:sz="4" w:space="0"/>
              <w:bottom w:val="single" w:color="auto" w:sz="4" w:space="0"/>
              <w:right w:val="single" w:color="auto" w:sz="4" w:space="0"/>
            </w:tcBorders>
            <w:vAlign w:val="center"/>
          </w:tcPr>
          <w:p w14:paraId="07AC3B2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6（含）-10</w:t>
            </w:r>
          </w:p>
        </w:tc>
        <w:tc>
          <w:tcPr>
            <w:tcW w:w="1203" w:type="dxa"/>
            <w:tcBorders>
              <w:top w:val="single" w:color="auto" w:sz="4" w:space="0"/>
              <w:left w:val="single" w:color="auto" w:sz="4" w:space="0"/>
              <w:bottom w:val="single" w:color="auto" w:sz="4" w:space="0"/>
              <w:right w:val="single" w:color="auto" w:sz="4" w:space="0"/>
            </w:tcBorders>
            <w:vAlign w:val="center"/>
          </w:tcPr>
          <w:p w14:paraId="6E0581F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3（含）-6</w:t>
            </w:r>
          </w:p>
        </w:tc>
        <w:tc>
          <w:tcPr>
            <w:tcW w:w="1203" w:type="dxa"/>
            <w:tcBorders>
              <w:top w:val="single" w:color="auto" w:sz="4" w:space="0"/>
              <w:left w:val="single" w:color="auto" w:sz="4" w:space="0"/>
              <w:bottom w:val="single" w:color="auto" w:sz="4" w:space="0"/>
              <w:right w:val="single" w:color="auto" w:sz="4" w:space="0"/>
            </w:tcBorders>
            <w:vAlign w:val="center"/>
          </w:tcPr>
          <w:p w14:paraId="27DF6A6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1（含）-3</w:t>
            </w:r>
          </w:p>
        </w:tc>
        <w:tc>
          <w:tcPr>
            <w:tcW w:w="1204" w:type="dxa"/>
            <w:tcBorders>
              <w:top w:val="single" w:color="auto" w:sz="4" w:space="0"/>
              <w:left w:val="single" w:color="auto" w:sz="4" w:space="0"/>
              <w:bottom w:val="single" w:color="auto" w:sz="4" w:space="0"/>
              <w:right w:val="single" w:color="auto" w:sz="4" w:space="0"/>
            </w:tcBorders>
            <w:vAlign w:val="center"/>
          </w:tcPr>
          <w:p w14:paraId="106C5FD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1以下</w:t>
            </w:r>
          </w:p>
        </w:tc>
        <w:tc>
          <w:tcPr>
            <w:tcW w:w="987" w:type="dxa"/>
            <w:tcBorders>
              <w:top w:val="single" w:color="auto" w:sz="4" w:space="0"/>
              <w:left w:val="single" w:color="auto" w:sz="4" w:space="0"/>
              <w:bottom w:val="single" w:color="auto" w:sz="4" w:space="0"/>
              <w:right w:val="single" w:color="auto" w:sz="4" w:space="0"/>
            </w:tcBorders>
            <w:vAlign w:val="center"/>
          </w:tcPr>
          <w:p w14:paraId="7BCA1CA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87" w:type="dxa"/>
            <w:tcBorders>
              <w:top w:val="single" w:color="auto" w:sz="4" w:space="0"/>
              <w:left w:val="single" w:color="auto" w:sz="4" w:space="0"/>
              <w:bottom w:val="single" w:color="auto" w:sz="4" w:space="0"/>
              <w:right w:val="single" w:color="auto" w:sz="4" w:space="0"/>
            </w:tcBorders>
            <w:vAlign w:val="center"/>
          </w:tcPr>
          <w:p w14:paraId="39CD780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4" w:space="0"/>
            </w:tcBorders>
            <w:vAlign w:val="center"/>
          </w:tcPr>
          <w:p w14:paraId="1453E11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1D9A6D1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12" w:space="0"/>
            </w:tcBorders>
            <w:vAlign w:val="center"/>
          </w:tcPr>
          <w:p w14:paraId="5BB921D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4C3FD13C">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27D59443">
            <w:pPr>
              <w:widowControl/>
              <w:spacing w:line="300" w:lineRule="exact"/>
              <w:jc w:val="left"/>
              <w:rPr>
                <w:rFonts w:hint="default" w:ascii="Times New Roman" w:hAnsi="Times New Roman" w:cs="Times New Roman"/>
                <w:color w:val="000000"/>
                <w:kern w:val="0"/>
                <w:sz w:val="18"/>
                <w:szCs w:val="18"/>
              </w:rPr>
            </w:pPr>
          </w:p>
        </w:tc>
        <w:tc>
          <w:tcPr>
            <w:tcW w:w="695" w:type="dxa"/>
            <w:tcBorders>
              <w:top w:val="single" w:color="auto" w:sz="4" w:space="0"/>
              <w:left w:val="single" w:color="auto" w:sz="4" w:space="0"/>
              <w:bottom w:val="single" w:color="auto" w:sz="4" w:space="0"/>
              <w:right w:val="single" w:color="auto" w:sz="4" w:space="0"/>
            </w:tcBorders>
            <w:vAlign w:val="center"/>
          </w:tcPr>
          <w:p w14:paraId="5437522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环境条件</w:t>
            </w:r>
          </w:p>
        </w:tc>
        <w:tc>
          <w:tcPr>
            <w:tcW w:w="1843" w:type="dxa"/>
            <w:tcBorders>
              <w:top w:val="single" w:color="auto" w:sz="4" w:space="0"/>
              <w:left w:val="single" w:color="auto" w:sz="4" w:space="0"/>
              <w:bottom w:val="single" w:color="auto" w:sz="4" w:space="0"/>
              <w:right w:val="single" w:color="auto" w:sz="4" w:space="0"/>
            </w:tcBorders>
            <w:vAlign w:val="center"/>
          </w:tcPr>
          <w:p w14:paraId="26509C7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污染状况</w:t>
            </w:r>
          </w:p>
        </w:tc>
        <w:tc>
          <w:tcPr>
            <w:tcW w:w="1203" w:type="dxa"/>
            <w:tcBorders>
              <w:top w:val="single" w:color="auto" w:sz="4" w:space="0"/>
              <w:left w:val="single" w:color="auto" w:sz="4" w:space="0"/>
              <w:bottom w:val="single" w:color="auto" w:sz="4" w:space="0"/>
              <w:right w:val="single" w:color="auto" w:sz="4" w:space="0"/>
            </w:tcBorders>
            <w:vAlign w:val="center"/>
          </w:tcPr>
          <w:p w14:paraId="11154D9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1203" w:type="dxa"/>
            <w:tcBorders>
              <w:top w:val="single" w:color="auto" w:sz="4" w:space="0"/>
              <w:left w:val="single" w:color="auto" w:sz="4" w:space="0"/>
              <w:bottom w:val="single" w:color="auto" w:sz="4" w:space="0"/>
              <w:right w:val="single" w:color="auto" w:sz="4" w:space="0"/>
            </w:tcBorders>
            <w:vAlign w:val="center"/>
          </w:tcPr>
          <w:p w14:paraId="5D04449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轻微</w:t>
            </w:r>
          </w:p>
        </w:tc>
        <w:tc>
          <w:tcPr>
            <w:tcW w:w="1203" w:type="dxa"/>
            <w:tcBorders>
              <w:top w:val="single" w:color="auto" w:sz="4" w:space="0"/>
              <w:left w:val="single" w:color="auto" w:sz="4" w:space="0"/>
              <w:bottom w:val="single" w:color="auto" w:sz="4" w:space="0"/>
              <w:right w:val="single" w:color="auto" w:sz="4" w:space="0"/>
            </w:tcBorders>
            <w:vAlign w:val="center"/>
          </w:tcPr>
          <w:p w14:paraId="29BC6E3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203" w:type="dxa"/>
            <w:tcBorders>
              <w:top w:val="single" w:color="auto" w:sz="4" w:space="0"/>
              <w:left w:val="single" w:color="auto" w:sz="4" w:space="0"/>
              <w:bottom w:val="single" w:color="auto" w:sz="4" w:space="0"/>
              <w:right w:val="single" w:color="auto" w:sz="4" w:space="0"/>
            </w:tcBorders>
            <w:vAlign w:val="center"/>
          </w:tcPr>
          <w:p w14:paraId="16B97CA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较重</w:t>
            </w:r>
          </w:p>
        </w:tc>
        <w:tc>
          <w:tcPr>
            <w:tcW w:w="1204" w:type="dxa"/>
            <w:tcBorders>
              <w:top w:val="single" w:color="auto" w:sz="4" w:space="0"/>
              <w:left w:val="single" w:color="auto" w:sz="4" w:space="0"/>
              <w:bottom w:val="single" w:color="auto" w:sz="4" w:space="0"/>
              <w:right w:val="single" w:color="auto" w:sz="4" w:space="0"/>
            </w:tcBorders>
            <w:vAlign w:val="center"/>
          </w:tcPr>
          <w:p w14:paraId="7C38275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严重</w:t>
            </w:r>
          </w:p>
        </w:tc>
        <w:tc>
          <w:tcPr>
            <w:tcW w:w="987" w:type="dxa"/>
            <w:tcBorders>
              <w:top w:val="single" w:color="auto" w:sz="4" w:space="0"/>
              <w:left w:val="single" w:color="auto" w:sz="4" w:space="0"/>
              <w:bottom w:val="single" w:color="auto" w:sz="4" w:space="0"/>
              <w:right w:val="single" w:color="auto" w:sz="4" w:space="0"/>
            </w:tcBorders>
            <w:vAlign w:val="center"/>
          </w:tcPr>
          <w:p w14:paraId="00540F1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87" w:type="dxa"/>
            <w:tcBorders>
              <w:top w:val="single" w:color="auto" w:sz="4" w:space="0"/>
              <w:left w:val="single" w:color="auto" w:sz="4" w:space="0"/>
              <w:bottom w:val="single" w:color="auto" w:sz="4" w:space="0"/>
              <w:right w:val="single" w:color="auto" w:sz="4" w:space="0"/>
            </w:tcBorders>
            <w:vAlign w:val="center"/>
          </w:tcPr>
          <w:p w14:paraId="36DF2E7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4" w:space="0"/>
            </w:tcBorders>
            <w:vAlign w:val="center"/>
          </w:tcPr>
          <w:p w14:paraId="2DFE649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639ED8B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87" w:type="dxa"/>
            <w:tcBorders>
              <w:top w:val="single" w:color="auto" w:sz="4" w:space="0"/>
              <w:left w:val="single" w:color="auto" w:sz="4" w:space="0"/>
              <w:bottom w:val="single" w:color="auto" w:sz="4" w:space="0"/>
              <w:right w:val="single" w:color="auto" w:sz="12" w:space="0"/>
            </w:tcBorders>
            <w:vAlign w:val="center"/>
          </w:tcPr>
          <w:p w14:paraId="487D53F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4560D7E9">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64A8C2E9">
            <w:pPr>
              <w:widowControl/>
              <w:spacing w:line="300" w:lineRule="exact"/>
              <w:jc w:val="left"/>
              <w:rPr>
                <w:rFonts w:hint="default" w:ascii="Times New Roman" w:hAnsi="Times New Roman" w:cs="Times New Roman"/>
                <w:color w:val="000000"/>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14:paraId="40A670F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城市规划</w:t>
            </w:r>
          </w:p>
        </w:tc>
        <w:tc>
          <w:tcPr>
            <w:tcW w:w="1203" w:type="dxa"/>
            <w:tcBorders>
              <w:top w:val="single" w:color="auto" w:sz="4" w:space="0"/>
              <w:left w:val="single" w:color="auto" w:sz="4" w:space="0"/>
              <w:bottom w:val="single" w:color="auto" w:sz="4" w:space="0"/>
              <w:right w:val="single" w:color="auto" w:sz="4" w:space="0"/>
            </w:tcBorders>
            <w:vAlign w:val="center"/>
          </w:tcPr>
          <w:p w14:paraId="5525759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有利</w:t>
            </w:r>
          </w:p>
        </w:tc>
        <w:tc>
          <w:tcPr>
            <w:tcW w:w="1203" w:type="dxa"/>
            <w:tcBorders>
              <w:top w:val="single" w:color="auto" w:sz="4" w:space="0"/>
              <w:left w:val="single" w:color="auto" w:sz="4" w:space="0"/>
              <w:bottom w:val="single" w:color="auto" w:sz="4" w:space="0"/>
              <w:right w:val="single" w:color="auto" w:sz="4" w:space="0"/>
            </w:tcBorders>
            <w:vAlign w:val="center"/>
          </w:tcPr>
          <w:p w14:paraId="0029699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较有利</w:t>
            </w:r>
          </w:p>
        </w:tc>
        <w:tc>
          <w:tcPr>
            <w:tcW w:w="1203" w:type="dxa"/>
            <w:tcBorders>
              <w:top w:val="single" w:color="auto" w:sz="4" w:space="0"/>
              <w:left w:val="single" w:color="auto" w:sz="4" w:space="0"/>
              <w:bottom w:val="single" w:color="auto" w:sz="4" w:space="0"/>
              <w:right w:val="single" w:color="auto" w:sz="4" w:space="0"/>
            </w:tcBorders>
            <w:vAlign w:val="center"/>
          </w:tcPr>
          <w:p w14:paraId="75C65BF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无影响</w:t>
            </w:r>
          </w:p>
        </w:tc>
        <w:tc>
          <w:tcPr>
            <w:tcW w:w="1203" w:type="dxa"/>
            <w:tcBorders>
              <w:top w:val="single" w:color="auto" w:sz="4" w:space="0"/>
              <w:left w:val="single" w:color="auto" w:sz="4" w:space="0"/>
              <w:bottom w:val="single" w:color="auto" w:sz="4" w:space="0"/>
              <w:right w:val="single" w:color="auto" w:sz="4" w:space="0"/>
            </w:tcBorders>
            <w:vAlign w:val="center"/>
          </w:tcPr>
          <w:p w14:paraId="14E8EA1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较不利</w:t>
            </w:r>
          </w:p>
        </w:tc>
        <w:tc>
          <w:tcPr>
            <w:tcW w:w="1204" w:type="dxa"/>
            <w:tcBorders>
              <w:top w:val="single" w:color="auto" w:sz="4" w:space="0"/>
              <w:left w:val="single" w:color="auto" w:sz="4" w:space="0"/>
              <w:bottom w:val="single" w:color="auto" w:sz="4" w:space="0"/>
              <w:right w:val="single" w:color="auto" w:sz="4" w:space="0"/>
            </w:tcBorders>
            <w:vAlign w:val="center"/>
          </w:tcPr>
          <w:p w14:paraId="24EF57C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不利</w:t>
            </w:r>
          </w:p>
        </w:tc>
        <w:tc>
          <w:tcPr>
            <w:tcW w:w="987" w:type="dxa"/>
            <w:tcBorders>
              <w:top w:val="single" w:color="auto" w:sz="4" w:space="0"/>
              <w:left w:val="single" w:color="auto" w:sz="4" w:space="0"/>
              <w:bottom w:val="single" w:color="auto" w:sz="4" w:space="0"/>
              <w:right w:val="single" w:color="auto" w:sz="4" w:space="0"/>
            </w:tcBorders>
            <w:vAlign w:val="center"/>
          </w:tcPr>
          <w:p w14:paraId="57E1D58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987" w:type="dxa"/>
            <w:tcBorders>
              <w:top w:val="single" w:color="auto" w:sz="4" w:space="0"/>
              <w:left w:val="single" w:color="auto" w:sz="4" w:space="0"/>
              <w:bottom w:val="single" w:color="auto" w:sz="4" w:space="0"/>
              <w:right w:val="single" w:color="auto" w:sz="4" w:space="0"/>
            </w:tcBorders>
            <w:vAlign w:val="center"/>
          </w:tcPr>
          <w:p w14:paraId="3C6FBED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987" w:type="dxa"/>
            <w:tcBorders>
              <w:top w:val="single" w:color="auto" w:sz="4" w:space="0"/>
              <w:left w:val="single" w:color="auto" w:sz="4" w:space="0"/>
              <w:bottom w:val="single" w:color="auto" w:sz="4" w:space="0"/>
              <w:right w:val="single" w:color="auto" w:sz="4" w:space="0"/>
            </w:tcBorders>
            <w:vAlign w:val="center"/>
          </w:tcPr>
          <w:p w14:paraId="7D7ECF2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2E5D684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987" w:type="dxa"/>
            <w:tcBorders>
              <w:top w:val="single" w:color="auto" w:sz="4" w:space="0"/>
              <w:left w:val="single" w:color="auto" w:sz="4" w:space="0"/>
              <w:bottom w:val="single" w:color="auto" w:sz="4" w:space="0"/>
              <w:right w:val="single" w:color="auto" w:sz="12" w:space="0"/>
            </w:tcBorders>
            <w:vAlign w:val="center"/>
          </w:tcPr>
          <w:p w14:paraId="3458025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r>
      <w:tr w14:paraId="104F75AB">
        <w:tblPrEx>
          <w:tblCellMar>
            <w:top w:w="0" w:type="dxa"/>
            <w:left w:w="108" w:type="dxa"/>
            <w:bottom w:w="0" w:type="dxa"/>
            <w:right w:w="108" w:type="dxa"/>
          </w:tblCellMar>
        </w:tblPrEx>
        <w:trPr>
          <w:trHeight w:val="397" w:hRule="atLeast"/>
          <w:jc w:val="center"/>
        </w:trPr>
        <w:tc>
          <w:tcPr>
            <w:tcW w:w="685" w:type="dxa"/>
            <w:vMerge w:val="restart"/>
            <w:tcBorders>
              <w:top w:val="single" w:color="auto" w:sz="4" w:space="0"/>
              <w:left w:val="single" w:color="auto" w:sz="12" w:space="0"/>
              <w:bottom w:val="single" w:color="auto" w:sz="4" w:space="0"/>
              <w:right w:val="single" w:color="auto" w:sz="4" w:space="0"/>
            </w:tcBorders>
            <w:vAlign w:val="center"/>
          </w:tcPr>
          <w:p w14:paraId="0110BA9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个别因素</w:t>
            </w:r>
          </w:p>
        </w:tc>
        <w:tc>
          <w:tcPr>
            <w:tcW w:w="2538" w:type="dxa"/>
            <w:gridSpan w:val="2"/>
            <w:tcBorders>
              <w:top w:val="single" w:color="auto" w:sz="4" w:space="0"/>
              <w:left w:val="single" w:color="auto" w:sz="4" w:space="0"/>
              <w:bottom w:val="single" w:color="auto" w:sz="4" w:space="0"/>
              <w:right w:val="single" w:color="auto" w:sz="4" w:space="0"/>
            </w:tcBorders>
            <w:vAlign w:val="center"/>
          </w:tcPr>
          <w:p w14:paraId="71567E4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宗地形状、面积</w:t>
            </w:r>
          </w:p>
        </w:tc>
        <w:tc>
          <w:tcPr>
            <w:tcW w:w="1203" w:type="dxa"/>
            <w:tcBorders>
              <w:top w:val="single" w:color="auto" w:sz="4" w:space="0"/>
              <w:left w:val="single" w:color="auto" w:sz="4" w:space="0"/>
              <w:bottom w:val="single" w:color="auto" w:sz="4" w:space="0"/>
              <w:right w:val="single" w:color="auto" w:sz="4" w:space="0"/>
            </w:tcBorders>
            <w:vAlign w:val="center"/>
          </w:tcPr>
          <w:p w14:paraId="767E598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适宜布局</w:t>
            </w:r>
          </w:p>
        </w:tc>
        <w:tc>
          <w:tcPr>
            <w:tcW w:w="1203" w:type="dxa"/>
            <w:tcBorders>
              <w:top w:val="single" w:color="auto" w:sz="4" w:space="0"/>
              <w:left w:val="single" w:color="auto" w:sz="4" w:space="0"/>
              <w:bottom w:val="single" w:color="auto" w:sz="4" w:space="0"/>
              <w:right w:val="single" w:color="auto" w:sz="4" w:space="0"/>
            </w:tcBorders>
            <w:vAlign w:val="center"/>
          </w:tcPr>
          <w:p w14:paraId="27E514A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基本布局</w:t>
            </w:r>
          </w:p>
        </w:tc>
        <w:tc>
          <w:tcPr>
            <w:tcW w:w="1203" w:type="dxa"/>
            <w:tcBorders>
              <w:top w:val="single" w:color="auto" w:sz="4" w:space="0"/>
              <w:left w:val="single" w:color="auto" w:sz="4" w:space="0"/>
              <w:bottom w:val="single" w:color="auto" w:sz="4" w:space="0"/>
              <w:right w:val="single" w:color="auto" w:sz="4" w:space="0"/>
            </w:tcBorders>
            <w:vAlign w:val="center"/>
          </w:tcPr>
          <w:p w14:paraId="0117842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对布局无影响</w:t>
            </w:r>
          </w:p>
        </w:tc>
        <w:tc>
          <w:tcPr>
            <w:tcW w:w="1203" w:type="dxa"/>
            <w:tcBorders>
              <w:top w:val="single" w:color="auto" w:sz="4" w:space="0"/>
              <w:left w:val="single" w:color="auto" w:sz="4" w:space="0"/>
              <w:bottom w:val="single" w:color="auto" w:sz="4" w:space="0"/>
              <w:right w:val="single" w:color="auto" w:sz="4" w:space="0"/>
            </w:tcBorders>
            <w:vAlign w:val="center"/>
          </w:tcPr>
          <w:p w14:paraId="4E53E0D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对布局有一定影响</w:t>
            </w:r>
          </w:p>
        </w:tc>
        <w:tc>
          <w:tcPr>
            <w:tcW w:w="1204" w:type="dxa"/>
            <w:tcBorders>
              <w:top w:val="single" w:color="auto" w:sz="4" w:space="0"/>
              <w:left w:val="single" w:color="auto" w:sz="4" w:space="0"/>
              <w:bottom w:val="single" w:color="auto" w:sz="4" w:space="0"/>
              <w:right w:val="single" w:color="auto" w:sz="4" w:space="0"/>
            </w:tcBorders>
            <w:vAlign w:val="center"/>
          </w:tcPr>
          <w:p w14:paraId="4D7765D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对布局有严重影响</w:t>
            </w:r>
          </w:p>
        </w:tc>
        <w:tc>
          <w:tcPr>
            <w:tcW w:w="987" w:type="dxa"/>
            <w:tcBorders>
              <w:top w:val="single" w:color="auto" w:sz="4" w:space="0"/>
              <w:left w:val="single" w:color="auto" w:sz="4" w:space="0"/>
              <w:bottom w:val="single" w:color="auto" w:sz="4" w:space="0"/>
              <w:right w:val="single" w:color="auto" w:sz="4" w:space="0"/>
            </w:tcBorders>
            <w:vAlign w:val="center"/>
          </w:tcPr>
          <w:p w14:paraId="4D20367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987" w:type="dxa"/>
            <w:tcBorders>
              <w:top w:val="single" w:color="auto" w:sz="4" w:space="0"/>
              <w:left w:val="single" w:color="auto" w:sz="4" w:space="0"/>
              <w:bottom w:val="single" w:color="auto" w:sz="4" w:space="0"/>
              <w:right w:val="single" w:color="auto" w:sz="4" w:space="0"/>
            </w:tcBorders>
            <w:vAlign w:val="center"/>
          </w:tcPr>
          <w:p w14:paraId="52A633B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0.2</w:t>
            </w:r>
          </w:p>
        </w:tc>
        <w:tc>
          <w:tcPr>
            <w:tcW w:w="987" w:type="dxa"/>
            <w:tcBorders>
              <w:top w:val="single" w:color="auto" w:sz="4" w:space="0"/>
              <w:left w:val="single" w:color="auto" w:sz="4" w:space="0"/>
              <w:bottom w:val="single" w:color="auto" w:sz="4" w:space="0"/>
              <w:right w:val="single" w:color="auto" w:sz="4" w:space="0"/>
            </w:tcBorders>
            <w:vAlign w:val="center"/>
          </w:tcPr>
          <w:p w14:paraId="46F6EF0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18D3639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-0.2</w:t>
            </w:r>
          </w:p>
        </w:tc>
        <w:tc>
          <w:tcPr>
            <w:tcW w:w="987" w:type="dxa"/>
            <w:tcBorders>
              <w:top w:val="single" w:color="auto" w:sz="4" w:space="0"/>
              <w:left w:val="single" w:color="auto" w:sz="4" w:space="0"/>
              <w:bottom w:val="single" w:color="auto" w:sz="4" w:space="0"/>
              <w:right w:val="single" w:color="auto" w:sz="12" w:space="0"/>
            </w:tcBorders>
            <w:vAlign w:val="center"/>
          </w:tcPr>
          <w:p w14:paraId="3618B5D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r>
      <w:tr w14:paraId="282F062B">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2EEA2CD5">
            <w:pPr>
              <w:widowControl/>
              <w:spacing w:line="300" w:lineRule="exact"/>
              <w:jc w:val="left"/>
              <w:rPr>
                <w:rFonts w:hint="default" w:ascii="Times New Roman" w:hAnsi="Times New Roman" w:cs="Times New Roman"/>
                <w:color w:val="000000"/>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14:paraId="47B07C3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宗地坡度（°）</w:t>
            </w:r>
          </w:p>
        </w:tc>
        <w:tc>
          <w:tcPr>
            <w:tcW w:w="1203" w:type="dxa"/>
            <w:tcBorders>
              <w:top w:val="single" w:color="auto" w:sz="4" w:space="0"/>
              <w:left w:val="single" w:color="auto" w:sz="4" w:space="0"/>
              <w:bottom w:val="single" w:color="auto" w:sz="4" w:space="0"/>
              <w:right w:val="single" w:color="auto" w:sz="4" w:space="0"/>
            </w:tcBorders>
            <w:vAlign w:val="center"/>
          </w:tcPr>
          <w:p w14:paraId="777CD94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5（含）以下</w:t>
            </w:r>
          </w:p>
        </w:tc>
        <w:tc>
          <w:tcPr>
            <w:tcW w:w="1203" w:type="dxa"/>
            <w:tcBorders>
              <w:top w:val="single" w:color="auto" w:sz="4" w:space="0"/>
              <w:left w:val="single" w:color="auto" w:sz="4" w:space="0"/>
              <w:bottom w:val="single" w:color="auto" w:sz="4" w:space="0"/>
              <w:right w:val="single" w:color="auto" w:sz="4" w:space="0"/>
            </w:tcBorders>
            <w:vAlign w:val="center"/>
          </w:tcPr>
          <w:p w14:paraId="6C5A2ED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5-10（含）</w:t>
            </w:r>
          </w:p>
        </w:tc>
        <w:tc>
          <w:tcPr>
            <w:tcW w:w="1203" w:type="dxa"/>
            <w:tcBorders>
              <w:top w:val="single" w:color="auto" w:sz="4" w:space="0"/>
              <w:left w:val="single" w:color="auto" w:sz="4" w:space="0"/>
              <w:bottom w:val="single" w:color="auto" w:sz="4" w:space="0"/>
              <w:right w:val="single" w:color="auto" w:sz="4" w:space="0"/>
            </w:tcBorders>
            <w:vAlign w:val="center"/>
          </w:tcPr>
          <w:p w14:paraId="36E16AE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10-15（含）</w:t>
            </w:r>
          </w:p>
        </w:tc>
        <w:tc>
          <w:tcPr>
            <w:tcW w:w="1203" w:type="dxa"/>
            <w:tcBorders>
              <w:top w:val="single" w:color="auto" w:sz="4" w:space="0"/>
              <w:left w:val="single" w:color="auto" w:sz="4" w:space="0"/>
              <w:bottom w:val="single" w:color="auto" w:sz="4" w:space="0"/>
              <w:right w:val="single" w:color="auto" w:sz="4" w:space="0"/>
            </w:tcBorders>
            <w:vAlign w:val="center"/>
          </w:tcPr>
          <w:p w14:paraId="62C22DF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15-25（含）</w:t>
            </w:r>
          </w:p>
        </w:tc>
        <w:tc>
          <w:tcPr>
            <w:tcW w:w="1204" w:type="dxa"/>
            <w:tcBorders>
              <w:top w:val="single" w:color="auto" w:sz="4" w:space="0"/>
              <w:left w:val="single" w:color="auto" w:sz="4" w:space="0"/>
              <w:bottom w:val="single" w:color="auto" w:sz="4" w:space="0"/>
              <w:right w:val="single" w:color="auto" w:sz="4" w:space="0"/>
            </w:tcBorders>
            <w:vAlign w:val="center"/>
          </w:tcPr>
          <w:p w14:paraId="419DDDB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25以下</w:t>
            </w:r>
          </w:p>
        </w:tc>
        <w:tc>
          <w:tcPr>
            <w:tcW w:w="987" w:type="dxa"/>
            <w:tcBorders>
              <w:top w:val="single" w:color="auto" w:sz="4" w:space="0"/>
              <w:left w:val="single" w:color="auto" w:sz="4" w:space="0"/>
              <w:bottom w:val="single" w:color="auto" w:sz="4" w:space="0"/>
              <w:right w:val="single" w:color="auto" w:sz="4" w:space="0"/>
            </w:tcBorders>
            <w:vAlign w:val="center"/>
          </w:tcPr>
          <w:p w14:paraId="3A9B4DD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87" w:type="dxa"/>
            <w:tcBorders>
              <w:top w:val="single" w:color="auto" w:sz="4" w:space="0"/>
              <w:left w:val="single" w:color="auto" w:sz="4" w:space="0"/>
              <w:bottom w:val="single" w:color="auto" w:sz="4" w:space="0"/>
              <w:right w:val="single" w:color="auto" w:sz="4" w:space="0"/>
            </w:tcBorders>
            <w:vAlign w:val="center"/>
          </w:tcPr>
          <w:p w14:paraId="50BB6EB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4" w:space="0"/>
            </w:tcBorders>
            <w:vAlign w:val="center"/>
          </w:tcPr>
          <w:p w14:paraId="3514574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7A6BB08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12" w:space="0"/>
            </w:tcBorders>
            <w:vAlign w:val="center"/>
          </w:tcPr>
          <w:p w14:paraId="3BF80BC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79D88B3D">
        <w:tblPrEx>
          <w:tblCellMar>
            <w:top w:w="0" w:type="dxa"/>
            <w:left w:w="108" w:type="dxa"/>
            <w:bottom w:w="0" w:type="dxa"/>
            <w:right w:w="108" w:type="dxa"/>
          </w:tblCellMar>
        </w:tblPrEx>
        <w:trPr>
          <w:trHeight w:val="397" w:hRule="atLeast"/>
          <w:jc w:val="center"/>
        </w:trPr>
        <w:tc>
          <w:tcPr>
            <w:tcW w:w="685" w:type="dxa"/>
            <w:vMerge w:val="continue"/>
            <w:tcBorders>
              <w:top w:val="single" w:color="auto" w:sz="4" w:space="0"/>
              <w:left w:val="single" w:color="auto" w:sz="12" w:space="0"/>
              <w:bottom w:val="single" w:color="auto" w:sz="4" w:space="0"/>
              <w:right w:val="single" w:color="auto" w:sz="4" w:space="0"/>
            </w:tcBorders>
            <w:vAlign w:val="center"/>
          </w:tcPr>
          <w:p w14:paraId="769AD8B1">
            <w:pPr>
              <w:widowControl/>
              <w:spacing w:line="300" w:lineRule="exact"/>
              <w:jc w:val="left"/>
              <w:rPr>
                <w:rFonts w:hint="default" w:ascii="Times New Roman" w:hAnsi="Times New Roman" w:cs="Times New Roman"/>
                <w:color w:val="000000"/>
                <w:kern w:val="0"/>
                <w:sz w:val="18"/>
                <w:szCs w:val="18"/>
              </w:rPr>
            </w:pPr>
          </w:p>
        </w:tc>
        <w:tc>
          <w:tcPr>
            <w:tcW w:w="2538" w:type="dxa"/>
            <w:gridSpan w:val="2"/>
            <w:tcBorders>
              <w:top w:val="single" w:color="auto" w:sz="4" w:space="0"/>
              <w:left w:val="single" w:color="auto" w:sz="4" w:space="0"/>
              <w:bottom w:val="single" w:color="auto" w:sz="4" w:space="0"/>
              <w:right w:val="single" w:color="auto" w:sz="4" w:space="0"/>
            </w:tcBorders>
            <w:vAlign w:val="center"/>
          </w:tcPr>
          <w:p w14:paraId="656D344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地质灾害</w:t>
            </w:r>
          </w:p>
        </w:tc>
        <w:tc>
          <w:tcPr>
            <w:tcW w:w="1203" w:type="dxa"/>
            <w:tcBorders>
              <w:top w:val="single" w:color="auto" w:sz="4" w:space="0"/>
              <w:left w:val="single" w:color="auto" w:sz="4" w:space="0"/>
              <w:bottom w:val="single" w:color="auto" w:sz="4" w:space="0"/>
              <w:right w:val="single" w:color="auto" w:sz="4" w:space="0"/>
            </w:tcBorders>
            <w:vAlign w:val="center"/>
          </w:tcPr>
          <w:p w14:paraId="405C565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1203" w:type="dxa"/>
            <w:tcBorders>
              <w:top w:val="single" w:color="auto" w:sz="4" w:space="0"/>
              <w:left w:val="single" w:color="auto" w:sz="4" w:space="0"/>
              <w:bottom w:val="single" w:color="auto" w:sz="4" w:space="0"/>
              <w:right w:val="single" w:color="auto" w:sz="4" w:space="0"/>
            </w:tcBorders>
            <w:vAlign w:val="center"/>
          </w:tcPr>
          <w:p w14:paraId="2816E2F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不易发区</w:t>
            </w:r>
          </w:p>
        </w:tc>
        <w:tc>
          <w:tcPr>
            <w:tcW w:w="1203" w:type="dxa"/>
            <w:tcBorders>
              <w:top w:val="single" w:color="auto" w:sz="4" w:space="0"/>
              <w:left w:val="single" w:color="auto" w:sz="4" w:space="0"/>
              <w:bottom w:val="single" w:color="auto" w:sz="4" w:space="0"/>
              <w:right w:val="single" w:color="auto" w:sz="4" w:space="0"/>
            </w:tcBorders>
            <w:vAlign w:val="center"/>
          </w:tcPr>
          <w:p w14:paraId="023A970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低易发区</w:t>
            </w:r>
          </w:p>
        </w:tc>
        <w:tc>
          <w:tcPr>
            <w:tcW w:w="1203" w:type="dxa"/>
            <w:tcBorders>
              <w:top w:val="single" w:color="auto" w:sz="4" w:space="0"/>
              <w:left w:val="single" w:color="auto" w:sz="4" w:space="0"/>
              <w:bottom w:val="single" w:color="auto" w:sz="4" w:space="0"/>
              <w:right w:val="single" w:color="auto" w:sz="4" w:space="0"/>
            </w:tcBorders>
            <w:vAlign w:val="center"/>
          </w:tcPr>
          <w:p w14:paraId="0D2FC2A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中易发区</w:t>
            </w:r>
          </w:p>
        </w:tc>
        <w:tc>
          <w:tcPr>
            <w:tcW w:w="1204" w:type="dxa"/>
            <w:tcBorders>
              <w:top w:val="single" w:color="auto" w:sz="4" w:space="0"/>
              <w:left w:val="single" w:color="auto" w:sz="4" w:space="0"/>
              <w:bottom w:val="single" w:color="auto" w:sz="4" w:space="0"/>
              <w:right w:val="single" w:color="auto" w:sz="4" w:space="0"/>
            </w:tcBorders>
            <w:vAlign w:val="center"/>
          </w:tcPr>
          <w:p w14:paraId="3624E78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高易发区、极易发区</w:t>
            </w:r>
          </w:p>
        </w:tc>
        <w:tc>
          <w:tcPr>
            <w:tcW w:w="987" w:type="dxa"/>
            <w:tcBorders>
              <w:top w:val="single" w:color="auto" w:sz="4" w:space="0"/>
              <w:left w:val="single" w:color="auto" w:sz="4" w:space="0"/>
              <w:bottom w:val="single" w:color="auto" w:sz="4" w:space="0"/>
              <w:right w:val="single" w:color="auto" w:sz="4" w:space="0"/>
            </w:tcBorders>
            <w:vAlign w:val="center"/>
          </w:tcPr>
          <w:p w14:paraId="5080035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87" w:type="dxa"/>
            <w:tcBorders>
              <w:top w:val="single" w:color="auto" w:sz="4" w:space="0"/>
              <w:left w:val="single" w:color="auto" w:sz="4" w:space="0"/>
              <w:bottom w:val="single" w:color="auto" w:sz="4" w:space="0"/>
              <w:right w:val="single" w:color="auto" w:sz="4" w:space="0"/>
            </w:tcBorders>
            <w:vAlign w:val="center"/>
          </w:tcPr>
          <w:p w14:paraId="0B15E02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4" w:space="0"/>
            </w:tcBorders>
            <w:vAlign w:val="center"/>
          </w:tcPr>
          <w:p w14:paraId="21658AF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4" w:space="0"/>
              <w:right w:val="single" w:color="auto" w:sz="4" w:space="0"/>
            </w:tcBorders>
            <w:vAlign w:val="center"/>
          </w:tcPr>
          <w:p w14:paraId="29E6B19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87" w:type="dxa"/>
            <w:tcBorders>
              <w:top w:val="single" w:color="auto" w:sz="4" w:space="0"/>
              <w:left w:val="single" w:color="auto" w:sz="4" w:space="0"/>
              <w:bottom w:val="single" w:color="auto" w:sz="4" w:space="0"/>
              <w:right w:val="single" w:color="auto" w:sz="12" w:space="0"/>
            </w:tcBorders>
            <w:vAlign w:val="center"/>
          </w:tcPr>
          <w:p w14:paraId="5CB2273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3D42561C">
        <w:tblPrEx>
          <w:tblCellMar>
            <w:top w:w="0" w:type="dxa"/>
            <w:left w:w="108" w:type="dxa"/>
            <w:bottom w:w="0" w:type="dxa"/>
            <w:right w:w="108" w:type="dxa"/>
          </w:tblCellMar>
        </w:tblPrEx>
        <w:trPr>
          <w:trHeight w:val="397" w:hRule="atLeast"/>
          <w:jc w:val="center"/>
        </w:trPr>
        <w:tc>
          <w:tcPr>
            <w:tcW w:w="9239" w:type="dxa"/>
            <w:gridSpan w:val="8"/>
            <w:tcBorders>
              <w:top w:val="single" w:color="auto" w:sz="4" w:space="0"/>
              <w:left w:val="single" w:color="auto" w:sz="12" w:space="0"/>
              <w:bottom w:val="single" w:color="auto" w:sz="12" w:space="0"/>
              <w:right w:val="single" w:color="auto" w:sz="4" w:space="0"/>
            </w:tcBorders>
            <w:vAlign w:val="center"/>
          </w:tcPr>
          <w:p w14:paraId="433A6B1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合计</w:t>
            </w:r>
          </w:p>
        </w:tc>
        <w:tc>
          <w:tcPr>
            <w:tcW w:w="987" w:type="dxa"/>
            <w:tcBorders>
              <w:top w:val="single" w:color="auto" w:sz="4" w:space="0"/>
              <w:left w:val="single" w:color="auto" w:sz="4" w:space="0"/>
              <w:bottom w:val="single" w:color="auto" w:sz="12" w:space="0"/>
              <w:right w:val="single" w:color="auto" w:sz="4" w:space="0"/>
            </w:tcBorders>
            <w:vAlign w:val="center"/>
          </w:tcPr>
          <w:p w14:paraId="49BE1D8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987" w:type="dxa"/>
            <w:tcBorders>
              <w:top w:val="single" w:color="auto" w:sz="4" w:space="0"/>
              <w:left w:val="single" w:color="auto" w:sz="4" w:space="0"/>
              <w:bottom w:val="single" w:color="auto" w:sz="12" w:space="0"/>
              <w:right w:val="single" w:color="auto" w:sz="4" w:space="0"/>
            </w:tcBorders>
            <w:vAlign w:val="center"/>
          </w:tcPr>
          <w:p w14:paraId="7AB3A8B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w:t>
            </w:r>
          </w:p>
        </w:tc>
        <w:tc>
          <w:tcPr>
            <w:tcW w:w="987" w:type="dxa"/>
            <w:tcBorders>
              <w:top w:val="single" w:color="auto" w:sz="4" w:space="0"/>
              <w:left w:val="single" w:color="auto" w:sz="4" w:space="0"/>
              <w:bottom w:val="single" w:color="auto" w:sz="12" w:space="0"/>
              <w:right w:val="single" w:color="auto" w:sz="4" w:space="0"/>
            </w:tcBorders>
            <w:vAlign w:val="center"/>
          </w:tcPr>
          <w:p w14:paraId="3183DD0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87" w:type="dxa"/>
            <w:tcBorders>
              <w:top w:val="single" w:color="auto" w:sz="4" w:space="0"/>
              <w:left w:val="single" w:color="auto" w:sz="4" w:space="0"/>
              <w:bottom w:val="single" w:color="auto" w:sz="12" w:space="0"/>
              <w:right w:val="single" w:color="auto" w:sz="4" w:space="0"/>
            </w:tcBorders>
            <w:vAlign w:val="center"/>
          </w:tcPr>
          <w:p w14:paraId="7FF8137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w:t>
            </w:r>
          </w:p>
        </w:tc>
        <w:tc>
          <w:tcPr>
            <w:tcW w:w="987" w:type="dxa"/>
            <w:tcBorders>
              <w:top w:val="single" w:color="auto" w:sz="4" w:space="0"/>
              <w:left w:val="single" w:color="auto" w:sz="4" w:space="0"/>
              <w:bottom w:val="single" w:color="auto" w:sz="12" w:space="0"/>
              <w:right w:val="single" w:color="auto" w:sz="12" w:space="0"/>
            </w:tcBorders>
            <w:vAlign w:val="center"/>
          </w:tcPr>
          <w:p w14:paraId="51ADBF0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r>
    </w:tbl>
    <w:p w14:paraId="282D0A32">
      <w:pPr>
        <w:adjustRightInd w:val="0"/>
        <w:snapToGrid w:val="0"/>
        <w:jc w:val="left"/>
        <w:rPr>
          <w:rFonts w:hint="default" w:ascii="Times New Roman" w:hAnsi="Times New Roman" w:cs="Times New Roman"/>
        </w:rPr>
      </w:pPr>
      <w:r>
        <w:rPr>
          <w:rFonts w:hint="default" w:ascii="Times New Roman" w:hAnsi="Times New Roman" w:cs="Times New Roman"/>
          <w:color w:val="000000"/>
          <w:kern w:val="0"/>
          <w:sz w:val="18"/>
          <w:szCs w:val="18"/>
        </w:rPr>
        <w:t>注：数字后标注（含）表示含本数</w:t>
      </w:r>
    </w:p>
    <w:p w14:paraId="17AA666F">
      <w:pPr>
        <w:rPr>
          <w:rFonts w:hint="default" w:ascii="Times New Roman" w:hAnsi="Times New Roman" w:eastAsia="黑体" w:cs="Times New Roman"/>
          <w:sz w:val="18"/>
          <w:szCs w:val="18"/>
        </w:rPr>
      </w:pPr>
    </w:p>
    <w:p w14:paraId="4F06B358">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br w:type="page"/>
      </w:r>
    </w:p>
    <w:p w14:paraId="4D49DE7C">
      <w:pPr>
        <w:adjustRightInd w:val="0"/>
        <w:snapToGrid w:val="0"/>
        <w:ind w:firstLine="360"/>
        <w:jc w:val="center"/>
        <w:rPr>
          <w:rFonts w:hint="default" w:ascii="Times New Roman" w:hAnsi="Times New Roman" w:eastAsia="黑体" w:cs="Times New Roman"/>
          <w:sz w:val="18"/>
          <w:szCs w:val="18"/>
        </w:rPr>
      </w:pPr>
      <w:r>
        <w:rPr>
          <w:rFonts w:hint="default" w:ascii="Times New Roman" w:hAnsi="Times New Roman" w:eastAsia="黑体" w:cs="Times New Roman"/>
          <w:sz w:val="24"/>
          <w:szCs w:val="24"/>
        </w:rPr>
        <w:t>黔江区住宅用地基准地价修正因素指标说明及修正系数表</w:t>
      </w:r>
    </w:p>
    <w:tbl>
      <w:tblPr>
        <w:tblStyle w:val="10"/>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09"/>
        <w:gridCol w:w="1381"/>
        <w:gridCol w:w="1446"/>
        <w:gridCol w:w="1446"/>
        <w:gridCol w:w="1446"/>
        <w:gridCol w:w="1446"/>
        <w:gridCol w:w="1446"/>
        <w:gridCol w:w="839"/>
        <w:gridCol w:w="839"/>
        <w:gridCol w:w="839"/>
        <w:gridCol w:w="839"/>
        <w:gridCol w:w="841"/>
      </w:tblGrid>
      <w:tr w14:paraId="5BDC6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gridSpan w:val="3"/>
            <w:vMerge w:val="restart"/>
            <w:vAlign w:val="center"/>
          </w:tcPr>
          <w:p w14:paraId="3BF5759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宗地修正因素</w:t>
            </w:r>
          </w:p>
        </w:tc>
        <w:tc>
          <w:tcPr>
            <w:tcW w:w="7230" w:type="dxa"/>
            <w:gridSpan w:val="5"/>
            <w:vAlign w:val="center"/>
          </w:tcPr>
          <w:p w14:paraId="61E9102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指标说明</w:t>
            </w:r>
          </w:p>
        </w:tc>
        <w:tc>
          <w:tcPr>
            <w:tcW w:w="4197" w:type="dxa"/>
            <w:gridSpan w:val="5"/>
            <w:vAlign w:val="center"/>
          </w:tcPr>
          <w:p w14:paraId="562C9F9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修正系数</w:t>
            </w:r>
          </w:p>
        </w:tc>
      </w:tr>
      <w:tr w14:paraId="4DFAD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7" w:type="dxa"/>
            <w:gridSpan w:val="3"/>
            <w:vMerge w:val="continue"/>
            <w:vAlign w:val="center"/>
          </w:tcPr>
          <w:p w14:paraId="71964FA8">
            <w:pPr>
              <w:widowControl/>
              <w:spacing w:line="300" w:lineRule="exact"/>
              <w:jc w:val="left"/>
              <w:rPr>
                <w:rFonts w:hint="default" w:ascii="Times New Roman" w:hAnsi="Times New Roman" w:cs="Times New Roman"/>
                <w:color w:val="000000"/>
                <w:kern w:val="0"/>
                <w:sz w:val="18"/>
                <w:szCs w:val="18"/>
              </w:rPr>
            </w:pPr>
          </w:p>
        </w:tc>
        <w:tc>
          <w:tcPr>
            <w:tcW w:w="1446" w:type="dxa"/>
            <w:vAlign w:val="center"/>
          </w:tcPr>
          <w:p w14:paraId="38016DD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优</w:t>
            </w:r>
          </w:p>
        </w:tc>
        <w:tc>
          <w:tcPr>
            <w:tcW w:w="1446" w:type="dxa"/>
            <w:vAlign w:val="center"/>
          </w:tcPr>
          <w:p w14:paraId="0448674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较优</w:t>
            </w:r>
          </w:p>
        </w:tc>
        <w:tc>
          <w:tcPr>
            <w:tcW w:w="1446" w:type="dxa"/>
            <w:vAlign w:val="center"/>
          </w:tcPr>
          <w:p w14:paraId="6214A57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446" w:type="dxa"/>
            <w:vAlign w:val="center"/>
          </w:tcPr>
          <w:p w14:paraId="3D10D8D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较差</w:t>
            </w:r>
          </w:p>
        </w:tc>
        <w:tc>
          <w:tcPr>
            <w:tcW w:w="1446" w:type="dxa"/>
            <w:vAlign w:val="center"/>
          </w:tcPr>
          <w:p w14:paraId="0A2F2E6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差</w:t>
            </w:r>
          </w:p>
        </w:tc>
        <w:tc>
          <w:tcPr>
            <w:tcW w:w="839" w:type="dxa"/>
            <w:vAlign w:val="center"/>
          </w:tcPr>
          <w:p w14:paraId="484E3A5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优</w:t>
            </w:r>
          </w:p>
        </w:tc>
        <w:tc>
          <w:tcPr>
            <w:tcW w:w="839" w:type="dxa"/>
            <w:vAlign w:val="center"/>
          </w:tcPr>
          <w:p w14:paraId="5E582BB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较优</w:t>
            </w:r>
          </w:p>
        </w:tc>
        <w:tc>
          <w:tcPr>
            <w:tcW w:w="839" w:type="dxa"/>
            <w:vAlign w:val="center"/>
          </w:tcPr>
          <w:p w14:paraId="78F0C12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839" w:type="dxa"/>
            <w:vAlign w:val="center"/>
          </w:tcPr>
          <w:p w14:paraId="7CBBF17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较差</w:t>
            </w:r>
          </w:p>
        </w:tc>
        <w:tc>
          <w:tcPr>
            <w:tcW w:w="841" w:type="dxa"/>
            <w:vAlign w:val="center"/>
          </w:tcPr>
          <w:p w14:paraId="2206469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差</w:t>
            </w:r>
          </w:p>
        </w:tc>
      </w:tr>
      <w:tr w14:paraId="6FFC1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restart"/>
            <w:vAlign w:val="center"/>
          </w:tcPr>
          <w:p w14:paraId="385A0D6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区域因素</w:t>
            </w:r>
          </w:p>
        </w:tc>
        <w:tc>
          <w:tcPr>
            <w:tcW w:w="709" w:type="dxa"/>
            <w:vMerge w:val="restart"/>
            <w:vAlign w:val="center"/>
          </w:tcPr>
          <w:p w14:paraId="0C40899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繁华程度</w:t>
            </w:r>
          </w:p>
        </w:tc>
        <w:tc>
          <w:tcPr>
            <w:tcW w:w="1381" w:type="dxa"/>
            <w:vAlign w:val="center"/>
          </w:tcPr>
          <w:p w14:paraId="631A601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距商业中心距离（m）</w:t>
            </w:r>
          </w:p>
        </w:tc>
        <w:tc>
          <w:tcPr>
            <w:tcW w:w="1446" w:type="dxa"/>
            <w:vAlign w:val="center"/>
          </w:tcPr>
          <w:p w14:paraId="4B430CA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150（含）以下 </w:t>
            </w:r>
          </w:p>
        </w:tc>
        <w:tc>
          <w:tcPr>
            <w:tcW w:w="1446" w:type="dxa"/>
            <w:vAlign w:val="center"/>
          </w:tcPr>
          <w:p w14:paraId="17E936B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150-1000（含）</w:t>
            </w:r>
          </w:p>
        </w:tc>
        <w:tc>
          <w:tcPr>
            <w:tcW w:w="1446" w:type="dxa"/>
            <w:vAlign w:val="center"/>
          </w:tcPr>
          <w:p w14:paraId="0D228DB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1000-1500（含）</w:t>
            </w:r>
          </w:p>
        </w:tc>
        <w:tc>
          <w:tcPr>
            <w:tcW w:w="1446" w:type="dxa"/>
            <w:vAlign w:val="center"/>
          </w:tcPr>
          <w:p w14:paraId="512077C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1500-2000（含）</w:t>
            </w:r>
          </w:p>
        </w:tc>
        <w:tc>
          <w:tcPr>
            <w:tcW w:w="1446" w:type="dxa"/>
            <w:vAlign w:val="center"/>
          </w:tcPr>
          <w:p w14:paraId="0F22C45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2000以上</w:t>
            </w:r>
          </w:p>
        </w:tc>
        <w:tc>
          <w:tcPr>
            <w:tcW w:w="839" w:type="dxa"/>
            <w:vAlign w:val="center"/>
          </w:tcPr>
          <w:p w14:paraId="405F76D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c>
          <w:tcPr>
            <w:tcW w:w="839" w:type="dxa"/>
            <w:vAlign w:val="center"/>
          </w:tcPr>
          <w:p w14:paraId="3243F97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839" w:type="dxa"/>
            <w:vAlign w:val="center"/>
          </w:tcPr>
          <w:p w14:paraId="1F7216B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09D9E08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841" w:type="dxa"/>
            <w:vAlign w:val="center"/>
          </w:tcPr>
          <w:p w14:paraId="09162A6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w:t>
            </w:r>
          </w:p>
        </w:tc>
      </w:tr>
      <w:tr w14:paraId="123EC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14FBB394">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0648EB64">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7551DD1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商业网点密度</w:t>
            </w:r>
          </w:p>
        </w:tc>
        <w:tc>
          <w:tcPr>
            <w:tcW w:w="1446" w:type="dxa"/>
            <w:vAlign w:val="center"/>
          </w:tcPr>
          <w:p w14:paraId="476456D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密集</w:t>
            </w:r>
          </w:p>
        </w:tc>
        <w:tc>
          <w:tcPr>
            <w:tcW w:w="1446" w:type="dxa"/>
            <w:vAlign w:val="center"/>
          </w:tcPr>
          <w:p w14:paraId="36A8693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较密集</w:t>
            </w:r>
          </w:p>
        </w:tc>
        <w:tc>
          <w:tcPr>
            <w:tcW w:w="1446" w:type="dxa"/>
            <w:vAlign w:val="center"/>
          </w:tcPr>
          <w:p w14:paraId="10C64C9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446" w:type="dxa"/>
            <w:vAlign w:val="center"/>
          </w:tcPr>
          <w:p w14:paraId="21C82E7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较不密集</w:t>
            </w:r>
          </w:p>
        </w:tc>
        <w:tc>
          <w:tcPr>
            <w:tcW w:w="1446" w:type="dxa"/>
            <w:vAlign w:val="center"/>
          </w:tcPr>
          <w:p w14:paraId="55D9AC2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不密集</w:t>
            </w:r>
          </w:p>
        </w:tc>
        <w:tc>
          <w:tcPr>
            <w:tcW w:w="839" w:type="dxa"/>
            <w:vAlign w:val="center"/>
          </w:tcPr>
          <w:p w14:paraId="4EFC763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839" w:type="dxa"/>
            <w:vAlign w:val="center"/>
          </w:tcPr>
          <w:p w14:paraId="5315CAC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706C800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39D43A4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41" w:type="dxa"/>
            <w:vAlign w:val="center"/>
          </w:tcPr>
          <w:p w14:paraId="5E96349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5A268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682DE6ED">
            <w:pPr>
              <w:widowControl/>
              <w:spacing w:line="300" w:lineRule="exact"/>
              <w:jc w:val="left"/>
              <w:rPr>
                <w:rFonts w:hint="default" w:ascii="Times New Roman" w:hAnsi="Times New Roman" w:cs="Times New Roman"/>
                <w:color w:val="000000"/>
                <w:kern w:val="0"/>
                <w:sz w:val="18"/>
                <w:szCs w:val="18"/>
              </w:rPr>
            </w:pPr>
          </w:p>
        </w:tc>
        <w:tc>
          <w:tcPr>
            <w:tcW w:w="709" w:type="dxa"/>
            <w:vMerge w:val="restart"/>
            <w:vAlign w:val="center"/>
          </w:tcPr>
          <w:p w14:paraId="2FEDC57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交通条件</w:t>
            </w:r>
          </w:p>
        </w:tc>
        <w:tc>
          <w:tcPr>
            <w:tcW w:w="1381" w:type="dxa"/>
            <w:vAlign w:val="center"/>
          </w:tcPr>
          <w:p w14:paraId="4734C0E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公交线路数（条）</w:t>
            </w:r>
          </w:p>
        </w:tc>
        <w:tc>
          <w:tcPr>
            <w:tcW w:w="1446" w:type="dxa"/>
            <w:vAlign w:val="center"/>
          </w:tcPr>
          <w:p w14:paraId="7DD1594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6（含）以上</w:t>
            </w:r>
          </w:p>
        </w:tc>
        <w:tc>
          <w:tcPr>
            <w:tcW w:w="1446" w:type="dxa"/>
            <w:vAlign w:val="center"/>
          </w:tcPr>
          <w:p w14:paraId="7E1F1E8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c>
          <w:tcPr>
            <w:tcW w:w="1446" w:type="dxa"/>
            <w:vAlign w:val="center"/>
          </w:tcPr>
          <w:p w14:paraId="0DD0155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1446" w:type="dxa"/>
            <w:vAlign w:val="center"/>
          </w:tcPr>
          <w:p w14:paraId="0ED77C0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446" w:type="dxa"/>
            <w:vAlign w:val="center"/>
          </w:tcPr>
          <w:p w14:paraId="0E6F380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839" w:type="dxa"/>
            <w:vAlign w:val="center"/>
          </w:tcPr>
          <w:p w14:paraId="374E863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839" w:type="dxa"/>
            <w:vAlign w:val="center"/>
          </w:tcPr>
          <w:p w14:paraId="743F793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5099AB7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08FDC8F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41" w:type="dxa"/>
            <w:vAlign w:val="center"/>
          </w:tcPr>
          <w:p w14:paraId="7162528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70807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5BC7DA73">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6FA78212">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18FE79A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道路级别（宽度m）</w:t>
            </w:r>
          </w:p>
        </w:tc>
        <w:tc>
          <w:tcPr>
            <w:tcW w:w="1446" w:type="dxa"/>
            <w:vAlign w:val="center"/>
          </w:tcPr>
          <w:p w14:paraId="0FAF471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20（含）以上</w:t>
            </w:r>
          </w:p>
        </w:tc>
        <w:tc>
          <w:tcPr>
            <w:tcW w:w="1446" w:type="dxa"/>
            <w:vAlign w:val="center"/>
          </w:tcPr>
          <w:p w14:paraId="5AE0271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15（含）-20</w:t>
            </w:r>
          </w:p>
        </w:tc>
        <w:tc>
          <w:tcPr>
            <w:tcW w:w="1446" w:type="dxa"/>
            <w:vAlign w:val="center"/>
          </w:tcPr>
          <w:p w14:paraId="5C695D5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9（含）-15</w:t>
            </w:r>
          </w:p>
        </w:tc>
        <w:tc>
          <w:tcPr>
            <w:tcW w:w="1446" w:type="dxa"/>
            <w:vAlign w:val="center"/>
          </w:tcPr>
          <w:p w14:paraId="78301E0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5（含）-9</w:t>
            </w:r>
          </w:p>
        </w:tc>
        <w:tc>
          <w:tcPr>
            <w:tcW w:w="1446" w:type="dxa"/>
            <w:vAlign w:val="center"/>
          </w:tcPr>
          <w:p w14:paraId="7B219DF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5以下</w:t>
            </w:r>
          </w:p>
        </w:tc>
        <w:tc>
          <w:tcPr>
            <w:tcW w:w="839" w:type="dxa"/>
            <w:vAlign w:val="center"/>
          </w:tcPr>
          <w:p w14:paraId="4E36DAA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839" w:type="dxa"/>
            <w:vAlign w:val="center"/>
          </w:tcPr>
          <w:p w14:paraId="64B5A0D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39" w:type="dxa"/>
            <w:vAlign w:val="center"/>
          </w:tcPr>
          <w:p w14:paraId="556624D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24D6117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41" w:type="dxa"/>
            <w:vAlign w:val="center"/>
          </w:tcPr>
          <w:p w14:paraId="0AD03F5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r>
      <w:tr w14:paraId="286E3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12BB8B46">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5B39CCB2">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2E7986B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停车场地（m</w:t>
            </w:r>
            <w:r>
              <w:rPr>
                <w:rFonts w:hint="default" w:ascii="Times New Roman" w:hAnsi="Times New Roman" w:cs="Times New Roman"/>
                <w:color w:val="000000"/>
                <w:kern w:val="0"/>
                <w:sz w:val="18"/>
                <w:szCs w:val="18"/>
                <w:vertAlign w:val="superscript"/>
              </w:rPr>
              <w:t>2</w:t>
            </w:r>
            <w:r>
              <w:rPr>
                <w:rFonts w:hint="default" w:ascii="Times New Roman" w:hAnsi="Times New Roman" w:cs="Times New Roman"/>
                <w:color w:val="000000"/>
                <w:kern w:val="0"/>
                <w:sz w:val="18"/>
                <w:szCs w:val="18"/>
              </w:rPr>
              <w:t>）</w:t>
            </w:r>
          </w:p>
        </w:tc>
        <w:tc>
          <w:tcPr>
            <w:tcW w:w="1446" w:type="dxa"/>
            <w:vAlign w:val="center"/>
          </w:tcPr>
          <w:p w14:paraId="527E5A7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自备  ，1000（含）以上</w:t>
            </w:r>
          </w:p>
        </w:tc>
        <w:tc>
          <w:tcPr>
            <w:tcW w:w="1446" w:type="dxa"/>
            <w:vAlign w:val="center"/>
          </w:tcPr>
          <w:p w14:paraId="5DE814B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自备，600（含）-1000</w:t>
            </w:r>
          </w:p>
        </w:tc>
        <w:tc>
          <w:tcPr>
            <w:tcW w:w="1446" w:type="dxa"/>
            <w:vAlign w:val="center"/>
          </w:tcPr>
          <w:p w14:paraId="12D31F8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自备，600以下</w:t>
            </w:r>
          </w:p>
        </w:tc>
        <w:tc>
          <w:tcPr>
            <w:tcW w:w="1446" w:type="dxa"/>
            <w:vAlign w:val="center"/>
          </w:tcPr>
          <w:p w14:paraId="27EC00A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附近有停车场</w:t>
            </w:r>
          </w:p>
        </w:tc>
        <w:tc>
          <w:tcPr>
            <w:tcW w:w="1446" w:type="dxa"/>
            <w:vAlign w:val="center"/>
          </w:tcPr>
          <w:p w14:paraId="7309BF0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839" w:type="dxa"/>
            <w:vAlign w:val="center"/>
          </w:tcPr>
          <w:p w14:paraId="6A26D3C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839" w:type="dxa"/>
            <w:vAlign w:val="center"/>
          </w:tcPr>
          <w:p w14:paraId="04653D0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39" w:type="dxa"/>
            <w:vAlign w:val="center"/>
          </w:tcPr>
          <w:p w14:paraId="21810CA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7C93CF8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41" w:type="dxa"/>
            <w:vAlign w:val="center"/>
          </w:tcPr>
          <w:p w14:paraId="6724E57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57CE8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3B22C1D0">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578A3404">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15DBF0C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距长途汽车站的距离（km）</w:t>
            </w:r>
          </w:p>
        </w:tc>
        <w:tc>
          <w:tcPr>
            <w:tcW w:w="1446" w:type="dxa"/>
            <w:vAlign w:val="center"/>
          </w:tcPr>
          <w:p w14:paraId="49D3C62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3（含）以下</w:t>
            </w:r>
          </w:p>
        </w:tc>
        <w:tc>
          <w:tcPr>
            <w:tcW w:w="1446" w:type="dxa"/>
            <w:vAlign w:val="center"/>
          </w:tcPr>
          <w:p w14:paraId="3C424F0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3-5（含）</w:t>
            </w:r>
          </w:p>
        </w:tc>
        <w:tc>
          <w:tcPr>
            <w:tcW w:w="1446" w:type="dxa"/>
            <w:vAlign w:val="center"/>
          </w:tcPr>
          <w:p w14:paraId="1B42549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5-10（含）</w:t>
            </w:r>
          </w:p>
        </w:tc>
        <w:tc>
          <w:tcPr>
            <w:tcW w:w="1446" w:type="dxa"/>
            <w:vAlign w:val="center"/>
          </w:tcPr>
          <w:p w14:paraId="720DB72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10-15（含）</w:t>
            </w:r>
          </w:p>
        </w:tc>
        <w:tc>
          <w:tcPr>
            <w:tcW w:w="1446" w:type="dxa"/>
            <w:vAlign w:val="center"/>
          </w:tcPr>
          <w:p w14:paraId="2793488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15以上</w:t>
            </w:r>
          </w:p>
        </w:tc>
        <w:tc>
          <w:tcPr>
            <w:tcW w:w="839" w:type="dxa"/>
            <w:vAlign w:val="center"/>
          </w:tcPr>
          <w:p w14:paraId="76BE4FA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839" w:type="dxa"/>
            <w:vAlign w:val="center"/>
          </w:tcPr>
          <w:p w14:paraId="70BDEBA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39" w:type="dxa"/>
            <w:vAlign w:val="center"/>
          </w:tcPr>
          <w:p w14:paraId="7A3C705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2A4F282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41" w:type="dxa"/>
            <w:vAlign w:val="center"/>
          </w:tcPr>
          <w:p w14:paraId="1AE63C3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r>
      <w:tr w14:paraId="351A0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1A1775B3">
            <w:pPr>
              <w:widowControl/>
              <w:spacing w:line="300" w:lineRule="exact"/>
              <w:jc w:val="left"/>
              <w:rPr>
                <w:rFonts w:hint="default" w:ascii="Times New Roman" w:hAnsi="Times New Roman" w:cs="Times New Roman"/>
                <w:color w:val="000000"/>
                <w:kern w:val="0"/>
                <w:sz w:val="18"/>
                <w:szCs w:val="18"/>
              </w:rPr>
            </w:pPr>
          </w:p>
        </w:tc>
        <w:tc>
          <w:tcPr>
            <w:tcW w:w="709" w:type="dxa"/>
            <w:vMerge w:val="restart"/>
            <w:vAlign w:val="center"/>
          </w:tcPr>
          <w:p w14:paraId="728910E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基础设施</w:t>
            </w:r>
          </w:p>
        </w:tc>
        <w:tc>
          <w:tcPr>
            <w:tcW w:w="1381" w:type="dxa"/>
            <w:vAlign w:val="center"/>
          </w:tcPr>
          <w:p w14:paraId="5168196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水保有度（%）</w:t>
            </w:r>
          </w:p>
        </w:tc>
        <w:tc>
          <w:tcPr>
            <w:tcW w:w="1446" w:type="dxa"/>
            <w:vAlign w:val="center"/>
          </w:tcPr>
          <w:p w14:paraId="46B2078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446" w:type="dxa"/>
            <w:vAlign w:val="center"/>
          </w:tcPr>
          <w:p w14:paraId="0BEB9E7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446" w:type="dxa"/>
            <w:vAlign w:val="center"/>
          </w:tcPr>
          <w:p w14:paraId="50067C6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446" w:type="dxa"/>
            <w:vAlign w:val="center"/>
          </w:tcPr>
          <w:p w14:paraId="6F2AE43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70（含）-85</w:t>
            </w:r>
          </w:p>
        </w:tc>
        <w:tc>
          <w:tcPr>
            <w:tcW w:w="1446" w:type="dxa"/>
            <w:vAlign w:val="center"/>
          </w:tcPr>
          <w:p w14:paraId="6A4DB04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70以下</w:t>
            </w:r>
          </w:p>
        </w:tc>
        <w:tc>
          <w:tcPr>
            <w:tcW w:w="839" w:type="dxa"/>
            <w:vAlign w:val="center"/>
          </w:tcPr>
          <w:p w14:paraId="44C7F84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839" w:type="dxa"/>
            <w:vAlign w:val="center"/>
          </w:tcPr>
          <w:p w14:paraId="119B18A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39" w:type="dxa"/>
            <w:vAlign w:val="center"/>
          </w:tcPr>
          <w:p w14:paraId="447B68F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7BCCB56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41" w:type="dxa"/>
            <w:vAlign w:val="center"/>
          </w:tcPr>
          <w:p w14:paraId="5729CE5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6FA39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0A17389C">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1FC09AEA">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14700BB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电力保有度（%）</w:t>
            </w:r>
          </w:p>
        </w:tc>
        <w:tc>
          <w:tcPr>
            <w:tcW w:w="1446" w:type="dxa"/>
            <w:vAlign w:val="center"/>
          </w:tcPr>
          <w:p w14:paraId="3963CBB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446" w:type="dxa"/>
            <w:vAlign w:val="center"/>
          </w:tcPr>
          <w:p w14:paraId="016DDA6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446" w:type="dxa"/>
            <w:vAlign w:val="center"/>
          </w:tcPr>
          <w:p w14:paraId="5228CD0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446" w:type="dxa"/>
            <w:vAlign w:val="center"/>
          </w:tcPr>
          <w:p w14:paraId="1227716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446" w:type="dxa"/>
            <w:vAlign w:val="center"/>
          </w:tcPr>
          <w:p w14:paraId="1FBCFE0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839" w:type="dxa"/>
            <w:vAlign w:val="center"/>
          </w:tcPr>
          <w:p w14:paraId="1650692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839" w:type="dxa"/>
            <w:vAlign w:val="center"/>
          </w:tcPr>
          <w:p w14:paraId="704BE3E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39" w:type="dxa"/>
            <w:vAlign w:val="center"/>
          </w:tcPr>
          <w:p w14:paraId="7308694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326A4A8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41" w:type="dxa"/>
            <w:vAlign w:val="center"/>
          </w:tcPr>
          <w:p w14:paraId="2A8ECD6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18576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48E3A842">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35074310">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3421592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天然气保有度（%）</w:t>
            </w:r>
          </w:p>
        </w:tc>
        <w:tc>
          <w:tcPr>
            <w:tcW w:w="1446" w:type="dxa"/>
            <w:vAlign w:val="center"/>
          </w:tcPr>
          <w:p w14:paraId="48E75C5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446" w:type="dxa"/>
            <w:vAlign w:val="center"/>
          </w:tcPr>
          <w:p w14:paraId="08F1916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446" w:type="dxa"/>
            <w:vAlign w:val="center"/>
          </w:tcPr>
          <w:p w14:paraId="57D47F1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446" w:type="dxa"/>
            <w:vAlign w:val="center"/>
          </w:tcPr>
          <w:p w14:paraId="748B4B7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446" w:type="dxa"/>
            <w:vAlign w:val="center"/>
          </w:tcPr>
          <w:p w14:paraId="2D3CCC0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839" w:type="dxa"/>
            <w:vAlign w:val="center"/>
          </w:tcPr>
          <w:p w14:paraId="632BEE8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839" w:type="dxa"/>
            <w:vAlign w:val="center"/>
          </w:tcPr>
          <w:p w14:paraId="01B44E8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39" w:type="dxa"/>
            <w:vAlign w:val="center"/>
          </w:tcPr>
          <w:p w14:paraId="4D916C4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43FDE59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41" w:type="dxa"/>
            <w:vAlign w:val="center"/>
          </w:tcPr>
          <w:p w14:paraId="4298CF2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55DFF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2F78EEB7">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7B79A57D">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2738A302">
            <w:pPr>
              <w:widowControl/>
              <w:spacing w:line="300" w:lineRule="exact"/>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eastAsia="zh-CN"/>
              </w:rPr>
              <w:t>通信</w:t>
            </w:r>
            <w:r>
              <w:rPr>
                <w:rFonts w:hint="default" w:ascii="Times New Roman" w:hAnsi="Times New Roman" w:cs="Times New Roman"/>
                <w:color w:val="000000"/>
                <w:kern w:val="0"/>
                <w:sz w:val="18"/>
                <w:szCs w:val="18"/>
              </w:rPr>
              <w:t>保有度（%）</w:t>
            </w:r>
          </w:p>
        </w:tc>
        <w:tc>
          <w:tcPr>
            <w:tcW w:w="1446" w:type="dxa"/>
            <w:vAlign w:val="center"/>
          </w:tcPr>
          <w:p w14:paraId="3B16503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446" w:type="dxa"/>
            <w:vAlign w:val="center"/>
          </w:tcPr>
          <w:p w14:paraId="2218D77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446" w:type="dxa"/>
            <w:vAlign w:val="center"/>
          </w:tcPr>
          <w:p w14:paraId="42BA3F2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446" w:type="dxa"/>
            <w:vAlign w:val="center"/>
          </w:tcPr>
          <w:p w14:paraId="06A54DB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446" w:type="dxa"/>
            <w:vAlign w:val="center"/>
          </w:tcPr>
          <w:p w14:paraId="723FB6B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839" w:type="dxa"/>
            <w:vAlign w:val="center"/>
          </w:tcPr>
          <w:p w14:paraId="7410889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0.2</w:t>
            </w:r>
          </w:p>
        </w:tc>
        <w:tc>
          <w:tcPr>
            <w:tcW w:w="839" w:type="dxa"/>
            <w:vAlign w:val="center"/>
          </w:tcPr>
          <w:p w14:paraId="48D9B62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0.1</w:t>
            </w:r>
          </w:p>
        </w:tc>
        <w:tc>
          <w:tcPr>
            <w:tcW w:w="839" w:type="dxa"/>
            <w:vAlign w:val="center"/>
          </w:tcPr>
          <w:p w14:paraId="7186C31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5CB5BEA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-0.1</w:t>
            </w:r>
          </w:p>
        </w:tc>
        <w:tc>
          <w:tcPr>
            <w:tcW w:w="841" w:type="dxa"/>
            <w:vAlign w:val="center"/>
          </w:tcPr>
          <w:p w14:paraId="36CAAF0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-0.2</w:t>
            </w:r>
          </w:p>
        </w:tc>
      </w:tr>
      <w:tr w14:paraId="3601B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288621F4">
            <w:pPr>
              <w:widowControl/>
              <w:spacing w:line="300" w:lineRule="exact"/>
              <w:jc w:val="left"/>
              <w:rPr>
                <w:rFonts w:hint="default" w:ascii="Times New Roman" w:hAnsi="Times New Roman" w:cs="Times New Roman"/>
                <w:color w:val="000000"/>
                <w:kern w:val="0"/>
                <w:sz w:val="18"/>
                <w:szCs w:val="18"/>
              </w:rPr>
            </w:pPr>
          </w:p>
        </w:tc>
        <w:tc>
          <w:tcPr>
            <w:tcW w:w="709" w:type="dxa"/>
            <w:vMerge w:val="restart"/>
            <w:vAlign w:val="center"/>
          </w:tcPr>
          <w:p w14:paraId="238BC18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公用设施</w:t>
            </w:r>
          </w:p>
        </w:tc>
        <w:tc>
          <w:tcPr>
            <w:tcW w:w="1381" w:type="dxa"/>
            <w:vAlign w:val="center"/>
          </w:tcPr>
          <w:p w14:paraId="3BF36A6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与学校、幼儿园的距离（m）</w:t>
            </w:r>
          </w:p>
        </w:tc>
        <w:tc>
          <w:tcPr>
            <w:tcW w:w="1446" w:type="dxa"/>
            <w:vAlign w:val="center"/>
          </w:tcPr>
          <w:p w14:paraId="47B4ECB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500（含）以下</w:t>
            </w:r>
          </w:p>
        </w:tc>
        <w:tc>
          <w:tcPr>
            <w:tcW w:w="1446" w:type="dxa"/>
            <w:vAlign w:val="center"/>
          </w:tcPr>
          <w:p w14:paraId="3ACCD46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500-1000（含）</w:t>
            </w:r>
          </w:p>
        </w:tc>
        <w:tc>
          <w:tcPr>
            <w:tcW w:w="1446" w:type="dxa"/>
            <w:vAlign w:val="center"/>
          </w:tcPr>
          <w:p w14:paraId="6D7B2C2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1000-1500（含）</w:t>
            </w:r>
          </w:p>
        </w:tc>
        <w:tc>
          <w:tcPr>
            <w:tcW w:w="1446" w:type="dxa"/>
            <w:vAlign w:val="center"/>
          </w:tcPr>
          <w:p w14:paraId="35C7380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1500-2000（含）</w:t>
            </w:r>
          </w:p>
        </w:tc>
        <w:tc>
          <w:tcPr>
            <w:tcW w:w="1446" w:type="dxa"/>
            <w:vAlign w:val="center"/>
          </w:tcPr>
          <w:p w14:paraId="2A0DD0A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2000以上</w:t>
            </w:r>
          </w:p>
        </w:tc>
        <w:tc>
          <w:tcPr>
            <w:tcW w:w="839" w:type="dxa"/>
            <w:vAlign w:val="center"/>
          </w:tcPr>
          <w:p w14:paraId="4C6F185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839" w:type="dxa"/>
            <w:vAlign w:val="center"/>
          </w:tcPr>
          <w:p w14:paraId="2E77359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3BA8F40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45CB1A3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41" w:type="dxa"/>
            <w:vAlign w:val="center"/>
          </w:tcPr>
          <w:p w14:paraId="0BF098B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7F954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7EE08A54">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69F7FA62">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46A7964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与超市、农贸市场的距离（m）</w:t>
            </w:r>
          </w:p>
        </w:tc>
        <w:tc>
          <w:tcPr>
            <w:tcW w:w="1446" w:type="dxa"/>
            <w:vAlign w:val="center"/>
          </w:tcPr>
          <w:p w14:paraId="370A355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500（含）以下</w:t>
            </w:r>
          </w:p>
        </w:tc>
        <w:tc>
          <w:tcPr>
            <w:tcW w:w="1446" w:type="dxa"/>
            <w:vAlign w:val="center"/>
          </w:tcPr>
          <w:p w14:paraId="19793FF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500-1000（含）</w:t>
            </w:r>
          </w:p>
        </w:tc>
        <w:tc>
          <w:tcPr>
            <w:tcW w:w="1446" w:type="dxa"/>
            <w:vAlign w:val="center"/>
          </w:tcPr>
          <w:p w14:paraId="1DFACD6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1000-1500（含）</w:t>
            </w:r>
          </w:p>
        </w:tc>
        <w:tc>
          <w:tcPr>
            <w:tcW w:w="1446" w:type="dxa"/>
            <w:vAlign w:val="center"/>
          </w:tcPr>
          <w:p w14:paraId="33D9134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1500-2000（含）</w:t>
            </w:r>
          </w:p>
        </w:tc>
        <w:tc>
          <w:tcPr>
            <w:tcW w:w="1446" w:type="dxa"/>
            <w:vAlign w:val="center"/>
          </w:tcPr>
          <w:p w14:paraId="6DB517C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2000以上</w:t>
            </w:r>
          </w:p>
        </w:tc>
        <w:tc>
          <w:tcPr>
            <w:tcW w:w="839" w:type="dxa"/>
            <w:vAlign w:val="center"/>
          </w:tcPr>
          <w:p w14:paraId="5EC5C43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839" w:type="dxa"/>
            <w:vAlign w:val="center"/>
          </w:tcPr>
          <w:p w14:paraId="5926FEF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2AEF452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09180DF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41" w:type="dxa"/>
            <w:vAlign w:val="center"/>
          </w:tcPr>
          <w:p w14:paraId="1920EFC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483B0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520A33D3">
            <w:pPr>
              <w:widowControl/>
              <w:spacing w:line="300" w:lineRule="exact"/>
              <w:jc w:val="left"/>
              <w:rPr>
                <w:rFonts w:hint="default" w:ascii="Times New Roman" w:hAnsi="Times New Roman" w:cs="Times New Roman"/>
                <w:color w:val="000000"/>
                <w:kern w:val="0"/>
                <w:sz w:val="18"/>
                <w:szCs w:val="18"/>
              </w:rPr>
            </w:pPr>
          </w:p>
        </w:tc>
        <w:tc>
          <w:tcPr>
            <w:tcW w:w="709" w:type="dxa"/>
            <w:vMerge w:val="continue"/>
            <w:vAlign w:val="center"/>
          </w:tcPr>
          <w:p w14:paraId="5A09F6FD">
            <w:pPr>
              <w:widowControl/>
              <w:spacing w:line="300" w:lineRule="exact"/>
              <w:jc w:val="left"/>
              <w:rPr>
                <w:rFonts w:hint="default" w:ascii="Times New Roman" w:hAnsi="Times New Roman" w:cs="Times New Roman"/>
                <w:color w:val="000000"/>
                <w:kern w:val="0"/>
                <w:sz w:val="18"/>
                <w:szCs w:val="18"/>
              </w:rPr>
            </w:pPr>
          </w:p>
        </w:tc>
        <w:tc>
          <w:tcPr>
            <w:tcW w:w="1381" w:type="dxa"/>
            <w:vAlign w:val="center"/>
          </w:tcPr>
          <w:p w14:paraId="50C58FC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与医院、公园、体育场馆距离（m）</w:t>
            </w:r>
          </w:p>
        </w:tc>
        <w:tc>
          <w:tcPr>
            <w:tcW w:w="1446" w:type="dxa"/>
            <w:vAlign w:val="center"/>
          </w:tcPr>
          <w:p w14:paraId="0B7BFDC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500（含）以下</w:t>
            </w:r>
          </w:p>
        </w:tc>
        <w:tc>
          <w:tcPr>
            <w:tcW w:w="1446" w:type="dxa"/>
            <w:vAlign w:val="center"/>
          </w:tcPr>
          <w:p w14:paraId="07038BD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500-1000（含）</w:t>
            </w:r>
          </w:p>
        </w:tc>
        <w:tc>
          <w:tcPr>
            <w:tcW w:w="1446" w:type="dxa"/>
            <w:vAlign w:val="center"/>
          </w:tcPr>
          <w:p w14:paraId="4230475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1000-1500（含）</w:t>
            </w:r>
          </w:p>
        </w:tc>
        <w:tc>
          <w:tcPr>
            <w:tcW w:w="1446" w:type="dxa"/>
            <w:vAlign w:val="center"/>
          </w:tcPr>
          <w:p w14:paraId="02F8E97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1500-2000（含）</w:t>
            </w:r>
          </w:p>
        </w:tc>
        <w:tc>
          <w:tcPr>
            <w:tcW w:w="1446" w:type="dxa"/>
            <w:vAlign w:val="center"/>
          </w:tcPr>
          <w:p w14:paraId="3766553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2000以上</w:t>
            </w:r>
          </w:p>
        </w:tc>
        <w:tc>
          <w:tcPr>
            <w:tcW w:w="839" w:type="dxa"/>
            <w:vAlign w:val="center"/>
          </w:tcPr>
          <w:p w14:paraId="2CE0574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839" w:type="dxa"/>
            <w:vAlign w:val="center"/>
          </w:tcPr>
          <w:p w14:paraId="12BAA2B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045C831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3D1E410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41" w:type="dxa"/>
            <w:vAlign w:val="center"/>
          </w:tcPr>
          <w:p w14:paraId="4B7DC4D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2983BF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018B5E6F">
            <w:pPr>
              <w:widowControl/>
              <w:spacing w:line="300" w:lineRule="exact"/>
              <w:jc w:val="left"/>
              <w:rPr>
                <w:rFonts w:hint="default" w:ascii="Times New Roman" w:hAnsi="Times New Roman" w:cs="Times New Roman"/>
                <w:color w:val="000000"/>
                <w:kern w:val="0"/>
                <w:sz w:val="18"/>
                <w:szCs w:val="18"/>
              </w:rPr>
            </w:pPr>
          </w:p>
        </w:tc>
        <w:tc>
          <w:tcPr>
            <w:tcW w:w="709" w:type="dxa"/>
            <w:vAlign w:val="center"/>
          </w:tcPr>
          <w:p w14:paraId="28DD5AC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人口状况</w:t>
            </w:r>
          </w:p>
        </w:tc>
        <w:tc>
          <w:tcPr>
            <w:tcW w:w="1381" w:type="dxa"/>
            <w:vAlign w:val="center"/>
          </w:tcPr>
          <w:p w14:paraId="61664C8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人口密度（万人/km</w:t>
            </w:r>
            <w:r>
              <w:rPr>
                <w:rFonts w:hint="default" w:ascii="Times New Roman" w:hAnsi="Times New Roman" w:cs="Times New Roman"/>
                <w:color w:val="000000"/>
                <w:kern w:val="0"/>
                <w:sz w:val="18"/>
                <w:szCs w:val="18"/>
                <w:vertAlign w:val="superscript"/>
              </w:rPr>
              <w:t>2</w:t>
            </w:r>
            <w:r>
              <w:rPr>
                <w:rFonts w:hint="default" w:ascii="Times New Roman" w:hAnsi="Times New Roman" w:cs="Times New Roman"/>
                <w:color w:val="000000"/>
                <w:kern w:val="0"/>
                <w:sz w:val="18"/>
                <w:szCs w:val="18"/>
              </w:rPr>
              <w:t>）</w:t>
            </w:r>
          </w:p>
        </w:tc>
        <w:tc>
          <w:tcPr>
            <w:tcW w:w="1446" w:type="dxa"/>
            <w:vAlign w:val="center"/>
          </w:tcPr>
          <w:p w14:paraId="6C5CE43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2（含）-2.5</w:t>
            </w:r>
          </w:p>
        </w:tc>
        <w:tc>
          <w:tcPr>
            <w:tcW w:w="1446" w:type="dxa"/>
            <w:vAlign w:val="center"/>
          </w:tcPr>
          <w:p w14:paraId="251EBFF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2.5（含）以上或1.5（含）-2</w:t>
            </w:r>
          </w:p>
        </w:tc>
        <w:tc>
          <w:tcPr>
            <w:tcW w:w="1446" w:type="dxa"/>
            <w:vAlign w:val="center"/>
          </w:tcPr>
          <w:p w14:paraId="060B174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0.8（含）-1.5</w:t>
            </w:r>
          </w:p>
        </w:tc>
        <w:tc>
          <w:tcPr>
            <w:tcW w:w="1446" w:type="dxa"/>
            <w:vAlign w:val="center"/>
          </w:tcPr>
          <w:p w14:paraId="7FE944A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0.5（含）-0.8</w:t>
            </w:r>
          </w:p>
        </w:tc>
        <w:tc>
          <w:tcPr>
            <w:tcW w:w="1446" w:type="dxa"/>
            <w:vAlign w:val="center"/>
          </w:tcPr>
          <w:p w14:paraId="0F3F971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0.5以下</w:t>
            </w:r>
          </w:p>
        </w:tc>
        <w:tc>
          <w:tcPr>
            <w:tcW w:w="839" w:type="dxa"/>
            <w:vAlign w:val="center"/>
          </w:tcPr>
          <w:p w14:paraId="101752D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839" w:type="dxa"/>
            <w:vAlign w:val="center"/>
          </w:tcPr>
          <w:p w14:paraId="57CB229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39" w:type="dxa"/>
            <w:vAlign w:val="center"/>
          </w:tcPr>
          <w:p w14:paraId="36AF394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6C2D235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41" w:type="dxa"/>
            <w:vAlign w:val="center"/>
          </w:tcPr>
          <w:p w14:paraId="15509FC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r>
      <w:tr w14:paraId="47BEA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5585417E">
            <w:pPr>
              <w:widowControl/>
              <w:spacing w:line="300" w:lineRule="exact"/>
              <w:jc w:val="left"/>
              <w:rPr>
                <w:rFonts w:hint="default" w:ascii="Times New Roman" w:hAnsi="Times New Roman" w:cs="Times New Roman"/>
                <w:color w:val="000000"/>
                <w:kern w:val="0"/>
                <w:sz w:val="18"/>
                <w:szCs w:val="18"/>
              </w:rPr>
            </w:pPr>
          </w:p>
        </w:tc>
        <w:tc>
          <w:tcPr>
            <w:tcW w:w="709" w:type="dxa"/>
            <w:vAlign w:val="center"/>
          </w:tcPr>
          <w:p w14:paraId="5675E48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城市规划</w:t>
            </w:r>
          </w:p>
        </w:tc>
        <w:tc>
          <w:tcPr>
            <w:tcW w:w="1381" w:type="dxa"/>
            <w:vAlign w:val="center"/>
          </w:tcPr>
          <w:p w14:paraId="596378B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城市规划</w:t>
            </w:r>
          </w:p>
        </w:tc>
        <w:tc>
          <w:tcPr>
            <w:tcW w:w="1446" w:type="dxa"/>
            <w:vAlign w:val="center"/>
          </w:tcPr>
          <w:p w14:paraId="388E0A7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低密度高档住宅区</w:t>
            </w:r>
          </w:p>
        </w:tc>
        <w:tc>
          <w:tcPr>
            <w:tcW w:w="1446" w:type="dxa"/>
            <w:vAlign w:val="center"/>
          </w:tcPr>
          <w:p w14:paraId="75F2D3B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教学、科研、机关宿舍区及住宅小区</w:t>
            </w:r>
          </w:p>
        </w:tc>
        <w:tc>
          <w:tcPr>
            <w:tcW w:w="1446" w:type="dxa"/>
            <w:vAlign w:val="center"/>
          </w:tcPr>
          <w:p w14:paraId="4C35D2F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普通住宅区</w:t>
            </w:r>
          </w:p>
        </w:tc>
        <w:tc>
          <w:tcPr>
            <w:tcW w:w="1446" w:type="dxa"/>
            <w:vAlign w:val="center"/>
          </w:tcPr>
          <w:p w14:paraId="0B1AFA0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工矿区配套住宅</w:t>
            </w:r>
          </w:p>
        </w:tc>
        <w:tc>
          <w:tcPr>
            <w:tcW w:w="1446" w:type="dxa"/>
            <w:vAlign w:val="center"/>
          </w:tcPr>
          <w:p w14:paraId="4732068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尚未开发</w:t>
            </w:r>
          </w:p>
        </w:tc>
        <w:tc>
          <w:tcPr>
            <w:tcW w:w="839" w:type="dxa"/>
            <w:vAlign w:val="center"/>
          </w:tcPr>
          <w:p w14:paraId="717B563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839" w:type="dxa"/>
            <w:vAlign w:val="center"/>
          </w:tcPr>
          <w:p w14:paraId="3031394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0DC8889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371FC13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41" w:type="dxa"/>
            <w:vAlign w:val="center"/>
          </w:tcPr>
          <w:p w14:paraId="33174ED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4D3CC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restart"/>
            <w:vAlign w:val="center"/>
          </w:tcPr>
          <w:p w14:paraId="257F4BF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个别因素</w:t>
            </w:r>
          </w:p>
        </w:tc>
        <w:tc>
          <w:tcPr>
            <w:tcW w:w="2090" w:type="dxa"/>
            <w:gridSpan w:val="2"/>
            <w:vAlign w:val="center"/>
          </w:tcPr>
          <w:p w14:paraId="223EC89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至公交站点的距离（m）</w:t>
            </w:r>
          </w:p>
        </w:tc>
        <w:tc>
          <w:tcPr>
            <w:tcW w:w="1446" w:type="dxa"/>
            <w:vAlign w:val="center"/>
          </w:tcPr>
          <w:p w14:paraId="5C3DDD9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200（含）以下</w:t>
            </w:r>
          </w:p>
        </w:tc>
        <w:tc>
          <w:tcPr>
            <w:tcW w:w="1446" w:type="dxa"/>
            <w:vAlign w:val="center"/>
          </w:tcPr>
          <w:p w14:paraId="346F17F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200-500（含）</w:t>
            </w:r>
          </w:p>
        </w:tc>
        <w:tc>
          <w:tcPr>
            <w:tcW w:w="1446" w:type="dxa"/>
            <w:vAlign w:val="center"/>
          </w:tcPr>
          <w:p w14:paraId="3EC0F92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500-800（含）</w:t>
            </w:r>
          </w:p>
        </w:tc>
        <w:tc>
          <w:tcPr>
            <w:tcW w:w="1446" w:type="dxa"/>
            <w:vAlign w:val="center"/>
          </w:tcPr>
          <w:p w14:paraId="5244E3C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800-1000（含）</w:t>
            </w:r>
          </w:p>
        </w:tc>
        <w:tc>
          <w:tcPr>
            <w:tcW w:w="1446" w:type="dxa"/>
            <w:vAlign w:val="center"/>
          </w:tcPr>
          <w:p w14:paraId="67EB583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1000以上</w:t>
            </w:r>
          </w:p>
        </w:tc>
        <w:tc>
          <w:tcPr>
            <w:tcW w:w="839" w:type="dxa"/>
            <w:vAlign w:val="center"/>
          </w:tcPr>
          <w:p w14:paraId="3C2D631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839" w:type="dxa"/>
            <w:vAlign w:val="center"/>
          </w:tcPr>
          <w:p w14:paraId="58DED51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39" w:type="dxa"/>
            <w:vAlign w:val="center"/>
          </w:tcPr>
          <w:p w14:paraId="1B42CEA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5BCEC92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841" w:type="dxa"/>
            <w:vAlign w:val="center"/>
          </w:tcPr>
          <w:p w14:paraId="5268235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68D39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4ED9E51D">
            <w:pPr>
              <w:widowControl/>
              <w:spacing w:line="300" w:lineRule="exact"/>
              <w:jc w:val="left"/>
              <w:rPr>
                <w:rFonts w:hint="default" w:ascii="Times New Roman" w:hAnsi="Times New Roman" w:cs="Times New Roman"/>
                <w:color w:val="000000"/>
                <w:kern w:val="0"/>
                <w:sz w:val="18"/>
                <w:szCs w:val="18"/>
              </w:rPr>
            </w:pPr>
          </w:p>
        </w:tc>
        <w:tc>
          <w:tcPr>
            <w:tcW w:w="2090" w:type="dxa"/>
            <w:gridSpan w:val="2"/>
            <w:vAlign w:val="center"/>
          </w:tcPr>
          <w:p w14:paraId="12A5B82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江景资源（m）</w:t>
            </w:r>
          </w:p>
        </w:tc>
        <w:tc>
          <w:tcPr>
            <w:tcW w:w="1446" w:type="dxa"/>
            <w:vAlign w:val="center"/>
          </w:tcPr>
          <w:p w14:paraId="5651689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300（含）以下</w:t>
            </w:r>
          </w:p>
        </w:tc>
        <w:tc>
          <w:tcPr>
            <w:tcW w:w="1446" w:type="dxa"/>
            <w:vAlign w:val="center"/>
          </w:tcPr>
          <w:p w14:paraId="11A311B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300-500（含）</w:t>
            </w:r>
          </w:p>
        </w:tc>
        <w:tc>
          <w:tcPr>
            <w:tcW w:w="1446" w:type="dxa"/>
            <w:vAlign w:val="center"/>
          </w:tcPr>
          <w:p w14:paraId="15939A2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500-800（含）</w:t>
            </w:r>
          </w:p>
        </w:tc>
        <w:tc>
          <w:tcPr>
            <w:tcW w:w="1446" w:type="dxa"/>
            <w:vAlign w:val="center"/>
          </w:tcPr>
          <w:p w14:paraId="0C438EF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800-1000（含）</w:t>
            </w:r>
          </w:p>
        </w:tc>
        <w:tc>
          <w:tcPr>
            <w:tcW w:w="1446" w:type="dxa"/>
            <w:vAlign w:val="center"/>
          </w:tcPr>
          <w:p w14:paraId="350F0DA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1000以上</w:t>
            </w:r>
          </w:p>
        </w:tc>
        <w:tc>
          <w:tcPr>
            <w:tcW w:w="839" w:type="dxa"/>
            <w:vAlign w:val="center"/>
          </w:tcPr>
          <w:p w14:paraId="62D6584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c>
          <w:tcPr>
            <w:tcW w:w="839" w:type="dxa"/>
            <w:vAlign w:val="center"/>
          </w:tcPr>
          <w:p w14:paraId="7E13E93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509EB20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4EB9559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41" w:type="dxa"/>
            <w:vAlign w:val="center"/>
          </w:tcPr>
          <w:p w14:paraId="5DF0516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-1.2</w:t>
            </w:r>
          </w:p>
        </w:tc>
      </w:tr>
      <w:tr w14:paraId="3D45E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5ABA193C">
            <w:pPr>
              <w:widowControl/>
              <w:spacing w:line="300" w:lineRule="exact"/>
              <w:jc w:val="left"/>
              <w:rPr>
                <w:rFonts w:hint="default" w:ascii="Times New Roman" w:hAnsi="Times New Roman" w:cs="Times New Roman"/>
                <w:color w:val="000000"/>
                <w:kern w:val="0"/>
                <w:sz w:val="18"/>
                <w:szCs w:val="18"/>
              </w:rPr>
            </w:pPr>
          </w:p>
        </w:tc>
        <w:tc>
          <w:tcPr>
            <w:tcW w:w="2090" w:type="dxa"/>
            <w:gridSpan w:val="2"/>
            <w:vAlign w:val="center"/>
          </w:tcPr>
          <w:p w14:paraId="628E6D2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噪声、大气污染</w:t>
            </w:r>
          </w:p>
        </w:tc>
        <w:tc>
          <w:tcPr>
            <w:tcW w:w="1446" w:type="dxa"/>
            <w:vAlign w:val="center"/>
          </w:tcPr>
          <w:p w14:paraId="6A42669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1446" w:type="dxa"/>
            <w:vAlign w:val="center"/>
          </w:tcPr>
          <w:p w14:paraId="12401D1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轻微</w:t>
            </w:r>
          </w:p>
        </w:tc>
        <w:tc>
          <w:tcPr>
            <w:tcW w:w="1446" w:type="dxa"/>
            <w:vAlign w:val="center"/>
          </w:tcPr>
          <w:p w14:paraId="29D152D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446" w:type="dxa"/>
            <w:vAlign w:val="center"/>
          </w:tcPr>
          <w:p w14:paraId="585A59F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较重</w:t>
            </w:r>
          </w:p>
        </w:tc>
        <w:tc>
          <w:tcPr>
            <w:tcW w:w="1446" w:type="dxa"/>
            <w:vAlign w:val="center"/>
          </w:tcPr>
          <w:p w14:paraId="6F22B1E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严重</w:t>
            </w:r>
          </w:p>
        </w:tc>
        <w:tc>
          <w:tcPr>
            <w:tcW w:w="839" w:type="dxa"/>
            <w:vAlign w:val="center"/>
          </w:tcPr>
          <w:p w14:paraId="5E8D3A0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839" w:type="dxa"/>
            <w:vAlign w:val="center"/>
          </w:tcPr>
          <w:p w14:paraId="69793F3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39" w:type="dxa"/>
            <w:vAlign w:val="center"/>
          </w:tcPr>
          <w:p w14:paraId="6264CF3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04BE422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841" w:type="dxa"/>
            <w:vAlign w:val="center"/>
          </w:tcPr>
          <w:p w14:paraId="77D1E82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r>
      <w:tr w14:paraId="3188D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13ACDDA7">
            <w:pPr>
              <w:widowControl/>
              <w:spacing w:line="300" w:lineRule="exact"/>
              <w:jc w:val="left"/>
              <w:rPr>
                <w:rFonts w:hint="default" w:ascii="Times New Roman" w:hAnsi="Times New Roman" w:cs="Times New Roman"/>
                <w:color w:val="000000"/>
                <w:kern w:val="0"/>
                <w:sz w:val="18"/>
                <w:szCs w:val="18"/>
              </w:rPr>
            </w:pPr>
          </w:p>
        </w:tc>
        <w:tc>
          <w:tcPr>
            <w:tcW w:w="2090" w:type="dxa"/>
            <w:gridSpan w:val="2"/>
            <w:vAlign w:val="center"/>
          </w:tcPr>
          <w:p w14:paraId="5C9A9AB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宗地坡度（°）</w:t>
            </w:r>
          </w:p>
        </w:tc>
        <w:tc>
          <w:tcPr>
            <w:tcW w:w="1446" w:type="dxa"/>
            <w:vAlign w:val="center"/>
          </w:tcPr>
          <w:p w14:paraId="1FA3AAC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5（含）以下</w:t>
            </w:r>
          </w:p>
        </w:tc>
        <w:tc>
          <w:tcPr>
            <w:tcW w:w="1446" w:type="dxa"/>
            <w:vAlign w:val="center"/>
          </w:tcPr>
          <w:p w14:paraId="5A394C4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5-10（含）</w:t>
            </w:r>
          </w:p>
        </w:tc>
        <w:tc>
          <w:tcPr>
            <w:tcW w:w="1446" w:type="dxa"/>
            <w:vAlign w:val="center"/>
          </w:tcPr>
          <w:p w14:paraId="42EA8B3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10-15（含）</w:t>
            </w:r>
          </w:p>
        </w:tc>
        <w:tc>
          <w:tcPr>
            <w:tcW w:w="1446" w:type="dxa"/>
            <w:vAlign w:val="center"/>
          </w:tcPr>
          <w:p w14:paraId="02993F8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15-25（含）</w:t>
            </w:r>
          </w:p>
        </w:tc>
        <w:tc>
          <w:tcPr>
            <w:tcW w:w="1446" w:type="dxa"/>
            <w:vAlign w:val="center"/>
          </w:tcPr>
          <w:p w14:paraId="40D15F5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25以上</w:t>
            </w:r>
          </w:p>
        </w:tc>
        <w:tc>
          <w:tcPr>
            <w:tcW w:w="839" w:type="dxa"/>
            <w:vAlign w:val="center"/>
          </w:tcPr>
          <w:p w14:paraId="5AA0BE4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747D14E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839" w:type="dxa"/>
            <w:vAlign w:val="center"/>
          </w:tcPr>
          <w:p w14:paraId="707DF63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6914731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841" w:type="dxa"/>
            <w:vAlign w:val="center"/>
          </w:tcPr>
          <w:p w14:paraId="7897390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76875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 w:type="dxa"/>
            <w:vMerge w:val="continue"/>
            <w:vAlign w:val="center"/>
          </w:tcPr>
          <w:p w14:paraId="0F26F630">
            <w:pPr>
              <w:widowControl/>
              <w:spacing w:line="300" w:lineRule="exact"/>
              <w:jc w:val="left"/>
              <w:rPr>
                <w:rFonts w:hint="default" w:ascii="Times New Roman" w:hAnsi="Times New Roman" w:cs="Times New Roman"/>
                <w:color w:val="000000"/>
                <w:kern w:val="0"/>
                <w:sz w:val="18"/>
                <w:szCs w:val="18"/>
              </w:rPr>
            </w:pPr>
          </w:p>
        </w:tc>
        <w:tc>
          <w:tcPr>
            <w:tcW w:w="2090" w:type="dxa"/>
            <w:gridSpan w:val="2"/>
            <w:vAlign w:val="center"/>
          </w:tcPr>
          <w:p w14:paraId="0F3DEB5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地质灾害</w:t>
            </w:r>
          </w:p>
        </w:tc>
        <w:tc>
          <w:tcPr>
            <w:tcW w:w="1446" w:type="dxa"/>
            <w:vAlign w:val="center"/>
          </w:tcPr>
          <w:p w14:paraId="2C9E25C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1446" w:type="dxa"/>
            <w:vAlign w:val="center"/>
          </w:tcPr>
          <w:p w14:paraId="68B8234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不易发区</w:t>
            </w:r>
          </w:p>
        </w:tc>
        <w:tc>
          <w:tcPr>
            <w:tcW w:w="1446" w:type="dxa"/>
            <w:vAlign w:val="center"/>
          </w:tcPr>
          <w:p w14:paraId="320174A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低易发区</w:t>
            </w:r>
          </w:p>
        </w:tc>
        <w:tc>
          <w:tcPr>
            <w:tcW w:w="1446" w:type="dxa"/>
            <w:vAlign w:val="center"/>
          </w:tcPr>
          <w:p w14:paraId="5AA7250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中易发区</w:t>
            </w:r>
          </w:p>
        </w:tc>
        <w:tc>
          <w:tcPr>
            <w:tcW w:w="1446" w:type="dxa"/>
            <w:vAlign w:val="center"/>
          </w:tcPr>
          <w:p w14:paraId="6B7225A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高易发区</w:t>
            </w:r>
          </w:p>
        </w:tc>
        <w:tc>
          <w:tcPr>
            <w:tcW w:w="839" w:type="dxa"/>
            <w:vAlign w:val="center"/>
          </w:tcPr>
          <w:p w14:paraId="505FF91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839" w:type="dxa"/>
            <w:vAlign w:val="center"/>
          </w:tcPr>
          <w:p w14:paraId="06C81AF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839" w:type="dxa"/>
            <w:vAlign w:val="center"/>
          </w:tcPr>
          <w:p w14:paraId="24A2F5A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4CB7853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841" w:type="dxa"/>
            <w:vAlign w:val="center"/>
          </w:tcPr>
          <w:p w14:paraId="2A2FFAA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3CDB2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77" w:type="dxa"/>
            <w:gridSpan w:val="8"/>
            <w:vAlign w:val="center"/>
          </w:tcPr>
          <w:p w14:paraId="0A95E31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合计</w:t>
            </w:r>
          </w:p>
        </w:tc>
        <w:tc>
          <w:tcPr>
            <w:tcW w:w="839" w:type="dxa"/>
            <w:vAlign w:val="center"/>
          </w:tcPr>
          <w:p w14:paraId="459FFEF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c>
          <w:tcPr>
            <w:tcW w:w="839" w:type="dxa"/>
            <w:vAlign w:val="center"/>
          </w:tcPr>
          <w:p w14:paraId="256391F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839" w:type="dxa"/>
            <w:vAlign w:val="center"/>
          </w:tcPr>
          <w:p w14:paraId="0F69896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839" w:type="dxa"/>
            <w:vAlign w:val="center"/>
          </w:tcPr>
          <w:p w14:paraId="388909A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w:t>
            </w:r>
          </w:p>
        </w:tc>
        <w:tc>
          <w:tcPr>
            <w:tcW w:w="841" w:type="dxa"/>
            <w:vAlign w:val="center"/>
          </w:tcPr>
          <w:p w14:paraId="5957E0F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w:t>
            </w:r>
          </w:p>
        </w:tc>
      </w:tr>
    </w:tbl>
    <w:p w14:paraId="695EFD75">
      <w:pPr>
        <w:adjustRightInd w:val="0"/>
        <w:snapToGrid w:val="0"/>
        <w:jc w:val="left"/>
        <w:rPr>
          <w:rFonts w:hint="default" w:ascii="Times New Roman" w:hAnsi="Times New Roman" w:cs="Times New Roman"/>
        </w:rPr>
      </w:pPr>
      <w:r>
        <w:rPr>
          <w:rFonts w:hint="default" w:ascii="Times New Roman" w:hAnsi="Times New Roman" w:cs="Times New Roman"/>
          <w:color w:val="000000"/>
          <w:kern w:val="0"/>
          <w:sz w:val="18"/>
          <w:szCs w:val="18"/>
        </w:rPr>
        <w:t>注：数字后标注（含）表示含本数</w:t>
      </w:r>
    </w:p>
    <w:p w14:paraId="18504CFD">
      <w:pPr>
        <w:pStyle w:val="3"/>
        <w:rPr>
          <w:rFonts w:hint="default" w:ascii="Times New Roman" w:hAnsi="Times New Roman" w:cs="Times New Roman"/>
        </w:rPr>
      </w:pPr>
    </w:p>
    <w:p w14:paraId="73076B1C">
      <w:pPr>
        <w:rPr>
          <w:rFonts w:hint="default" w:ascii="Times New Roman" w:hAnsi="Times New Roman" w:eastAsia="黑体" w:cs="Times New Roman"/>
          <w:sz w:val="24"/>
          <w:szCs w:val="24"/>
        </w:rPr>
      </w:pPr>
    </w:p>
    <w:p w14:paraId="13A38199">
      <w:pPr>
        <w:adjustRightInd w:val="0"/>
        <w:snapToGrid w:val="0"/>
        <w:ind w:firstLine="36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黔江区公共管理与公共服务用地基准地价修正因素指标说明及修正系数表</w:t>
      </w:r>
    </w:p>
    <w:tbl>
      <w:tblPr>
        <w:tblStyle w:val="10"/>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50"/>
        <w:gridCol w:w="1383"/>
        <w:gridCol w:w="1370"/>
        <w:gridCol w:w="1370"/>
        <w:gridCol w:w="1370"/>
        <w:gridCol w:w="1370"/>
        <w:gridCol w:w="1371"/>
        <w:gridCol w:w="901"/>
        <w:gridCol w:w="901"/>
        <w:gridCol w:w="901"/>
        <w:gridCol w:w="901"/>
        <w:gridCol w:w="901"/>
      </w:tblGrid>
      <w:tr w14:paraId="2D64B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8" w:type="dxa"/>
            <w:gridSpan w:val="3"/>
            <w:vMerge w:val="restart"/>
            <w:vAlign w:val="center"/>
          </w:tcPr>
          <w:p w14:paraId="6CE83DD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宗地修正因素</w:t>
            </w:r>
          </w:p>
        </w:tc>
        <w:tc>
          <w:tcPr>
            <w:tcW w:w="6851" w:type="dxa"/>
            <w:gridSpan w:val="5"/>
            <w:vAlign w:val="center"/>
          </w:tcPr>
          <w:p w14:paraId="2EBAF9A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指标说明</w:t>
            </w:r>
          </w:p>
        </w:tc>
        <w:tc>
          <w:tcPr>
            <w:tcW w:w="4505" w:type="dxa"/>
            <w:gridSpan w:val="5"/>
            <w:vAlign w:val="center"/>
          </w:tcPr>
          <w:p w14:paraId="36F76A4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修正系数</w:t>
            </w:r>
          </w:p>
        </w:tc>
      </w:tr>
      <w:tr w14:paraId="47C26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8" w:type="dxa"/>
            <w:gridSpan w:val="3"/>
            <w:vMerge w:val="continue"/>
            <w:vAlign w:val="center"/>
          </w:tcPr>
          <w:p w14:paraId="3CE0EFF5">
            <w:pPr>
              <w:widowControl/>
              <w:spacing w:line="300" w:lineRule="exact"/>
              <w:jc w:val="left"/>
              <w:rPr>
                <w:rFonts w:hint="default" w:ascii="Times New Roman" w:hAnsi="Times New Roman" w:cs="Times New Roman"/>
                <w:color w:val="000000"/>
                <w:kern w:val="0"/>
                <w:sz w:val="18"/>
                <w:szCs w:val="18"/>
              </w:rPr>
            </w:pPr>
          </w:p>
        </w:tc>
        <w:tc>
          <w:tcPr>
            <w:tcW w:w="1370" w:type="dxa"/>
            <w:vAlign w:val="center"/>
          </w:tcPr>
          <w:p w14:paraId="70171B6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优</w:t>
            </w:r>
          </w:p>
        </w:tc>
        <w:tc>
          <w:tcPr>
            <w:tcW w:w="1370" w:type="dxa"/>
            <w:vAlign w:val="center"/>
          </w:tcPr>
          <w:p w14:paraId="1453962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较优</w:t>
            </w:r>
          </w:p>
        </w:tc>
        <w:tc>
          <w:tcPr>
            <w:tcW w:w="1370" w:type="dxa"/>
            <w:vAlign w:val="center"/>
          </w:tcPr>
          <w:p w14:paraId="62DA145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370" w:type="dxa"/>
            <w:vAlign w:val="center"/>
          </w:tcPr>
          <w:p w14:paraId="1F0E781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较差</w:t>
            </w:r>
          </w:p>
        </w:tc>
        <w:tc>
          <w:tcPr>
            <w:tcW w:w="1371" w:type="dxa"/>
            <w:vAlign w:val="center"/>
          </w:tcPr>
          <w:p w14:paraId="0E595FD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差</w:t>
            </w:r>
          </w:p>
        </w:tc>
        <w:tc>
          <w:tcPr>
            <w:tcW w:w="901" w:type="dxa"/>
            <w:vAlign w:val="center"/>
          </w:tcPr>
          <w:p w14:paraId="210BCF4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优</w:t>
            </w:r>
          </w:p>
        </w:tc>
        <w:tc>
          <w:tcPr>
            <w:tcW w:w="901" w:type="dxa"/>
            <w:vAlign w:val="center"/>
          </w:tcPr>
          <w:p w14:paraId="1D70D54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较优</w:t>
            </w:r>
          </w:p>
        </w:tc>
        <w:tc>
          <w:tcPr>
            <w:tcW w:w="901" w:type="dxa"/>
            <w:vAlign w:val="center"/>
          </w:tcPr>
          <w:p w14:paraId="3475207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901" w:type="dxa"/>
            <w:vAlign w:val="center"/>
          </w:tcPr>
          <w:p w14:paraId="4C982C4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较差</w:t>
            </w:r>
          </w:p>
        </w:tc>
        <w:tc>
          <w:tcPr>
            <w:tcW w:w="901" w:type="dxa"/>
            <w:vAlign w:val="center"/>
          </w:tcPr>
          <w:p w14:paraId="40E1C69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差</w:t>
            </w:r>
          </w:p>
        </w:tc>
      </w:tr>
      <w:tr w14:paraId="75C50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restart"/>
            <w:vAlign w:val="center"/>
          </w:tcPr>
          <w:p w14:paraId="56250F6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区域因素</w:t>
            </w:r>
          </w:p>
        </w:tc>
        <w:tc>
          <w:tcPr>
            <w:tcW w:w="750" w:type="dxa"/>
            <w:vMerge w:val="restart"/>
            <w:vAlign w:val="center"/>
          </w:tcPr>
          <w:p w14:paraId="71FDD87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商服繁华度</w:t>
            </w:r>
          </w:p>
        </w:tc>
        <w:tc>
          <w:tcPr>
            <w:tcW w:w="1383" w:type="dxa"/>
            <w:vAlign w:val="center"/>
          </w:tcPr>
          <w:p w14:paraId="38B8713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距商务中心距离（m）</w:t>
            </w:r>
          </w:p>
        </w:tc>
        <w:tc>
          <w:tcPr>
            <w:tcW w:w="1370" w:type="dxa"/>
            <w:vAlign w:val="center"/>
          </w:tcPr>
          <w:p w14:paraId="52162ED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150（含）以下</w:t>
            </w:r>
          </w:p>
        </w:tc>
        <w:tc>
          <w:tcPr>
            <w:tcW w:w="1370" w:type="dxa"/>
            <w:vAlign w:val="center"/>
          </w:tcPr>
          <w:p w14:paraId="51791A4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150-1000（含）</w:t>
            </w:r>
          </w:p>
        </w:tc>
        <w:tc>
          <w:tcPr>
            <w:tcW w:w="1370" w:type="dxa"/>
            <w:vAlign w:val="center"/>
          </w:tcPr>
          <w:p w14:paraId="3427337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1000-1500（含）</w:t>
            </w:r>
          </w:p>
        </w:tc>
        <w:tc>
          <w:tcPr>
            <w:tcW w:w="1370" w:type="dxa"/>
            <w:vAlign w:val="center"/>
          </w:tcPr>
          <w:p w14:paraId="52AD1B6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1500-2000（含）</w:t>
            </w:r>
          </w:p>
        </w:tc>
        <w:tc>
          <w:tcPr>
            <w:tcW w:w="1371" w:type="dxa"/>
            <w:vAlign w:val="center"/>
          </w:tcPr>
          <w:p w14:paraId="04FED5B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2000以上</w:t>
            </w:r>
          </w:p>
        </w:tc>
        <w:tc>
          <w:tcPr>
            <w:tcW w:w="901" w:type="dxa"/>
            <w:vAlign w:val="center"/>
          </w:tcPr>
          <w:p w14:paraId="1326513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3.8</w:t>
            </w:r>
          </w:p>
        </w:tc>
        <w:tc>
          <w:tcPr>
            <w:tcW w:w="901" w:type="dxa"/>
            <w:vAlign w:val="center"/>
          </w:tcPr>
          <w:p w14:paraId="410CEBB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901" w:type="dxa"/>
            <w:vAlign w:val="center"/>
          </w:tcPr>
          <w:p w14:paraId="7AE03DD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5901146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-1.9</w:t>
            </w:r>
          </w:p>
        </w:tc>
        <w:tc>
          <w:tcPr>
            <w:tcW w:w="901" w:type="dxa"/>
            <w:vAlign w:val="center"/>
          </w:tcPr>
          <w:p w14:paraId="516B56C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-3.8</w:t>
            </w:r>
          </w:p>
        </w:tc>
      </w:tr>
      <w:tr w14:paraId="5ED39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09346784">
            <w:pPr>
              <w:widowControl/>
              <w:spacing w:line="300" w:lineRule="exact"/>
              <w:jc w:val="left"/>
              <w:rPr>
                <w:rFonts w:hint="default" w:ascii="Times New Roman" w:hAnsi="Times New Roman" w:cs="Times New Roman"/>
                <w:color w:val="000000"/>
                <w:kern w:val="0"/>
                <w:sz w:val="18"/>
                <w:szCs w:val="18"/>
              </w:rPr>
            </w:pPr>
          </w:p>
        </w:tc>
        <w:tc>
          <w:tcPr>
            <w:tcW w:w="750" w:type="dxa"/>
            <w:vMerge w:val="continue"/>
            <w:vAlign w:val="center"/>
          </w:tcPr>
          <w:p w14:paraId="26BDFCF0">
            <w:pPr>
              <w:widowControl/>
              <w:spacing w:line="300" w:lineRule="exact"/>
              <w:jc w:val="left"/>
              <w:rPr>
                <w:rFonts w:hint="default" w:ascii="Times New Roman" w:hAnsi="Times New Roman" w:cs="Times New Roman"/>
                <w:color w:val="000000"/>
                <w:kern w:val="0"/>
                <w:sz w:val="18"/>
                <w:szCs w:val="18"/>
              </w:rPr>
            </w:pPr>
          </w:p>
        </w:tc>
        <w:tc>
          <w:tcPr>
            <w:tcW w:w="1383" w:type="dxa"/>
            <w:vAlign w:val="center"/>
          </w:tcPr>
          <w:p w14:paraId="1D4C1AF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商服网点密度</w:t>
            </w:r>
          </w:p>
        </w:tc>
        <w:tc>
          <w:tcPr>
            <w:tcW w:w="1370" w:type="dxa"/>
            <w:vAlign w:val="center"/>
          </w:tcPr>
          <w:p w14:paraId="172C937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密集</w:t>
            </w:r>
          </w:p>
        </w:tc>
        <w:tc>
          <w:tcPr>
            <w:tcW w:w="1370" w:type="dxa"/>
            <w:vAlign w:val="center"/>
          </w:tcPr>
          <w:p w14:paraId="4A8E8E3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较密集</w:t>
            </w:r>
          </w:p>
        </w:tc>
        <w:tc>
          <w:tcPr>
            <w:tcW w:w="1370" w:type="dxa"/>
            <w:vAlign w:val="center"/>
          </w:tcPr>
          <w:p w14:paraId="7C7E251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370" w:type="dxa"/>
            <w:vAlign w:val="center"/>
          </w:tcPr>
          <w:p w14:paraId="4DF4225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较不密集</w:t>
            </w:r>
          </w:p>
        </w:tc>
        <w:tc>
          <w:tcPr>
            <w:tcW w:w="1371" w:type="dxa"/>
            <w:vAlign w:val="center"/>
          </w:tcPr>
          <w:p w14:paraId="24633FF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不密集</w:t>
            </w:r>
          </w:p>
        </w:tc>
        <w:tc>
          <w:tcPr>
            <w:tcW w:w="901" w:type="dxa"/>
            <w:vAlign w:val="center"/>
          </w:tcPr>
          <w:p w14:paraId="1A51FC4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c>
          <w:tcPr>
            <w:tcW w:w="901" w:type="dxa"/>
            <w:vAlign w:val="center"/>
          </w:tcPr>
          <w:p w14:paraId="1DC4673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901" w:type="dxa"/>
            <w:vAlign w:val="center"/>
          </w:tcPr>
          <w:p w14:paraId="033F9D8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678F56A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w:t>
            </w:r>
          </w:p>
        </w:tc>
        <w:tc>
          <w:tcPr>
            <w:tcW w:w="901" w:type="dxa"/>
            <w:vAlign w:val="center"/>
          </w:tcPr>
          <w:p w14:paraId="007D6EC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w:t>
            </w:r>
          </w:p>
        </w:tc>
      </w:tr>
      <w:tr w14:paraId="5FAA9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7C2ECA51">
            <w:pPr>
              <w:widowControl/>
              <w:spacing w:line="300" w:lineRule="exact"/>
              <w:jc w:val="left"/>
              <w:rPr>
                <w:rFonts w:hint="default" w:ascii="Times New Roman" w:hAnsi="Times New Roman" w:cs="Times New Roman"/>
                <w:color w:val="000000"/>
                <w:kern w:val="0"/>
                <w:sz w:val="18"/>
                <w:szCs w:val="18"/>
              </w:rPr>
            </w:pPr>
          </w:p>
        </w:tc>
        <w:tc>
          <w:tcPr>
            <w:tcW w:w="750" w:type="dxa"/>
            <w:vMerge w:val="restart"/>
            <w:vAlign w:val="center"/>
          </w:tcPr>
          <w:p w14:paraId="6A254E4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交通条件</w:t>
            </w:r>
          </w:p>
        </w:tc>
        <w:tc>
          <w:tcPr>
            <w:tcW w:w="1383" w:type="dxa"/>
            <w:vAlign w:val="center"/>
          </w:tcPr>
          <w:p w14:paraId="29EBDE3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道路通达度</w:t>
            </w:r>
          </w:p>
        </w:tc>
        <w:tc>
          <w:tcPr>
            <w:tcW w:w="1370" w:type="dxa"/>
            <w:vAlign w:val="center"/>
          </w:tcPr>
          <w:p w14:paraId="4B627E1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有生活型主干道通过</w:t>
            </w:r>
          </w:p>
        </w:tc>
        <w:tc>
          <w:tcPr>
            <w:tcW w:w="1370" w:type="dxa"/>
            <w:vAlign w:val="center"/>
          </w:tcPr>
          <w:p w14:paraId="4961D8F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有混合型主干道通过</w:t>
            </w:r>
          </w:p>
        </w:tc>
        <w:tc>
          <w:tcPr>
            <w:tcW w:w="1370" w:type="dxa"/>
            <w:vAlign w:val="center"/>
          </w:tcPr>
          <w:p w14:paraId="51B3A2F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有生活型次干道通过</w:t>
            </w:r>
          </w:p>
        </w:tc>
        <w:tc>
          <w:tcPr>
            <w:tcW w:w="1370" w:type="dxa"/>
            <w:vAlign w:val="center"/>
          </w:tcPr>
          <w:p w14:paraId="0E61861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交通型道路通过</w:t>
            </w:r>
          </w:p>
        </w:tc>
        <w:tc>
          <w:tcPr>
            <w:tcW w:w="1371" w:type="dxa"/>
            <w:vAlign w:val="center"/>
          </w:tcPr>
          <w:p w14:paraId="427E4D0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支路通过</w:t>
            </w:r>
          </w:p>
        </w:tc>
        <w:tc>
          <w:tcPr>
            <w:tcW w:w="901" w:type="dxa"/>
            <w:vAlign w:val="center"/>
          </w:tcPr>
          <w:p w14:paraId="77A5372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901" w:type="dxa"/>
            <w:vAlign w:val="center"/>
          </w:tcPr>
          <w:p w14:paraId="0A8D969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901" w:type="dxa"/>
            <w:vAlign w:val="center"/>
          </w:tcPr>
          <w:p w14:paraId="76B4FF2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3F970B0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901" w:type="dxa"/>
            <w:vAlign w:val="center"/>
          </w:tcPr>
          <w:p w14:paraId="1F1DF6C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r>
      <w:tr w14:paraId="477F8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51731707">
            <w:pPr>
              <w:widowControl/>
              <w:spacing w:line="300" w:lineRule="exact"/>
              <w:jc w:val="left"/>
              <w:rPr>
                <w:rFonts w:hint="default" w:ascii="Times New Roman" w:hAnsi="Times New Roman" w:cs="Times New Roman"/>
                <w:color w:val="000000"/>
                <w:kern w:val="0"/>
                <w:sz w:val="18"/>
                <w:szCs w:val="18"/>
              </w:rPr>
            </w:pPr>
          </w:p>
        </w:tc>
        <w:tc>
          <w:tcPr>
            <w:tcW w:w="750" w:type="dxa"/>
            <w:vMerge w:val="continue"/>
            <w:vAlign w:val="center"/>
          </w:tcPr>
          <w:p w14:paraId="7E9D1663">
            <w:pPr>
              <w:widowControl/>
              <w:spacing w:line="300" w:lineRule="exact"/>
              <w:jc w:val="left"/>
              <w:rPr>
                <w:rFonts w:hint="default" w:ascii="Times New Roman" w:hAnsi="Times New Roman" w:cs="Times New Roman"/>
                <w:color w:val="000000"/>
                <w:kern w:val="0"/>
                <w:sz w:val="18"/>
                <w:szCs w:val="18"/>
              </w:rPr>
            </w:pPr>
          </w:p>
        </w:tc>
        <w:tc>
          <w:tcPr>
            <w:tcW w:w="1383" w:type="dxa"/>
            <w:vAlign w:val="center"/>
          </w:tcPr>
          <w:p w14:paraId="79DBE73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公交线路数（条）</w:t>
            </w:r>
          </w:p>
        </w:tc>
        <w:tc>
          <w:tcPr>
            <w:tcW w:w="1370" w:type="dxa"/>
            <w:vAlign w:val="center"/>
          </w:tcPr>
          <w:p w14:paraId="6C164FE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6（含）以上</w:t>
            </w:r>
          </w:p>
        </w:tc>
        <w:tc>
          <w:tcPr>
            <w:tcW w:w="1370" w:type="dxa"/>
            <w:vAlign w:val="center"/>
          </w:tcPr>
          <w:p w14:paraId="585C1B9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4-5</w:t>
            </w:r>
          </w:p>
        </w:tc>
        <w:tc>
          <w:tcPr>
            <w:tcW w:w="1370" w:type="dxa"/>
            <w:vAlign w:val="center"/>
          </w:tcPr>
          <w:p w14:paraId="4282119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2-3</w:t>
            </w:r>
          </w:p>
        </w:tc>
        <w:tc>
          <w:tcPr>
            <w:tcW w:w="1370" w:type="dxa"/>
            <w:vAlign w:val="center"/>
          </w:tcPr>
          <w:p w14:paraId="06F0230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1371" w:type="dxa"/>
            <w:vAlign w:val="center"/>
          </w:tcPr>
          <w:p w14:paraId="0E0E7D7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901" w:type="dxa"/>
            <w:vAlign w:val="center"/>
          </w:tcPr>
          <w:p w14:paraId="4C3A596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901" w:type="dxa"/>
            <w:vAlign w:val="center"/>
          </w:tcPr>
          <w:p w14:paraId="778B6CC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50AF1F4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04E79F8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29ADA38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r>
      <w:tr w14:paraId="79C09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3531179C">
            <w:pPr>
              <w:widowControl/>
              <w:spacing w:line="300" w:lineRule="exact"/>
              <w:jc w:val="left"/>
              <w:rPr>
                <w:rFonts w:hint="default" w:ascii="Times New Roman" w:hAnsi="Times New Roman" w:cs="Times New Roman"/>
                <w:color w:val="000000"/>
                <w:kern w:val="0"/>
                <w:sz w:val="18"/>
                <w:szCs w:val="18"/>
              </w:rPr>
            </w:pPr>
          </w:p>
        </w:tc>
        <w:tc>
          <w:tcPr>
            <w:tcW w:w="750" w:type="dxa"/>
            <w:vMerge w:val="restart"/>
            <w:vAlign w:val="center"/>
          </w:tcPr>
          <w:p w14:paraId="247B87A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基础设施条件</w:t>
            </w:r>
          </w:p>
        </w:tc>
        <w:tc>
          <w:tcPr>
            <w:tcW w:w="1383" w:type="dxa"/>
            <w:vAlign w:val="center"/>
          </w:tcPr>
          <w:p w14:paraId="2225947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供水保证度（%）</w:t>
            </w:r>
          </w:p>
        </w:tc>
        <w:tc>
          <w:tcPr>
            <w:tcW w:w="1370" w:type="dxa"/>
            <w:vAlign w:val="center"/>
          </w:tcPr>
          <w:p w14:paraId="49C850E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370" w:type="dxa"/>
            <w:vAlign w:val="center"/>
          </w:tcPr>
          <w:p w14:paraId="6C01782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370" w:type="dxa"/>
            <w:vAlign w:val="center"/>
          </w:tcPr>
          <w:p w14:paraId="38BFC5A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370" w:type="dxa"/>
            <w:vAlign w:val="center"/>
          </w:tcPr>
          <w:p w14:paraId="5919D1C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70（含）-85</w:t>
            </w:r>
          </w:p>
        </w:tc>
        <w:tc>
          <w:tcPr>
            <w:tcW w:w="1371" w:type="dxa"/>
            <w:vAlign w:val="center"/>
          </w:tcPr>
          <w:p w14:paraId="44A4A7F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70以下</w:t>
            </w:r>
          </w:p>
        </w:tc>
        <w:tc>
          <w:tcPr>
            <w:tcW w:w="901" w:type="dxa"/>
            <w:vAlign w:val="center"/>
          </w:tcPr>
          <w:p w14:paraId="5BCE68B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c>
          <w:tcPr>
            <w:tcW w:w="901" w:type="dxa"/>
            <w:vAlign w:val="center"/>
          </w:tcPr>
          <w:p w14:paraId="3D57CBD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901" w:type="dxa"/>
            <w:vAlign w:val="center"/>
          </w:tcPr>
          <w:p w14:paraId="7BF1C97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3005E56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901" w:type="dxa"/>
            <w:vAlign w:val="center"/>
          </w:tcPr>
          <w:p w14:paraId="22DE888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-1.7</w:t>
            </w:r>
          </w:p>
        </w:tc>
      </w:tr>
      <w:tr w14:paraId="442D0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47E3561A">
            <w:pPr>
              <w:widowControl/>
              <w:spacing w:line="300" w:lineRule="exact"/>
              <w:jc w:val="left"/>
              <w:rPr>
                <w:rFonts w:hint="default" w:ascii="Times New Roman" w:hAnsi="Times New Roman" w:cs="Times New Roman"/>
                <w:color w:val="000000"/>
                <w:kern w:val="0"/>
                <w:sz w:val="18"/>
                <w:szCs w:val="18"/>
              </w:rPr>
            </w:pPr>
          </w:p>
        </w:tc>
        <w:tc>
          <w:tcPr>
            <w:tcW w:w="750" w:type="dxa"/>
            <w:vMerge w:val="continue"/>
            <w:vAlign w:val="center"/>
          </w:tcPr>
          <w:p w14:paraId="726BAA91">
            <w:pPr>
              <w:widowControl/>
              <w:spacing w:line="300" w:lineRule="exact"/>
              <w:jc w:val="left"/>
              <w:rPr>
                <w:rFonts w:hint="default" w:ascii="Times New Roman" w:hAnsi="Times New Roman" w:cs="Times New Roman"/>
                <w:color w:val="000000"/>
                <w:kern w:val="0"/>
                <w:sz w:val="18"/>
                <w:szCs w:val="18"/>
              </w:rPr>
            </w:pPr>
          </w:p>
        </w:tc>
        <w:tc>
          <w:tcPr>
            <w:tcW w:w="1383" w:type="dxa"/>
            <w:vAlign w:val="center"/>
          </w:tcPr>
          <w:p w14:paraId="3F94BA6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供电保证度（%）</w:t>
            </w:r>
          </w:p>
        </w:tc>
        <w:tc>
          <w:tcPr>
            <w:tcW w:w="1370" w:type="dxa"/>
            <w:vAlign w:val="center"/>
          </w:tcPr>
          <w:p w14:paraId="47EE283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370" w:type="dxa"/>
            <w:vAlign w:val="center"/>
          </w:tcPr>
          <w:p w14:paraId="7D6DCCD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370" w:type="dxa"/>
            <w:vAlign w:val="center"/>
          </w:tcPr>
          <w:p w14:paraId="4EC3951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370" w:type="dxa"/>
            <w:vAlign w:val="center"/>
          </w:tcPr>
          <w:p w14:paraId="0B1BE68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371" w:type="dxa"/>
            <w:vAlign w:val="center"/>
          </w:tcPr>
          <w:p w14:paraId="608F869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901" w:type="dxa"/>
            <w:vAlign w:val="center"/>
          </w:tcPr>
          <w:p w14:paraId="4AA8CD2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901" w:type="dxa"/>
            <w:vAlign w:val="center"/>
          </w:tcPr>
          <w:p w14:paraId="5A61A6E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01A8E72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1F4DCBD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7D28D92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r>
      <w:tr w14:paraId="243DB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5C18A4C5">
            <w:pPr>
              <w:widowControl/>
              <w:spacing w:line="300" w:lineRule="exact"/>
              <w:jc w:val="left"/>
              <w:rPr>
                <w:rFonts w:hint="default" w:ascii="Times New Roman" w:hAnsi="Times New Roman" w:cs="Times New Roman"/>
                <w:color w:val="000000"/>
                <w:kern w:val="0"/>
                <w:sz w:val="18"/>
                <w:szCs w:val="18"/>
              </w:rPr>
            </w:pPr>
          </w:p>
        </w:tc>
        <w:tc>
          <w:tcPr>
            <w:tcW w:w="750" w:type="dxa"/>
            <w:vMerge w:val="continue"/>
            <w:vAlign w:val="center"/>
          </w:tcPr>
          <w:p w14:paraId="016E21AE">
            <w:pPr>
              <w:widowControl/>
              <w:spacing w:line="300" w:lineRule="exact"/>
              <w:jc w:val="left"/>
              <w:rPr>
                <w:rFonts w:hint="default" w:ascii="Times New Roman" w:hAnsi="Times New Roman" w:cs="Times New Roman"/>
                <w:color w:val="000000"/>
                <w:kern w:val="0"/>
                <w:sz w:val="18"/>
                <w:szCs w:val="18"/>
              </w:rPr>
            </w:pPr>
          </w:p>
        </w:tc>
        <w:tc>
          <w:tcPr>
            <w:tcW w:w="1383" w:type="dxa"/>
            <w:vAlign w:val="center"/>
          </w:tcPr>
          <w:p w14:paraId="3D4A9E57">
            <w:pPr>
              <w:widowControl/>
              <w:spacing w:line="300" w:lineRule="exact"/>
              <w:jc w:val="center"/>
              <w:rPr>
                <w:rFonts w:hint="default" w:ascii="Times New Roman" w:hAnsi="Times New Roman" w:cs="Times New Roman"/>
                <w:color w:val="000000"/>
                <w:kern w:val="0"/>
                <w:sz w:val="18"/>
                <w:szCs w:val="18"/>
              </w:rPr>
            </w:pPr>
            <w:r>
              <w:rPr>
                <w:rFonts w:hint="eastAsia" w:ascii="Times New Roman" w:hAnsi="Times New Roman" w:cs="Times New Roman"/>
                <w:color w:val="000000"/>
                <w:kern w:val="0"/>
                <w:sz w:val="18"/>
                <w:szCs w:val="18"/>
                <w:lang w:eastAsia="zh-CN"/>
              </w:rPr>
              <w:t>通信</w:t>
            </w:r>
            <w:r>
              <w:rPr>
                <w:rFonts w:hint="default" w:ascii="Times New Roman" w:hAnsi="Times New Roman" w:cs="Times New Roman"/>
                <w:color w:val="000000"/>
                <w:kern w:val="0"/>
                <w:sz w:val="18"/>
                <w:szCs w:val="18"/>
              </w:rPr>
              <w:t>保证度（%）</w:t>
            </w:r>
          </w:p>
        </w:tc>
        <w:tc>
          <w:tcPr>
            <w:tcW w:w="1370" w:type="dxa"/>
            <w:vAlign w:val="center"/>
          </w:tcPr>
          <w:p w14:paraId="4DBD999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95（含）以上</w:t>
            </w:r>
          </w:p>
        </w:tc>
        <w:tc>
          <w:tcPr>
            <w:tcW w:w="1370" w:type="dxa"/>
            <w:vAlign w:val="center"/>
          </w:tcPr>
          <w:p w14:paraId="7CE96BD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90（含）-95</w:t>
            </w:r>
          </w:p>
        </w:tc>
        <w:tc>
          <w:tcPr>
            <w:tcW w:w="1370" w:type="dxa"/>
            <w:vAlign w:val="center"/>
          </w:tcPr>
          <w:p w14:paraId="618E7B9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85（含）-90</w:t>
            </w:r>
          </w:p>
        </w:tc>
        <w:tc>
          <w:tcPr>
            <w:tcW w:w="1370" w:type="dxa"/>
            <w:vAlign w:val="center"/>
          </w:tcPr>
          <w:p w14:paraId="6A008CE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75（含）-85</w:t>
            </w:r>
          </w:p>
        </w:tc>
        <w:tc>
          <w:tcPr>
            <w:tcW w:w="1371" w:type="dxa"/>
            <w:vAlign w:val="center"/>
          </w:tcPr>
          <w:p w14:paraId="05011E3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75以下</w:t>
            </w:r>
          </w:p>
        </w:tc>
        <w:tc>
          <w:tcPr>
            <w:tcW w:w="901" w:type="dxa"/>
            <w:vAlign w:val="center"/>
          </w:tcPr>
          <w:p w14:paraId="3392A07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52BEDC5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01" w:type="dxa"/>
            <w:vAlign w:val="center"/>
          </w:tcPr>
          <w:p w14:paraId="754BC80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109D7B9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01" w:type="dxa"/>
            <w:vAlign w:val="center"/>
          </w:tcPr>
          <w:p w14:paraId="3C2E1BD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40B16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40672A86">
            <w:pPr>
              <w:widowControl/>
              <w:spacing w:line="300" w:lineRule="exact"/>
              <w:jc w:val="left"/>
              <w:rPr>
                <w:rFonts w:hint="default" w:ascii="Times New Roman" w:hAnsi="Times New Roman" w:cs="Times New Roman"/>
                <w:color w:val="000000"/>
                <w:kern w:val="0"/>
                <w:sz w:val="18"/>
                <w:szCs w:val="18"/>
              </w:rPr>
            </w:pPr>
          </w:p>
        </w:tc>
        <w:tc>
          <w:tcPr>
            <w:tcW w:w="750" w:type="dxa"/>
            <w:vAlign w:val="center"/>
          </w:tcPr>
          <w:p w14:paraId="44770AC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公用设施</w:t>
            </w:r>
          </w:p>
        </w:tc>
        <w:tc>
          <w:tcPr>
            <w:tcW w:w="1383" w:type="dxa"/>
            <w:vAlign w:val="center"/>
          </w:tcPr>
          <w:p w14:paraId="5447462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学校、医院等公用服务设施完备度</w:t>
            </w:r>
          </w:p>
        </w:tc>
        <w:tc>
          <w:tcPr>
            <w:tcW w:w="1370" w:type="dxa"/>
            <w:vAlign w:val="center"/>
          </w:tcPr>
          <w:p w14:paraId="68F4314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各类公用服务设施齐全，能很好满足居民生活</w:t>
            </w:r>
          </w:p>
        </w:tc>
        <w:tc>
          <w:tcPr>
            <w:tcW w:w="1370" w:type="dxa"/>
            <w:vAlign w:val="center"/>
          </w:tcPr>
          <w:p w14:paraId="537C991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公用服务设施较齐全，能较好满足居民生活</w:t>
            </w:r>
          </w:p>
        </w:tc>
        <w:tc>
          <w:tcPr>
            <w:tcW w:w="1370" w:type="dxa"/>
            <w:vAlign w:val="center"/>
          </w:tcPr>
          <w:p w14:paraId="11BC0F6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公用设施基本齐全，基本能满足居民生活</w:t>
            </w:r>
          </w:p>
        </w:tc>
        <w:tc>
          <w:tcPr>
            <w:tcW w:w="1370" w:type="dxa"/>
            <w:vAlign w:val="center"/>
          </w:tcPr>
          <w:p w14:paraId="03BBC6E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公用设施不够齐全，对居民生活有一定影响</w:t>
            </w:r>
          </w:p>
        </w:tc>
        <w:tc>
          <w:tcPr>
            <w:tcW w:w="1371" w:type="dxa"/>
            <w:vAlign w:val="center"/>
          </w:tcPr>
          <w:p w14:paraId="203B523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仅零星设施分布有少量公用服务设施</w:t>
            </w:r>
          </w:p>
        </w:tc>
        <w:tc>
          <w:tcPr>
            <w:tcW w:w="901" w:type="dxa"/>
            <w:vAlign w:val="center"/>
          </w:tcPr>
          <w:p w14:paraId="2CF51C4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6C7E848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01" w:type="dxa"/>
            <w:vAlign w:val="center"/>
          </w:tcPr>
          <w:p w14:paraId="48520F5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5EC3EB9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01" w:type="dxa"/>
            <w:vAlign w:val="center"/>
          </w:tcPr>
          <w:p w14:paraId="0A7185C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73B14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337EF361">
            <w:pPr>
              <w:widowControl/>
              <w:spacing w:line="300" w:lineRule="exact"/>
              <w:jc w:val="left"/>
              <w:rPr>
                <w:rFonts w:hint="default" w:ascii="Times New Roman" w:hAnsi="Times New Roman" w:cs="Times New Roman"/>
                <w:color w:val="000000"/>
                <w:kern w:val="0"/>
                <w:sz w:val="18"/>
                <w:szCs w:val="18"/>
              </w:rPr>
            </w:pPr>
          </w:p>
        </w:tc>
        <w:tc>
          <w:tcPr>
            <w:tcW w:w="750" w:type="dxa"/>
            <w:vAlign w:val="center"/>
          </w:tcPr>
          <w:p w14:paraId="0C6BA71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人口状况</w:t>
            </w:r>
          </w:p>
        </w:tc>
        <w:tc>
          <w:tcPr>
            <w:tcW w:w="1383" w:type="dxa"/>
            <w:vAlign w:val="center"/>
          </w:tcPr>
          <w:p w14:paraId="3E8B597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人口密度（万人/km</w:t>
            </w:r>
            <w:r>
              <w:rPr>
                <w:rFonts w:hint="default" w:ascii="Times New Roman" w:hAnsi="Times New Roman" w:cs="Times New Roman"/>
                <w:color w:val="000000"/>
                <w:kern w:val="0"/>
                <w:sz w:val="18"/>
                <w:szCs w:val="18"/>
                <w:vertAlign w:val="superscript"/>
              </w:rPr>
              <w:t>2</w:t>
            </w:r>
            <w:r>
              <w:rPr>
                <w:rFonts w:hint="default" w:ascii="Times New Roman" w:hAnsi="Times New Roman" w:cs="Times New Roman"/>
                <w:color w:val="000000"/>
                <w:kern w:val="0"/>
                <w:sz w:val="18"/>
                <w:szCs w:val="18"/>
              </w:rPr>
              <w:t>）</w:t>
            </w:r>
          </w:p>
        </w:tc>
        <w:tc>
          <w:tcPr>
            <w:tcW w:w="1370" w:type="dxa"/>
            <w:vAlign w:val="center"/>
          </w:tcPr>
          <w:p w14:paraId="72180CF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2（含）  以上</w:t>
            </w:r>
          </w:p>
        </w:tc>
        <w:tc>
          <w:tcPr>
            <w:tcW w:w="1370" w:type="dxa"/>
            <w:vAlign w:val="center"/>
          </w:tcPr>
          <w:p w14:paraId="416F184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1.5（含）-2</w:t>
            </w:r>
          </w:p>
        </w:tc>
        <w:tc>
          <w:tcPr>
            <w:tcW w:w="1370" w:type="dxa"/>
            <w:vAlign w:val="center"/>
          </w:tcPr>
          <w:p w14:paraId="42C7CD3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0.8（含）-1.5</w:t>
            </w:r>
          </w:p>
        </w:tc>
        <w:tc>
          <w:tcPr>
            <w:tcW w:w="1370" w:type="dxa"/>
            <w:vAlign w:val="center"/>
          </w:tcPr>
          <w:p w14:paraId="04CA455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0.5（含）-0.8</w:t>
            </w:r>
          </w:p>
        </w:tc>
        <w:tc>
          <w:tcPr>
            <w:tcW w:w="1371" w:type="dxa"/>
            <w:vAlign w:val="center"/>
          </w:tcPr>
          <w:p w14:paraId="623F6F7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0.5以下</w:t>
            </w:r>
          </w:p>
        </w:tc>
        <w:tc>
          <w:tcPr>
            <w:tcW w:w="901" w:type="dxa"/>
            <w:vAlign w:val="center"/>
          </w:tcPr>
          <w:p w14:paraId="7551F2F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0F7CC08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01" w:type="dxa"/>
            <w:vAlign w:val="center"/>
          </w:tcPr>
          <w:p w14:paraId="0DB7EAA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2BFAC5C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-0.3</w:t>
            </w:r>
          </w:p>
        </w:tc>
        <w:tc>
          <w:tcPr>
            <w:tcW w:w="901" w:type="dxa"/>
            <w:vAlign w:val="center"/>
          </w:tcPr>
          <w:p w14:paraId="35347EE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r>
      <w:tr w14:paraId="5A134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259127FB">
            <w:pPr>
              <w:widowControl/>
              <w:spacing w:line="300" w:lineRule="exact"/>
              <w:jc w:val="left"/>
              <w:rPr>
                <w:rFonts w:hint="default" w:ascii="Times New Roman" w:hAnsi="Times New Roman" w:cs="Times New Roman"/>
                <w:color w:val="000000"/>
                <w:kern w:val="0"/>
                <w:sz w:val="18"/>
                <w:szCs w:val="18"/>
              </w:rPr>
            </w:pPr>
          </w:p>
        </w:tc>
        <w:tc>
          <w:tcPr>
            <w:tcW w:w="750" w:type="dxa"/>
            <w:vAlign w:val="center"/>
          </w:tcPr>
          <w:p w14:paraId="37B9F90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规划状况</w:t>
            </w:r>
          </w:p>
        </w:tc>
        <w:tc>
          <w:tcPr>
            <w:tcW w:w="1383" w:type="dxa"/>
            <w:vAlign w:val="center"/>
          </w:tcPr>
          <w:p w14:paraId="358F6A5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城市规划</w:t>
            </w:r>
          </w:p>
        </w:tc>
        <w:tc>
          <w:tcPr>
            <w:tcW w:w="1370" w:type="dxa"/>
            <w:vAlign w:val="center"/>
          </w:tcPr>
          <w:p w14:paraId="7B7D888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有利</w:t>
            </w:r>
          </w:p>
        </w:tc>
        <w:tc>
          <w:tcPr>
            <w:tcW w:w="1370" w:type="dxa"/>
            <w:vAlign w:val="center"/>
          </w:tcPr>
          <w:p w14:paraId="4B5DC6FC">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较有利</w:t>
            </w:r>
          </w:p>
        </w:tc>
        <w:tc>
          <w:tcPr>
            <w:tcW w:w="1370" w:type="dxa"/>
            <w:vAlign w:val="center"/>
          </w:tcPr>
          <w:p w14:paraId="5F7184C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370" w:type="dxa"/>
            <w:vAlign w:val="center"/>
          </w:tcPr>
          <w:p w14:paraId="157F1D2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较不利</w:t>
            </w:r>
          </w:p>
        </w:tc>
        <w:tc>
          <w:tcPr>
            <w:tcW w:w="1371" w:type="dxa"/>
            <w:vAlign w:val="center"/>
          </w:tcPr>
          <w:p w14:paraId="37CFC80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不利</w:t>
            </w:r>
          </w:p>
        </w:tc>
        <w:tc>
          <w:tcPr>
            <w:tcW w:w="901" w:type="dxa"/>
            <w:vAlign w:val="center"/>
          </w:tcPr>
          <w:p w14:paraId="15CD539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901" w:type="dxa"/>
            <w:vAlign w:val="center"/>
          </w:tcPr>
          <w:p w14:paraId="68B4376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4A75229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3C52924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2B56CE0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r>
      <w:tr w14:paraId="18416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465E578E">
            <w:pPr>
              <w:widowControl/>
              <w:spacing w:line="300" w:lineRule="exact"/>
              <w:jc w:val="left"/>
              <w:rPr>
                <w:rFonts w:hint="default" w:ascii="Times New Roman" w:hAnsi="Times New Roman" w:cs="Times New Roman"/>
                <w:color w:val="000000"/>
                <w:kern w:val="0"/>
                <w:sz w:val="18"/>
                <w:szCs w:val="18"/>
              </w:rPr>
            </w:pPr>
          </w:p>
        </w:tc>
        <w:tc>
          <w:tcPr>
            <w:tcW w:w="2133" w:type="dxa"/>
            <w:gridSpan w:val="2"/>
            <w:vAlign w:val="center"/>
          </w:tcPr>
          <w:p w14:paraId="288A762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距公交站点的距离（m）</w:t>
            </w:r>
          </w:p>
        </w:tc>
        <w:tc>
          <w:tcPr>
            <w:tcW w:w="1370" w:type="dxa"/>
            <w:vAlign w:val="center"/>
          </w:tcPr>
          <w:p w14:paraId="6649C84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100（含）以下</w:t>
            </w:r>
          </w:p>
        </w:tc>
        <w:tc>
          <w:tcPr>
            <w:tcW w:w="1370" w:type="dxa"/>
            <w:vAlign w:val="center"/>
          </w:tcPr>
          <w:p w14:paraId="6A39D1B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100-300（含）</w:t>
            </w:r>
          </w:p>
        </w:tc>
        <w:tc>
          <w:tcPr>
            <w:tcW w:w="1370" w:type="dxa"/>
            <w:vAlign w:val="center"/>
          </w:tcPr>
          <w:p w14:paraId="6101657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300-800（含）</w:t>
            </w:r>
          </w:p>
        </w:tc>
        <w:tc>
          <w:tcPr>
            <w:tcW w:w="1370" w:type="dxa"/>
            <w:vAlign w:val="center"/>
          </w:tcPr>
          <w:p w14:paraId="719B95A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800-1500（含）</w:t>
            </w:r>
          </w:p>
        </w:tc>
        <w:tc>
          <w:tcPr>
            <w:tcW w:w="1371" w:type="dxa"/>
            <w:vAlign w:val="center"/>
          </w:tcPr>
          <w:p w14:paraId="28411AF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1500以上</w:t>
            </w:r>
          </w:p>
        </w:tc>
        <w:tc>
          <w:tcPr>
            <w:tcW w:w="901" w:type="dxa"/>
            <w:vAlign w:val="center"/>
          </w:tcPr>
          <w:p w14:paraId="132CAAC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01" w:type="dxa"/>
            <w:vAlign w:val="center"/>
          </w:tcPr>
          <w:p w14:paraId="5A38327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01" w:type="dxa"/>
            <w:vAlign w:val="center"/>
          </w:tcPr>
          <w:p w14:paraId="4E0652A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67A5758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01" w:type="dxa"/>
            <w:vAlign w:val="center"/>
          </w:tcPr>
          <w:p w14:paraId="61BF9A5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1A816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2B08AD09">
            <w:pPr>
              <w:widowControl/>
              <w:spacing w:line="300" w:lineRule="exact"/>
              <w:jc w:val="left"/>
              <w:rPr>
                <w:rFonts w:hint="default" w:ascii="Times New Roman" w:hAnsi="Times New Roman" w:cs="Times New Roman"/>
                <w:color w:val="000000"/>
                <w:kern w:val="0"/>
                <w:sz w:val="18"/>
                <w:szCs w:val="18"/>
              </w:rPr>
            </w:pPr>
          </w:p>
        </w:tc>
        <w:tc>
          <w:tcPr>
            <w:tcW w:w="2133" w:type="dxa"/>
            <w:gridSpan w:val="2"/>
            <w:vAlign w:val="center"/>
          </w:tcPr>
          <w:p w14:paraId="749A4C0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距江景距离（m）</w:t>
            </w:r>
          </w:p>
        </w:tc>
        <w:tc>
          <w:tcPr>
            <w:tcW w:w="1370" w:type="dxa"/>
            <w:vAlign w:val="center"/>
          </w:tcPr>
          <w:p w14:paraId="194A301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100（含）以下</w:t>
            </w:r>
          </w:p>
        </w:tc>
        <w:tc>
          <w:tcPr>
            <w:tcW w:w="1370" w:type="dxa"/>
            <w:vAlign w:val="center"/>
          </w:tcPr>
          <w:p w14:paraId="4A0B9DB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100-300（含）</w:t>
            </w:r>
          </w:p>
        </w:tc>
        <w:tc>
          <w:tcPr>
            <w:tcW w:w="1370" w:type="dxa"/>
            <w:vAlign w:val="center"/>
          </w:tcPr>
          <w:p w14:paraId="49765DC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300-800（含）</w:t>
            </w:r>
          </w:p>
        </w:tc>
        <w:tc>
          <w:tcPr>
            <w:tcW w:w="1370" w:type="dxa"/>
            <w:vAlign w:val="center"/>
          </w:tcPr>
          <w:p w14:paraId="6B8B5E9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800-1500（含）</w:t>
            </w:r>
          </w:p>
        </w:tc>
        <w:tc>
          <w:tcPr>
            <w:tcW w:w="1371" w:type="dxa"/>
            <w:vAlign w:val="center"/>
          </w:tcPr>
          <w:p w14:paraId="11624BD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1500以上</w:t>
            </w:r>
          </w:p>
        </w:tc>
        <w:tc>
          <w:tcPr>
            <w:tcW w:w="901" w:type="dxa"/>
            <w:vAlign w:val="center"/>
          </w:tcPr>
          <w:p w14:paraId="7B969F6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c>
          <w:tcPr>
            <w:tcW w:w="901" w:type="dxa"/>
            <w:vAlign w:val="center"/>
          </w:tcPr>
          <w:p w14:paraId="4AF8ACE1">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01" w:type="dxa"/>
            <w:vAlign w:val="center"/>
          </w:tcPr>
          <w:p w14:paraId="4678642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4657649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01" w:type="dxa"/>
            <w:vAlign w:val="center"/>
          </w:tcPr>
          <w:p w14:paraId="1338281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w:t>
            </w:r>
          </w:p>
        </w:tc>
      </w:tr>
      <w:tr w14:paraId="1AE31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55C3EF92">
            <w:pPr>
              <w:widowControl/>
              <w:spacing w:line="300" w:lineRule="exact"/>
              <w:jc w:val="left"/>
              <w:rPr>
                <w:rFonts w:hint="default" w:ascii="Times New Roman" w:hAnsi="Times New Roman" w:cs="Times New Roman"/>
                <w:color w:val="000000"/>
                <w:kern w:val="0"/>
                <w:sz w:val="18"/>
                <w:szCs w:val="18"/>
              </w:rPr>
            </w:pPr>
          </w:p>
        </w:tc>
        <w:tc>
          <w:tcPr>
            <w:tcW w:w="2133" w:type="dxa"/>
            <w:gridSpan w:val="2"/>
            <w:vAlign w:val="center"/>
          </w:tcPr>
          <w:p w14:paraId="55CD906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噪声、大气污染</w:t>
            </w:r>
          </w:p>
        </w:tc>
        <w:tc>
          <w:tcPr>
            <w:tcW w:w="1370" w:type="dxa"/>
            <w:vAlign w:val="center"/>
          </w:tcPr>
          <w:p w14:paraId="12A1522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1370" w:type="dxa"/>
            <w:vAlign w:val="center"/>
          </w:tcPr>
          <w:p w14:paraId="29DF587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轻微污染</w:t>
            </w:r>
          </w:p>
        </w:tc>
        <w:tc>
          <w:tcPr>
            <w:tcW w:w="1370" w:type="dxa"/>
            <w:vAlign w:val="center"/>
          </w:tcPr>
          <w:p w14:paraId="38BC5BF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一般</w:t>
            </w:r>
          </w:p>
        </w:tc>
        <w:tc>
          <w:tcPr>
            <w:tcW w:w="1370" w:type="dxa"/>
            <w:vAlign w:val="center"/>
          </w:tcPr>
          <w:p w14:paraId="26E7E2E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较重污染</w:t>
            </w:r>
          </w:p>
        </w:tc>
        <w:tc>
          <w:tcPr>
            <w:tcW w:w="1371" w:type="dxa"/>
            <w:vAlign w:val="center"/>
          </w:tcPr>
          <w:p w14:paraId="2A92AEB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严重污染</w:t>
            </w:r>
          </w:p>
        </w:tc>
        <w:tc>
          <w:tcPr>
            <w:tcW w:w="901" w:type="dxa"/>
            <w:vAlign w:val="center"/>
          </w:tcPr>
          <w:p w14:paraId="7C36FA3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c>
          <w:tcPr>
            <w:tcW w:w="901" w:type="dxa"/>
            <w:vAlign w:val="center"/>
          </w:tcPr>
          <w:p w14:paraId="10857E2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75229C2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1E037F3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-0.6</w:t>
            </w:r>
          </w:p>
        </w:tc>
        <w:tc>
          <w:tcPr>
            <w:tcW w:w="901" w:type="dxa"/>
            <w:vAlign w:val="center"/>
          </w:tcPr>
          <w:p w14:paraId="363D4A9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-1.3</w:t>
            </w:r>
          </w:p>
        </w:tc>
      </w:tr>
      <w:tr w14:paraId="73638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restart"/>
            <w:vAlign w:val="center"/>
          </w:tcPr>
          <w:p w14:paraId="579F32D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个别因素</w:t>
            </w:r>
          </w:p>
        </w:tc>
        <w:tc>
          <w:tcPr>
            <w:tcW w:w="2133" w:type="dxa"/>
            <w:gridSpan w:val="2"/>
            <w:vAlign w:val="center"/>
          </w:tcPr>
          <w:p w14:paraId="7FB3F36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宗地坡度（°）</w:t>
            </w:r>
          </w:p>
        </w:tc>
        <w:tc>
          <w:tcPr>
            <w:tcW w:w="1370" w:type="dxa"/>
            <w:vAlign w:val="center"/>
          </w:tcPr>
          <w:p w14:paraId="658A4CA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5（含）以下</w:t>
            </w:r>
          </w:p>
        </w:tc>
        <w:tc>
          <w:tcPr>
            <w:tcW w:w="1370" w:type="dxa"/>
            <w:vAlign w:val="center"/>
          </w:tcPr>
          <w:p w14:paraId="07B1DDD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5-10（含）</w:t>
            </w:r>
          </w:p>
        </w:tc>
        <w:tc>
          <w:tcPr>
            <w:tcW w:w="1370" w:type="dxa"/>
            <w:vAlign w:val="center"/>
          </w:tcPr>
          <w:p w14:paraId="69C247F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10-15（含）</w:t>
            </w:r>
          </w:p>
        </w:tc>
        <w:tc>
          <w:tcPr>
            <w:tcW w:w="1370" w:type="dxa"/>
            <w:vAlign w:val="center"/>
          </w:tcPr>
          <w:p w14:paraId="4C9D8C5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15-25（含）</w:t>
            </w:r>
          </w:p>
        </w:tc>
        <w:tc>
          <w:tcPr>
            <w:tcW w:w="1371" w:type="dxa"/>
            <w:vAlign w:val="center"/>
          </w:tcPr>
          <w:p w14:paraId="033676D7">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25以上</w:t>
            </w:r>
          </w:p>
        </w:tc>
        <w:tc>
          <w:tcPr>
            <w:tcW w:w="901" w:type="dxa"/>
            <w:vAlign w:val="center"/>
          </w:tcPr>
          <w:p w14:paraId="157198E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c>
          <w:tcPr>
            <w:tcW w:w="901" w:type="dxa"/>
            <w:vAlign w:val="center"/>
          </w:tcPr>
          <w:p w14:paraId="4D1CEE70">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01" w:type="dxa"/>
            <w:vAlign w:val="center"/>
          </w:tcPr>
          <w:p w14:paraId="54858E7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5171D09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-0.5</w:t>
            </w:r>
          </w:p>
        </w:tc>
        <w:tc>
          <w:tcPr>
            <w:tcW w:w="901" w:type="dxa"/>
            <w:vAlign w:val="center"/>
          </w:tcPr>
          <w:p w14:paraId="259F2F13">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-1.1</w:t>
            </w:r>
          </w:p>
        </w:tc>
      </w:tr>
      <w:tr w14:paraId="44FC37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5" w:type="dxa"/>
            <w:vMerge w:val="continue"/>
            <w:vAlign w:val="center"/>
          </w:tcPr>
          <w:p w14:paraId="32E5C522">
            <w:pPr>
              <w:widowControl/>
              <w:spacing w:line="300" w:lineRule="exact"/>
              <w:jc w:val="left"/>
              <w:rPr>
                <w:rFonts w:hint="default" w:ascii="Times New Roman" w:hAnsi="Times New Roman" w:cs="Times New Roman"/>
                <w:color w:val="000000"/>
                <w:kern w:val="0"/>
                <w:sz w:val="18"/>
                <w:szCs w:val="18"/>
              </w:rPr>
            </w:pPr>
          </w:p>
        </w:tc>
        <w:tc>
          <w:tcPr>
            <w:tcW w:w="2133" w:type="dxa"/>
            <w:gridSpan w:val="2"/>
            <w:vAlign w:val="center"/>
          </w:tcPr>
          <w:p w14:paraId="75036DA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地质灾害</w:t>
            </w:r>
          </w:p>
        </w:tc>
        <w:tc>
          <w:tcPr>
            <w:tcW w:w="1370" w:type="dxa"/>
            <w:vAlign w:val="center"/>
          </w:tcPr>
          <w:p w14:paraId="6111C38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无</w:t>
            </w:r>
          </w:p>
        </w:tc>
        <w:tc>
          <w:tcPr>
            <w:tcW w:w="1370" w:type="dxa"/>
            <w:vAlign w:val="center"/>
          </w:tcPr>
          <w:p w14:paraId="14CB69F9">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不易发区</w:t>
            </w:r>
          </w:p>
        </w:tc>
        <w:tc>
          <w:tcPr>
            <w:tcW w:w="1370" w:type="dxa"/>
            <w:vAlign w:val="center"/>
          </w:tcPr>
          <w:p w14:paraId="3EC0256A">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低易发区</w:t>
            </w:r>
          </w:p>
        </w:tc>
        <w:tc>
          <w:tcPr>
            <w:tcW w:w="1370" w:type="dxa"/>
            <w:vAlign w:val="center"/>
          </w:tcPr>
          <w:p w14:paraId="320081A8">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中易发区</w:t>
            </w:r>
          </w:p>
        </w:tc>
        <w:tc>
          <w:tcPr>
            <w:tcW w:w="1371" w:type="dxa"/>
            <w:vAlign w:val="center"/>
          </w:tcPr>
          <w:p w14:paraId="11419302">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高易发区</w:t>
            </w:r>
          </w:p>
        </w:tc>
        <w:tc>
          <w:tcPr>
            <w:tcW w:w="901" w:type="dxa"/>
            <w:vAlign w:val="center"/>
          </w:tcPr>
          <w:p w14:paraId="7291477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c>
          <w:tcPr>
            <w:tcW w:w="901" w:type="dxa"/>
            <w:vAlign w:val="center"/>
          </w:tcPr>
          <w:p w14:paraId="22CD902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901" w:type="dxa"/>
            <w:vAlign w:val="center"/>
          </w:tcPr>
          <w:p w14:paraId="1683B35D">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29ACC2B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-0.4</w:t>
            </w:r>
          </w:p>
        </w:tc>
        <w:tc>
          <w:tcPr>
            <w:tcW w:w="901" w:type="dxa"/>
            <w:vAlign w:val="center"/>
          </w:tcPr>
          <w:p w14:paraId="429EE83B">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-0.8</w:t>
            </w:r>
          </w:p>
        </w:tc>
      </w:tr>
      <w:tr w14:paraId="70596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9" w:type="dxa"/>
            <w:gridSpan w:val="8"/>
            <w:vAlign w:val="center"/>
          </w:tcPr>
          <w:p w14:paraId="308B45F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合计</w:t>
            </w:r>
          </w:p>
        </w:tc>
        <w:tc>
          <w:tcPr>
            <w:tcW w:w="901" w:type="dxa"/>
            <w:vAlign w:val="center"/>
          </w:tcPr>
          <w:p w14:paraId="0AF0991E">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c>
          <w:tcPr>
            <w:tcW w:w="901" w:type="dxa"/>
            <w:vAlign w:val="center"/>
          </w:tcPr>
          <w:p w14:paraId="53720AA4">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c>
          <w:tcPr>
            <w:tcW w:w="901" w:type="dxa"/>
            <w:vAlign w:val="center"/>
          </w:tcPr>
          <w:p w14:paraId="704B7185">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0</w:t>
            </w:r>
          </w:p>
        </w:tc>
        <w:tc>
          <w:tcPr>
            <w:tcW w:w="901" w:type="dxa"/>
            <w:vAlign w:val="center"/>
          </w:tcPr>
          <w:p w14:paraId="32D1013F">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-10.5</w:t>
            </w:r>
          </w:p>
        </w:tc>
        <w:tc>
          <w:tcPr>
            <w:tcW w:w="901" w:type="dxa"/>
            <w:vAlign w:val="center"/>
          </w:tcPr>
          <w:p w14:paraId="198B30C6">
            <w:pPr>
              <w:widowControl/>
              <w:spacing w:line="30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-21</w:t>
            </w:r>
          </w:p>
        </w:tc>
      </w:tr>
    </w:tbl>
    <w:p w14:paraId="1363A94E">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注：数字后标注（含）表示含本数</w:t>
      </w:r>
    </w:p>
    <w:p w14:paraId="51DADD5C">
      <w:pPr>
        <w:spacing w:line="400" w:lineRule="exact"/>
        <w:rPr>
          <w:rFonts w:hint="default" w:ascii="Times New Roman" w:hAnsi="Times New Roman" w:cs="Times New Roman"/>
        </w:rPr>
      </w:pPr>
    </w:p>
    <w:sectPr>
      <w:pgSz w:w="16838" w:h="11906" w:orient="landscape"/>
      <w:pgMar w:top="1962" w:right="1474" w:bottom="1848" w:left="1587"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398A">
    <w:pPr>
      <w:pStyle w:val="8"/>
      <w:ind w:left="7296" w:leftChars="2280" w:firstLine="3600" w:firstLineChars="2000"/>
      <w:rPr>
        <w:rFonts w:hint="eastAsia" w:eastAsia="仿宋"/>
        <w:sz w:val="32"/>
        <w:szCs w:val="4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-86995</wp:posOffset>
              </wp:positionV>
              <wp:extent cx="666115" cy="31369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66115" cy="313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01DC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85pt;height:24.7pt;width:52.45pt;mso-position-horizontal:outside;mso-position-horizontal-relative:margin;z-index:251668480;mso-width-relative:page;mso-height-relative:page;" filled="f" stroked="f" coordsize="21600,21600" o:gfxdata="UEsDBAoAAAAAAIdO4kAAAAAAAAAAAAAAAAAEAAAAZHJzL1BLAwQUAAAACACHTuJA58Zc4NYAAAAH&#10;AQAADwAAAGRycy9kb3ducmV2LnhtbE2PS0/DMBCE70j8B2uRuLV2KNASsumBx41nCxLcnNgkEfE6&#10;sjdp+fe4JziOZjTzTbHeu15MNsTOE0I2VyAs1d501CC8be9nKxCRNRnde7IIPzbCujw+KnRu/I5e&#10;7bThRqQSirlGaJmHXMpYt9bpOPeDpeR9+eA0JxkaaYLepXLXyzOlLqXTHaWFVg/2prX192Z0CP1H&#10;DA+V4s/ptnnkl2c5vt9lT4inJ5m6BsF2z39hOOAndCgTU+VHMlH0COkII8yyxRLEwVbnVyAqhMXF&#10;EmRZyP/85S9QSwMEFAAAAAgAh07iQMKnnDU4AgAAYwQAAA4AAABkcnMvZTJvRG9jLnhtbK1UzW4T&#10;MRC+I/EOlu90k1aNIOqmCq2KkCpaKSDOjtebtWR7jO10NzwAvAEnLr3zXH0OvvVmU1Q49MDFmZ2f&#10;b/x9nsnZeWcNu1MhanIlnx5NOFNOUqXdpuSfPl69es1ZTMJVwpBTJd+pyM8XL1+ctX6ujqkhU6nA&#10;AOLivPUlb1Ly86KIslFWxCPyyiFYU7Ai4TNsiiqIFujWFMeTyaxoKVQ+kFQxwns5BPkeMTwHkOpa&#10;S3VJcmuVSwNqUEYkUIqN9pEv8m3rWsl0U9dRJWZKDqYpn2gCe92fxeJMzDdB+EbL/RXEc67whJMV&#10;2qHpAepSJMG2Qf8FZbUMFKlOR5JsMRDJioDFdPJEm1UjvMpcIHX0B9Hj/4OVH+5uA9NVyY8hiRMW&#10;L/7w4/vDz18P998YfBCo9XGOvJVHZureUoexGf0Rzp53Vwfb/4IRQxxYu4O8qktMwjmbzabTU84k&#10;QifTk9mbjF48FvsQ0ztFlvVGyQNeL4sq7q5jwkWQOqb0vRxdaWPyCxrHWjQ4OZ3kgkMEFcahsKcw&#10;XLW3Urfu9rzWVO1AK9AwGdHLK43m1yKmWxEwCmCCZUk3OGpDaEJ7i7OGwtd/+ft8vBCinLUYrZLH&#10;L1sRFGfmvcPbATKNRhiN9Wi4rb0gTOsUa+hlNlEQkhnNOpD9jB1a9l0QEk6iV8nTaF6kYcCxg1It&#10;lzlp64PeNEMBJs+LdO1WXvZtBimX20S1zir3Eg267JXD7GXx93vSD/ef3znr8b9h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nxlzg1gAAAAcBAAAPAAAAAAAAAAEAIAAAACIAAABkcnMvZG93bnJl&#10;di54bWxQSwECFAAUAAAACACHTuJAwqecNTgCAABjBAAADgAAAAAAAAABACAAAAAlAQAAZHJzL2Uy&#10;b0RvYy54bWxQSwUGAAAAAAYABgBZAQAAzwUAAAAA&#10;">
              <v:fill on="f" focussize="0,0"/>
              <v:stroke on="f" weight="0.5pt"/>
              <v:imagedata o:title=""/>
              <o:lock v:ext="edit" aspectratio="f"/>
              <v:textbox inset="0mm,0mm,0mm,0mm">
                <w:txbxContent>
                  <w:p w14:paraId="6F701DCE">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49CF3E80">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60288;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PKx5m09AgAAbwQAAA4AAABkcnMvZTJvRG9jLnhtbK1US27b&#10;MBDdF+gdCO4bKXESBIblwE2QooDRBEiLrmmKsgjwV5K2lB6gvUFX3WTfc/kcfaQsp0i7yKIbasj5&#10;vjczml32WpGt8EFaU9Hjo5ISYbitpVlX9NPHmzcXlITITM2UNaKiDyLQy/nrV7POTcWJba2qhScI&#10;YsK0cxVtY3TTogi8FZqFI+uEgbKxXrOIq18XtWcdomtVnJTledFZXztvuQgBr9eDku4j+pcEtE0j&#10;ubi2fKOFiUNULxSLgBRa6QKd52qbRvB42zRBRKIqCqQxn0gCeZXOYj5j07VnrpV8XwJ7SQnPMGkm&#10;DZIeQl2zyMjGy79Cacm9DbaJR9zqYgCSGQGK4/IZN/ctcyJjAdXBHUgP/y8s/7C980TWFZ1QYphG&#10;w3c/vu9+/to9fiOTRE/nwhRW9w52sX9rewzN+B7wmFD3jdfpCzwEepD7cCBX9JFwPJ6fluUFNByq&#10;k/Oz00kmv3hydj7Ed8JqkoSKevQuU8q2yxBRCExHk5TL2BupVO6fMqRDgslZmR0OGngok2xFnoR9&#10;mARoKDxJsV/1e5QrWz8ApLfDlATHbyRKWbIQ75jHWKB6LE68xdEoi5R2L1HSWv/1X+/JHt2ClpIO&#10;Y1bR8GXDvKBEvTfoI0LGUfCjsBoFs9FXFpN7jJV0PItw8FGNYuOt/ox9WqQsUDHDkauicRSv4jDs&#10;2EcuFotstHFertvBAVPoWFyae8dTmoHYxSbaRmbOE0UDL2hAumAOcyv2O5MG/c97tnr6T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jZDWAAAACAEAAA8AAAAAAAAAAQAgAAAAIgAAAGRycy9k&#10;b3ducmV2LnhtbFBLAQIUABQAAAAIAIdO4kDyseZtPQIAAG8EAAAOAAAAAAAAAAEAIAAAACUBAABk&#10;cnMvZTJvRG9jLnhtbFBLBQYAAAAABgAGAFkBAADUBQAAAAA=&#10;">
              <v:fill on="f" focussize="0,0"/>
              <v:stroke on="f" weight="0.5pt"/>
              <v:imagedata o:title=""/>
              <o:lock v:ext="edit" aspectratio="f"/>
              <v:textbox inset="0mm,0mm,0mm,0mm">
                <w:txbxContent>
                  <w:p w14:paraId="49CF3E80">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42621B69">
    <w:pPr>
      <w:pStyle w:val="7"/>
      <w:wordWrap w:val="0"/>
      <w:jc w:val="right"/>
      <w:rPr>
        <w:rFonts w:hint="default" w:ascii="宋体" w:hAnsi="宋体" w:eastAsia="宋体"/>
        <w:sz w:val="28"/>
        <w:szCs w:val="28"/>
        <w:lang w:val="en-US"/>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8255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pt;margin-top:0.65pt;height:0.15pt;width:442.25pt;z-index:251661312;mso-width-relative:page;mso-height-relative:page;" filled="f" stroked="t" coordsize="21600,21600" o:gfxdata="UEsDBAoAAAAAAIdO4kAAAAAAAAAAAAAAAAAEAAAAZHJzL1BLAwQUAAAACACHTuJAMhxH/9IAAAAG&#10;AQAADwAAAGRycy9kb3ducmV2LnhtbE2OO0/DMBSFdyT+g3WR2KjzQIWGOJWIxAQMtLC7sRtHta8t&#10;203Kv+cywXgeOudrtxdn2axjmjwKKFcFMI2DVxOOAj73L3ePwFKWqKT1qAV86wTb7vqqlY3yC37o&#10;eZdHRiOYGinA5BwaztNgtJNp5YNGyo4+OplJxpGrKBcad5ZXRbHmTk5ID0YG3Rs9nHZnJ6B/DVVv&#10;3vdLrJ7T2zjXNhxPX0Lc3pTFE7CsL/mvDL/4hA4dMR38GVViVkBd31OT/BoYxZvyYQPsQHoNvGv5&#10;f/zuB1BLAwQUAAAACACHTuJAWOFj8uoBAAC1AwAADgAAAGRycy9lMm9Eb2MueG1srVPNjtMwEL4j&#10;8Q6W7zRppba7UdM9bLVcEKwEPMDUcRJL/pPH27QvwQsgcYMTR+68DctjMHZCF5bLHsjBGc/P5/k+&#10;jzdXR6PZQQZUztZ8Pis5k1a4Rtmu5u/f3by44Awj2Aa0s7LmJ4n8avv82WbwlVy43ulGBkYgFqvB&#10;17yP0VdFgaKXBnDmvLQUbF0wEGkbuqIJMBC60cWiLFfF4ELjgxMSkby7McgnxPAUQNe2SsidE3dG&#10;2jiiBqkhEiXslUe+zd22rRTxTduijEzXnJjGvNIhZO/TWmw3UHUBfK/E1AI8pYVHnAwoS4eeoXYQ&#10;gd0F9Q+UUSI4dG2cCWeKkUhWhFjMy0favO3By8yFpEZ/Fh3/H6x4fbgNTDU1X3NmwdCF33/89uPD&#10;55/fP9F6//ULWyeRBo8V5V7b2zDt0N+GxPjYBpP+xIUds7Cns7DyGJkg53I1Xy3XS84ExeaX5TJB&#10;Fg+1PmB8KZ1hyai5VjbRhgoOrzCOqb9Tktu6G6U1+aHSlg01X9CX0IHmsaU5INN44oS24wx0R4Mu&#10;YsiQ6LRqUnmqxtDtr3VgB0jjUS7nl4ups7/S0tk7wH7My6GUBpVRkd6CVqbmF2X6pmptiV6SbBQp&#10;WXvXnLJ22U+3mQWYJi+Ny5/7XP3w2r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cR//SAAAA&#10;BgEAAA8AAAAAAAAAAQAgAAAAIgAAAGRycy9kb3ducmV2LnhtbFBLAQIUABQAAAAIAIdO4kBY4WPy&#10;6gEAALUDAAAOAAAAAAAAAAEAIAAAACE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6F9E">
    <w:pPr>
      <w:pStyle w:val="7"/>
      <w:ind w:firstLine="140" w:firstLineChars="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D167">
    <w:pPr>
      <w:pStyle w:val="8"/>
      <w:ind w:left="7296" w:leftChars="2280" w:firstLine="3600" w:firstLineChars="2000"/>
      <w:rPr>
        <w:rFonts w:hint="eastAsia" w:eastAsia="仿宋"/>
        <w:sz w:val="32"/>
        <w:szCs w:val="4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-86995</wp:posOffset>
              </wp:positionV>
              <wp:extent cx="746760" cy="21971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46760" cy="219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34A69">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85pt;height:17.3pt;width:58.8pt;mso-position-horizontal:outside;mso-position-horizontal-relative:margin;z-index:251669504;mso-width-relative:page;mso-height-relative:page;" filled="f" stroked="f" coordsize="21600,21600" o:gfxdata="UEsDBAoAAAAAAIdO4kAAAAAAAAAAAAAAAAAEAAAAZHJzL1BLAwQUAAAACACHTuJA/83/sdYAAAAH&#10;AQAADwAAAGRycy9kb3ducmV2LnhtbE2Py07DMBRE90j8g3WR2LW2i9RCiNMFjx2PUloJdk5skgj7&#10;OrJv0vL3uCtYjmY0c6ZcH71jk42pD6hAzgUwi00wPbYKdu+Ps2tgiTQa7QJaBT82wbo6Pyt1YcIB&#10;3+y0pZblEkyFVtARDQXnqems12keBovZ+wrRa8oyttxEfcjl3vGFEEvudY95odODvets870dvQL3&#10;keJTLehzum+fafPKx/2DfFHq8kKKW2Bkj/QXhhN+RocqM9VhRJOYU5CPkIKZvFoBO9lytQRWK1iI&#10;G+BVyf/zV79QSwMEFAAAAAgAh07iQHw9hQo3AgAAYwQAAA4AAABkcnMvZTJvRG9jLnhtbK1UzW4T&#10;MRC+I/EOlu90kwIJRN1UoVURUkUrBcTZ8XqzlmyPsZ3ulgeAN+DEhTvP1efgW282RYVDD1yc2fn/&#10;vpnJyWlnDbtRIWpyJZ8eTThTTlKl3bbkHz9cPHvFWUzCVcKQUyW/VZGfLp8+OWn9Qh1TQ6ZSgSGJ&#10;i4vWl7xJyS+KIspGWRGPyCsHY03BioTPsC2qIFpkt6Y4nkxmRUuh8oGkihHa88HI9xnDYxJSXWup&#10;zknurHJpyBqUEQmQYqN95MvcbV0rma7qOqrETMmBNOUXRSBv+rdYnojFNgjfaLlvQTymhQeYrNAO&#10;RQ+pzkUSbBf0X6msloEi1elIki0GIJkRoJhOHnCzboRXGQuojv5Aevx/aeX7m+vAdIVNmHPmhMXE&#10;775/u/vx6+7nVwYdCGp9XMBv7eGZujfUwXnURyh73F0dbP8LRAx20Ht7oFd1iUko5y9m8xksEqbj&#10;6ev5NNNf3Af7ENNbRZb1QskDppdJFTeXMaERuI4ufS1HF9qYPEHjWFvy2fOXkxxwsCDCOAT2EIZW&#10;eyl1m26Pa0PVLWAFGjYjenmhUfxSxHQtAlYB/eJY0hWe2hCK0F7irKHw5V/63h8TgpWzFqtV8vh5&#10;J4LizLxzmB1SplEIo7AZBbezZ4RtneIMvcwiAkIyo1gHsp9wQ6u+CkzCSdQqeRrFszQsOG5QqtUq&#10;O+180NtmCMDmeZEu3drLvsxA5WqXqNaZ5Z6igZc9c9i9TP7+Tvrl/vM7e93/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N/7HWAAAABwEAAA8AAAAAAAAAAQAgAAAAIgAAAGRycy9kb3ducmV2&#10;LnhtbFBLAQIUABQAAAAIAIdO4kB8PYUKNwIAAGMEAAAOAAAAAAAAAAEAIAAAACUBAABkcnMvZTJv&#10;RG9jLnhtbFBLBQYAAAAABgAGAFkBAADOBQAAAAA=&#10;">
              <v:fill on="f" focussize="0,0"/>
              <v:stroke on="f" weight="0.5pt"/>
              <v:imagedata o:title=""/>
              <o:lock v:ext="edit" aspectratio="f"/>
              <v:textbox inset="0mm,0mm,0mm,0mm">
                <w:txbxContent>
                  <w:p w14:paraId="48E34A69">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25888D77">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66432;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JzUKh07AgAAcQQAAA4AAABkcnMvZTJvRG9jLnhtbK1Uy24T&#10;MRTdI/EPlvd0Jn2pijKpQqsipIhWKoi14/FkLPmF7WSmfAD8ASs23fNd+Q6OPZkUFRZdsPFc3/c5&#10;93pml71WZCt8kNZUdHJUUiIMt7U064p++njz5oKSEJmpmbJGVPRBBHo5f/1q1rmpOLatVbXwBElM&#10;mHauom2MbloUgbdCs3BknTAwNtZrFnH166L2rEN2rYrjsjwvOutr5y0XIUB7PRjpPqN/SULbNJKL&#10;a8s3Wpg4ZPVCsQhIoZUu0HnutmkEj7dNE0QkqqJAGvOJIpBX6SzmMzZde+ZayfctsJe08AyTZtKg&#10;6CHVNYuMbLz8K5WW3Ntgm3jErS4GIJkRoJiUz7i5b5kTGQuoDu5Aevh/afmH7Z0nssYmYO6GaUx8&#10;9+P77uev3eM3Ah0I6lyYwu/ewTP2b20P51EfoEy4+8br9AUiAjvofTjQK/pIOJTnp2V5AQuH6fj8&#10;7PQk0188BTsf4jthNUlCRT2ml0ll22WIaASuo0uqZeyNVCpPUBnSocDJWZkDDhZEKJN8Rd6FfZoE&#10;aGg8SbFf9XuUK1s/AKS3w54Ex28kWlmyEO+Yx2KgezydeIujURYl7V6ipLX+67/0yR/zgpWSDotW&#10;0fBlw7ygRL03mCRSxlHwo7AaBbPRVxa7O8GjdDyLCPBRjWLjrf6MF7VIVWBihqNWReMoXsVh3fEi&#10;uVgsstPGebluhwDsoWNxae4dT2UGYhebaBuZOU8UDbxgAOmCTcyj2L+atOp/3rPX05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Sfo2Q1gAAAAgBAAAPAAAAAAAAAAEAIAAAACIAAABkcnMvZG93&#10;bnJldi54bWxQSwECFAAUAAAACACHTuJAnNQqHTsCAABxBAAADgAAAAAAAAABACAAAAAlAQAAZHJz&#10;L2Uyb0RvYy54bWxQSwUGAAAAAAYABgBZAQAA0gUAAAAA&#10;">
              <v:fill on="f" focussize="0,0"/>
              <v:stroke on="f" weight="0.5pt"/>
              <v:imagedata o:title=""/>
              <o:lock v:ext="edit" aspectratio="f"/>
              <v:textbox inset="0mm,0mm,0mm,0mm">
                <w:txbxContent>
                  <w:p w14:paraId="25888D77">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1E4952E3">
    <w:pPr>
      <w:pStyle w:val="7"/>
      <w:wordWrap w:val="0"/>
      <w:jc w:val="right"/>
      <w:rPr>
        <w:rFonts w:hint="default" w:ascii="宋体" w:hAnsi="宋体" w:eastAsia="宋体"/>
        <w:sz w:val="28"/>
        <w:szCs w:val="28"/>
        <w:lang w:val="en-US"/>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212090</wp:posOffset>
              </wp:positionH>
              <wp:positionV relativeFrom="paragraph">
                <wp:posOffset>8255</wp:posOffset>
              </wp:positionV>
              <wp:extent cx="5616575" cy="1905"/>
              <wp:effectExtent l="0" t="10795" r="3175" b="15875"/>
              <wp:wrapNone/>
              <wp:docPr id="19" name="直接连接符 1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pt;margin-top:0.65pt;height:0.15pt;width:442.25pt;z-index:251667456;mso-width-relative:page;mso-height-relative:page;" filled="f" stroked="t" coordsize="21600,21600" o:gfxdata="UEsDBAoAAAAAAIdO4kAAAAAAAAAAAAAAAAAEAAAAZHJzL1BLAwQUAAAACACHTuJAMhxH/9IAAAAG&#10;AQAADwAAAGRycy9kb3ducmV2LnhtbE2OO0/DMBSFdyT+g3WR2KjzQIWGOJWIxAQMtLC7sRtHta8t&#10;203Kv+cywXgeOudrtxdn2axjmjwKKFcFMI2DVxOOAj73L3ePwFKWqKT1qAV86wTb7vqqlY3yC37o&#10;eZdHRiOYGinA5BwaztNgtJNp5YNGyo4+OplJxpGrKBcad5ZXRbHmTk5ID0YG3Rs9nHZnJ6B/DVVv&#10;3vdLrJ7T2zjXNhxPX0Lc3pTFE7CsL/mvDL/4hA4dMR38GVViVkBd31OT/BoYxZvyYQPsQHoNvGv5&#10;f/zuB1BLAwQUAAAACACHTuJAPjS4NeoBAAC3AwAADgAAAGRycy9lMm9Eb2MueG1srVPNjtMwEL4j&#10;8Q6W7zRppZbdqOketlouCCoBDzB1nMSS/+TxNu1L8AJI3ODEkTtvw+5jMHZCF5bLHsjBGc/P5/k+&#10;j9dXR6PZQQZUztZ8Pis5k1a4Rtmu5h/e37y44Awj2Aa0s7LmJ4n8avP82XrwlVy43ulGBkYgFqvB&#10;17yP0VdFgaKXBnDmvLQUbF0wEGkbuqIJMBC60cWiLFfF4ELjgxMSkbzbMcgnxPAUQNe2SsitE7dG&#10;2jiiBqkhEiXslUe+yd22rRTxbduijEzXnJjGvNIhZO/TWmzWUHUBfK/E1AI8pYVHnAwoS4eeobYQ&#10;gd0G9Q+UUSI4dG2cCWeKkUhWhFjMy0favOvBy8yFpEZ/Fh3/H6x4c9gFphqahEvOLBi68btP339+&#10;/HL/4zOtd9++MoqQTIPHirKv7S5MO/S7kDgf22DSn9iwY5b2dJZWHiMT5Fyu5qvlyyVngmLzy3KZ&#10;IIuHWh8wvpLOsGTUXCubiEMFh9cYx9TfKclt3Y3SmvxQacuGmi/oS+hAE9nSJJBpPLFC23EGuqNR&#10;FzFkSHRaNak8VWPo9tc6sAOkASmX88vF1NlfaensLWA/5uVQSoPKqEivQStT84syfVO1tkQvSTaK&#10;lKy9a05Zu+yn+8wCTLOXBubPfa5+eG+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IcR//SAAAA&#10;BgEAAA8AAAAAAAAAAQAgAAAAIgAAAGRycy9kb3ducmV2LnhtbFBLAQIUABQAAAAIAIdO4kA+NLg1&#10;6gEAALcDAAAOAAAAAAAAAAEAIAAAACE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9E72">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-86995</wp:posOffset>
              </wp:positionV>
              <wp:extent cx="723265" cy="2120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23265" cy="212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FBE98">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85pt;height:16.7pt;width:56.95pt;mso-position-horizontal:outside;mso-position-horizontal-relative:margin;z-index:251665408;mso-width-relative:page;mso-height-relative:page;" filled="f" stroked="f" coordsize="21600,21600" o:gfxdata="UEsDBAoAAAAAAIdO4kAAAAAAAAAAAAAAAAAEAAAAZHJzL1BLAwQUAAAACACHTuJABtCgsNYAAAAH&#10;AQAADwAAAGRycy9kb3ducmV2LnhtbE2PS0/DMBCE70j8B2uRuLW2qURpiNMDjxuPUqhUbk68JBF+&#10;RPYmLf8e9wS3Hc1o5ttyfXSWTRhTH7wCORfA0DfB9L5V8PH+OLsBlkh7o23wqOAHE6yr87NSFyYc&#10;/BtOW2pZLvGp0Ao6oqHgPDUdOp3mYUCfva8QnaYsY8tN1Idc7iy/EuKaO937vNDpAe86bL63o1Ng&#10;9yk+1YI+p/v2mTavfNw9yBelLi+kuAVGeKS/MJzwMzpUmakOozeJWQX5EVIwk4slsJMtFytgdT5W&#10;S+BVyf/zV79QSwMEFAAAAAgAh07iQCKxOy03AgAAYwQAAA4AAABkcnMvZTJvRG9jLnhtbK1Uy24T&#10;MRTdI/EPlvdkklQNEGVShVZFSBWtFBBrx+PJWPIL28lM+QD4A1Zs2PNd+Q6OPZkUFRZdsHHu3Pc5&#10;994sLjqtyF74IK0p6WQ0pkQYbitptiX9+OH6xStKQmSmYsoaUdJ7EejF8vmzRevmYmobqyrhCZKY&#10;MG9dSZsY3bwoAm+EZmFknTAw1tZrFvHpt0XlWYvsWhXT8XhWtNZXzlsuQoD2qjfSY0b/lIS2riUX&#10;V5bvtDCxz+qFYhGQQiNdoMvcbV0LHm/rOohIVEmBNOYXRSBv0lssF2y+9cw1kh9bYE9p4REmzaRB&#10;0VOqKxYZ2Xn5VyotubfB1nHErS56IJkRoJiMH3GzbpgTGQuoDu5Eevh/afn7/Z0nssImzCgxTGPi&#10;h+/fDj9+HX5+JdCBoNaFOfzWDp6xe2M7OA/6AGXC3dVep18gIrCD3vsTvaKLhEP5cno2nZ1TwmGa&#10;Tqbj15n+4iHY+RDfCqtJEkrqMb1MKtvfhIhG4Dq4pFrGXkul8gSVIW1JZ2fn4xxwsiBCGQQmCH2r&#10;SYrdpjvi2tjqHrC87TcjOH4tUfyGhXjHPFYBSHAs8RZPrSyK2KNESWP9l3/pkz8mBCslLVarpOHz&#10;jnlBiXpnMLu0h4PgB2EzCGanLy22dYIzdDyLCPBRDWLtrf6EG1qlKjAxw1GrpHEQL2O/4LhBLlar&#10;7LRzXm6bPgCb51i8MWvHU5meytUu2lpmlhNFPS9H5rB7mfzjnaTl/vM7ez38N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bQoLDWAAAABwEAAA8AAAAAAAAAAQAgAAAAIgAAAGRycy9kb3ducmV2&#10;LnhtbFBLAQIUABQAAAAIAIdO4kAisTstNwIAAGMEAAAOAAAAAAAAAAEAIAAAACUBAABkcnMvZTJv&#10;RG9jLnhtbFBLBQYAAAAABgAGAFkBAADOBQAAAAA=&#10;">
              <v:fill on="f" focussize="0,0"/>
              <v:stroke on="f" weight="0.5pt"/>
              <v:imagedata o:title=""/>
              <o:lock v:ext="edit" aspectratio="f"/>
              <v:textbox inset="0mm,0mm,0mm,0mm">
                <w:txbxContent>
                  <w:p w14:paraId="392FBE98">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226695</wp:posOffset>
              </wp:positionH>
              <wp:positionV relativeFrom="paragraph">
                <wp:posOffset>175260</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85pt;margin-top:13.8pt;height:0.15pt;width:442.25pt;z-index:251664384;mso-width-relative:page;mso-height-relative:page;" filled="f" stroked="t" coordsize="21600,21600" o:gfxdata="UEsDBAoAAAAAAIdO4kAAAAAAAAAAAAAAAAAEAAAAZHJzL1BLAwQUAAAACACHTuJAb7h1RtUAAAAI&#10;AQAADwAAAGRycy9kb3ducmV2LnhtbE2PzU7DMBCE70h9B2srcaN2XdHSEKcSkTgBB1q4u/E2juo/&#10;2W5S3h73BMfZGc18W++u1pARYxq8E7BcMCDoOq8G1wv4Orw+PAFJWToljXco4AcT7JrZXS0r5Sf3&#10;ieM+96SUuFRJATrnUFGaOo1WpoUP6Ip38tHKXGTsqYpyKuXWUM7Ymlo5uLKgZcBWY3feX6yA9i3w&#10;Vn8cpshf0ns/rkw4nb+FuJ8v2TOQjNf8F4YbfkGHpjAd/cWpRIyA1eOmJAXwzRpI8beccSDH22EL&#10;tKnp/weaX1BLAwQUAAAACACHTuJArTbIruoBAAC3AwAADgAAAGRycy9lMm9Eb2MueG1srVPNjtMw&#10;EL4j8Q6W7zRpUctu1HQPWy0XBJWAB5g6TmLJf/J4m/YleAEkbnDiyJ23YXkMxk7ownLZAzk44/n5&#10;PN/n8frqaDQ7yIDK2ZrPZyVn0grXKNvV/P27m2cXnGEE24B2Vtb8JJFfbZ4+WQ++kgvXO93IwAjE&#10;YjX4mvcx+qooUPTSAM6cl5aCrQsGIm1DVzQBBkI3uliU5aoYXGh8cEIiknc7BvmEGB4D6NpWCbl1&#10;4tZIG0fUIDVEooS98sg3udu2lSK+aVuUkemaE9OYVzqE7H1ai80aqi6A75WYWoDHtPCAkwFl6dAz&#10;1BYisNug/oEySgSHro0z4UwxEsmKEIt5+UCbtz14mbmQ1OjPouP/gxWvD7vAVEOT8JwzC4Zu/O7j&#10;tx8fPv/8/onWu69fGEVIpsFjRdnXdhemHfpdSJyPbTDpT2zYMUt7Oksrj5EJci5X89XyxZIzQbH5&#10;ZblMkMV9rQ8YX0pnWDJqrpVNxKGCwyuMY+rvlOS27kZpTX6otGVDzRf0JXSgiWxpEsg0nlih7TgD&#10;3dGoixgyJDqtmlSeqjF0+2sd2AHSgJTL+eVi6uyvtHT2FrAf83IopUFlVKTXoJWp+UWZvqlaW6KX&#10;JBtFStbeNaesXfbTfWYBptlLA/PnPlffv7f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4dUbV&#10;AAAACAEAAA8AAAAAAAAAAQAgAAAAIgAAAGRycy9kb3ducmV2LnhtbFBLAQIUABQAAAAIAIdO4kCt&#10;Nsiu6gEAALcDAAAOAAAAAAAAAAEAIAAAACQ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14:paraId="5E80C79C">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63360;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BUredA8AgAAcQQAAA4AAABkcnMvZTJvRG9jLnhtbK1Uy24T&#10;MRTdI/EPlvdkpulDVdRJFVoVIUW0UkGsHY8nY8kvbCcz4QPgD1ix6Z7v6ndw7MmkqLDogo3n+r7P&#10;uddzcdlrRbbCB2lNRY8mJSXCcFtLs67op483b84pCZGZmilrREV3ItDL+etXF52bialtraqFJ0hi&#10;wqxzFW1jdLOiCLwVmoWJdcLA2FivWcTVr4vasw7ZtSqmZXlWdNbXzlsuQoD2ejDSfUb/koS2aSQX&#10;15ZvtDBxyOqFYhGQQitdoPPcbdMIHm+bJohIVEWBNOYTRSCv0lnML9hs7ZlrJd+3wF7SwjNMmkmD&#10;oodU1ywysvHyr1Racm+DbeKEW10MQDIjQHFUPuPmvmVOZCygOrgD6eH/peUftneeyBqbMKXEMI2J&#10;P/74/vjz1+PDNwIdCOpcmMHv3sEz9m9tD+dRH6BMuPvG6/QFIgI76N0d6BV9JBzKs5OyPIeFwzQ9&#10;Oz05zvQXT8HOh/hOWE2SUFGP6WVS2XYZIhqB6+iSahl7I5XKE1SGdChwfFrmgIMFEcokX5F3YZ8m&#10;ARoaT1LsV/0e5crWO4D0dtiT4PiNRCtLFuId81gMdI+nE29xNMqipN1LlLTWf/2XPvljXrBS0mHR&#10;Khq+bJgXlKj3BpNEyjgKfhRWo2A2+spid4/wKB3PIgJ8VKPYeKs/40UtUhWYmOGoVdE4ildxWHe8&#10;SC4Wi+y0cV6u2yEAe+hYXJp7x1OZgdjFJtpGZs4TRQMvGEC6YBPzKPavJq36n/fs9fSn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BUredA8AgAAcQQAAA4AAAAAAAAAAQAgAAAAJQEAAGRy&#10;cy9lMm9Eb2MueG1sUEsFBgAAAAAGAAYAWQEAANMFAAAAAA==&#10;">
              <v:fill on="f" focussize="0,0"/>
              <v:stroke on="f" weight="0.5pt"/>
              <v:imagedata o:title=""/>
              <o:lock v:ext="edit" aspectratio="f"/>
              <v:textbox inset="0mm,0mm,0mm,0mm">
                <w:txbxContent>
                  <w:p w14:paraId="5E80C79C">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14:paraId="574020AE">
    <w:pPr>
      <w:pStyle w:val="7"/>
    </w:pP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91D9">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宋体" w:hAnsi="宋体" w:cs="宋体"/>
        <w:b/>
        <w:bCs/>
        <w:color w:val="005192"/>
        <w:sz w:val="32"/>
        <w:szCs w:val="32"/>
        <w:lang w:eastAsia="zh-CN"/>
      </w:rPr>
      <w:tab/>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73A8BA04">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7E7CE136">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14:paraId="6A693108">
    <w:pPr>
      <w:pStyle w:val="8"/>
    </w:pPr>
  </w:p>
  <w:p w14:paraId="4D31AD7C">
    <w:pPr>
      <w:pStyle w:val="8"/>
      <w:keepNext w:val="0"/>
      <w:keepLines w:val="0"/>
      <w:pageBreakBefore w:val="0"/>
      <w:widowControl w:val="0"/>
      <w:tabs>
        <w:tab w:val="left" w:pos="2814"/>
        <w:tab w:val="clear" w:pos="4153"/>
      </w:tabs>
      <w:kinsoku/>
      <w:wordWrap/>
      <w:overflowPunct/>
      <w:topLinePunct w:val="0"/>
      <w:autoSpaceDE/>
      <w:autoSpaceDN/>
      <w:bidi w:val="0"/>
      <w:adjustRightInd/>
      <w:snapToGrid w:val="0"/>
      <w:textAlignment w:val="center"/>
      <w:rPr>
        <w:rFonts w:hint="eastAsia" w:ascii="宋体" w:hAnsi="宋体" w:eastAsia="方正仿宋_GBK" w:cs="宋体"/>
        <w:b/>
        <w:bCs/>
        <w:color w:val="005192"/>
        <w:sz w:val="32"/>
        <w:szCs w:val="32"/>
        <w:lang w:eastAsia="zh-CN"/>
      </w:rPr>
    </w:pPr>
  </w:p>
  <w:p w14:paraId="4179E9F3">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B27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宋体" w:hAnsi="宋体" w:cs="宋体"/>
        <w:b/>
        <w:bCs/>
        <w:color w:val="005192"/>
        <w:sz w:val="32"/>
        <w:szCs w:val="32"/>
        <w:lang w:eastAsia="zh-CN"/>
      </w:rPr>
      <w:tab/>
    </w:r>
  </w:p>
  <w:p w14:paraId="06A837B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45B24942">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33020</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5pt;margin-top:2.6pt;height:0pt;width:442.55pt;z-index:251662336;mso-width-relative:page;mso-height-relative:page;" filled="f" stroked="t" coordsize="21600,21600" o:gfxdata="UEsDBAoAAAAAAIdO4kAAAAAAAAAAAAAAAAAEAAAAZHJzL1BLAwQUAAAACACHTuJAsugHQNMAAAAG&#10;AQAADwAAAGRycy9kb3ducmV2LnhtbE2PzU7DMBCE70i8g7VI3FqnqQptGqcSkTgBB1q4u/E2juo/&#10;2W5S3p6FCxxHM5r5pt5drWEjxjR4J2AxL4Ch67waXC/g4/A8WwNLWToljXco4AsT7Jrbm1pWyk/u&#10;Hcd97hmVuFRJATrnUHGeOo1WprkP6Mg7+WhlJhl7rqKcqNwaXhbFA7dycLSgZcBWY3feX6yA9iWU&#10;rX47TLF8Sq/9uDThdP4U4v5uUWyBZbzmvzD84BM6NMR09BenEjMCZpslJQWsSmBkrx9X9OT4q3lT&#10;8//4zTdQSwMEFAAAAAgAh07iQEFN7dbzAQAAvQMAAA4AAABkcnMvZTJvRG9jLnhtbK1TS44TMRDd&#10;I3EHy3vSncwkJK10ZjHRsEEQCTiA47a7LfknlyedXIILILGDFUv23GaGY1B293wYNrOgF+6yq/zK&#10;7/l5fXE0mhxEAOVsTaeTkhJhuWuUbWv66ePVqyUlEJltmHZW1PQkgF5sXr5Y974SM9c53YhAEMRC&#10;1fuadjH6qiiAd8IwmDgvLCalC4ZFnIa2aALrEd3oYlaWi6J3ofHBcQGAq9shSUfE8BxAJ6XiYuv4&#10;tRE2DqhBaBaREnTKA93k00opeHwvJYhIdE2RacwjNsF4n8Zis2ZVG5jvFB+PwJ5zhCecDFMWm95D&#10;bVlk5Dqof6CM4sGBk3HCnSkGIlkRZDEtn2jzoWNeZC4oNfh70eH/wfJ3h10gqqnpihLLDF747Zef&#10;N5+//f71FcfbH9/JKonUe6iw9tLuwjgDvwuJ8VEGk/7IhRxrej49O1vOUd5TTZeL8+XrUWNxjIRj&#10;fr6YlVhACceCnCseMHyA+EY4Q1JQU61sos8qdngLEfti6V1JWrbuSmmdr1Bb0td0hl+CZuhLiX7A&#10;0HjkBralhOkWDc9jyJDgtGrS9gQEod1f6kAOLNmknE9Xs0Qa2/1VlnpvGXRDXU4NBjIq4pvQyiDn&#10;Mn3jbm0RJEk3iJWivWtOWcO8jrea24wOTLZ5PM+7H17d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6AdA0wAAAAYBAAAPAAAAAAAAAAEAIAAAACIAAABkcnMvZG93bnJldi54bWxQSwECFAAUAAAA&#10;CACHTuJAQU3t1vMBAAC9AwAADgAAAAAAAAABACAAAAAiAQAAZHJzL2Uyb0RvYy54bWxQSwUGAAAA&#10;AAYABgBZAQAAhwUAAAAA&#10;">
              <v:fill on="f" focussize="0,0"/>
              <v:stroke weight="1.75pt" color="#005192 [3204]" miterlimit="8" joinstyle="miter"/>
              <v:imagedata o:title=""/>
              <o:lock v:ext="edit" aspectratio="f"/>
            </v:line>
          </w:pict>
        </mc:Fallback>
      </mc:AlternateContent>
    </w:r>
  </w:p>
  <w:p w14:paraId="11E61D4F">
    <w:pPr>
      <w:pStyle w:val="8"/>
    </w:pPr>
  </w:p>
  <w:p w14:paraId="46D4C91C">
    <w:pPr>
      <w:pStyle w:val="8"/>
      <w:keepNext w:val="0"/>
      <w:keepLines w:val="0"/>
      <w:pageBreakBefore w:val="0"/>
      <w:widowControl w:val="0"/>
      <w:tabs>
        <w:tab w:val="left" w:pos="2814"/>
        <w:tab w:val="clear" w:pos="4153"/>
      </w:tabs>
      <w:kinsoku/>
      <w:wordWrap/>
      <w:overflowPunct/>
      <w:topLinePunct w:val="0"/>
      <w:autoSpaceDE/>
      <w:autoSpaceDN/>
      <w:bidi w:val="0"/>
      <w:adjustRightInd/>
      <w:snapToGrid w:val="0"/>
      <w:textAlignment w:val="center"/>
      <w:rPr>
        <w:rFonts w:hint="eastAsia" w:ascii="宋体" w:hAnsi="宋体" w:eastAsia="方正仿宋_GBK" w:cs="宋体"/>
        <w:b/>
        <w:bCs/>
        <w:color w:val="005192"/>
        <w:sz w:val="32"/>
        <w:szCs w:val="32"/>
        <w:lang w:eastAsia="zh-CN"/>
      </w:rPr>
    </w:pPr>
  </w:p>
  <w:p w14:paraId="4ACC06E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chineseCountingThousand"/>
      <w:suff w:val="nothing"/>
      <w:lvlText w:val="（%3）"/>
      <w:lvlJc w:val="left"/>
      <w:pPr>
        <w:ind w:left="1560" w:firstLine="0"/>
      </w:pPr>
      <w:rPr>
        <w:rFonts w:hint="eastAsia"/>
        <w:lang w:val="en-US"/>
      </w:rPr>
    </w:lvl>
    <w:lvl w:ilvl="3" w:tentative="0">
      <w:start w:val="1"/>
      <w:numFmt w:val="decimal"/>
      <w:pStyle w:val="2"/>
      <w:suff w:val="nothing"/>
      <w:lvlText w:val="%4."/>
      <w:lvlJc w:val="left"/>
      <w:pPr>
        <w:ind w:left="980"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21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006A3822"/>
    <w:rsid w:val="00155351"/>
    <w:rsid w:val="002D0BC2"/>
    <w:rsid w:val="003D0385"/>
    <w:rsid w:val="0060569A"/>
    <w:rsid w:val="006A3822"/>
    <w:rsid w:val="006C1D06"/>
    <w:rsid w:val="0092613A"/>
    <w:rsid w:val="00966E3D"/>
    <w:rsid w:val="00AE2F18"/>
    <w:rsid w:val="00D06938"/>
    <w:rsid w:val="032B3275"/>
    <w:rsid w:val="033D6CA8"/>
    <w:rsid w:val="04136F93"/>
    <w:rsid w:val="058B6C02"/>
    <w:rsid w:val="05922FA0"/>
    <w:rsid w:val="062F24D4"/>
    <w:rsid w:val="06DD249D"/>
    <w:rsid w:val="0B9D7C0A"/>
    <w:rsid w:val="0D9C6171"/>
    <w:rsid w:val="0E5D689F"/>
    <w:rsid w:val="106438D5"/>
    <w:rsid w:val="10C26DD0"/>
    <w:rsid w:val="11652AA8"/>
    <w:rsid w:val="11AD086B"/>
    <w:rsid w:val="11EE5A02"/>
    <w:rsid w:val="121E3514"/>
    <w:rsid w:val="128E6F6A"/>
    <w:rsid w:val="12DF3F0F"/>
    <w:rsid w:val="161D68B6"/>
    <w:rsid w:val="170F5E19"/>
    <w:rsid w:val="18901A0C"/>
    <w:rsid w:val="18F10AC4"/>
    <w:rsid w:val="1904491A"/>
    <w:rsid w:val="19675AAB"/>
    <w:rsid w:val="19C954A6"/>
    <w:rsid w:val="1B05458E"/>
    <w:rsid w:val="1DB20E39"/>
    <w:rsid w:val="1E4B6A4D"/>
    <w:rsid w:val="1E5131B0"/>
    <w:rsid w:val="1FC65B5C"/>
    <w:rsid w:val="200054D9"/>
    <w:rsid w:val="20446C18"/>
    <w:rsid w:val="206F0CEF"/>
    <w:rsid w:val="21110DC5"/>
    <w:rsid w:val="212C3E51"/>
    <w:rsid w:val="22EE3794"/>
    <w:rsid w:val="23997852"/>
    <w:rsid w:val="24155373"/>
    <w:rsid w:val="24435164"/>
    <w:rsid w:val="24DA4775"/>
    <w:rsid w:val="26A7529C"/>
    <w:rsid w:val="276417C1"/>
    <w:rsid w:val="281629D0"/>
    <w:rsid w:val="289C7B0E"/>
    <w:rsid w:val="290B1041"/>
    <w:rsid w:val="29332221"/>
    <w:rsid w:val="2AAB155D"/>
    <w:rsid w:val="2ADB6987"/>
    <w:rsid w:val="2BF46B24"/>
    <w:rsid w:val="2DA27975"/>
    <w:rsid w:val="2DE664D9"/>
    <w:rsid w:val="2F0D0E1E"/>
    <w:rsid w:val="2F971705"/>
    <w:rsid w:val="31490D57"/>
    <w:rsid w:val="31CF1080"/>
    <w:rsid w:val="32BF35C4"/>
    <w:rsid w:val="33AE48CC"/>
    <w:rsid w:val="34206BBC"/>
    <w:rsid w:val="378325C5"/>
    <w:rsid w:val="37EB016A"/>
    <w:rsid w:val="390766F0"/>
    <w:rsid w:val="39643569"/>
    <w:rsid w:val="3C831A6C"/>
    <w:rsid w:val="3E1E61C3"/>
    <w:rsid w:val="3ED43706"/>
    <w:rsid w:val="42130ABD"/>
    <w:rsid w:val="42445D93"/>
    <w:rsid w:val="42517749"/>
    <w:rsid w:val="43421586"/>
    <w:rsid w:val="43F256BF"/>
    <w:rsid w:val="44144534"/>
    <w:rsid w:val="441647C1"/>
    <w:rsid w:val="446C43E1"/>
    <w:rsid w:val="44A91907"/>
    <w:rsid w:val="47044DA5"/>
    <w:rsid w:val="4A6A13C3"/>
    <w:rsid w:val="4AF62644"/>
    <w:rsid w:val="4B6427DD"/>
    <w:rsid w:val="4D071B3C"/>
    <w:rsid w:val="4D175555"/>
    <w:rsid w:val="4DA66D19"/>
    <w:rsid w:val="53E43F94"/>
    <w:rsid w:val="547527F6"/>
    <w:rsid w:val="55D63DB0"/>
    <w:rsid w:val="567C3911"/>
    <w:rsid w:val="5711203E"/>
    <w:rsid w:val="57630795"/>
    <w:rsid w:val="578B3481"/>
    <w:rsid w:val="59E8696A"/>
    <w:rsid w:val="5A335003"/>
    <w:rsid w:val="5B19079D"/>
    <w:rsid w:val="5B515363"/>
    <w:rsid w:val="5C573027"/>
    <w:rsid w:val="5FED2422"/>
    <w:rsid w:val="601468E1"/>
    <w:rsid w:val="635B76A3"/>
    <w:rsid w:val="639A01CB"/>
    <w:rsid w:val="63EC28D5"/>
    <w:rsid w:val="650B3548"/>
    <w:rsid w:val="65BB4534"/>
    <w:rsid w:val="67C95523"/>
    <w:rsid w:val="67F96F9C"/>
    <w:rsid w:val="68307A45"/>
    <w:rsid w:val="6906215A"/>
    <w:rsid w:val="693906A8"/>
    <w:rsid w:val="6AEB16DA"/>
    <w:rsid w:val="6B355395"/>
    <w:rsid w:val="6C936D5B"/>
    <w:rsid w:val="6CEB3AAF"/>
    <w:rsid w:val="70D171F6"/>
    <w:rsid w:val="715F0CE1"/>
    <w:rsid w:val="71E51E1C"/>
    <w:rsid w:val="72B947BF"/>
    <w:rsid w:val="73FB2AA0"/>
    <w:rsid w:val="76EA1012"/>
    <w:rsid w:val="78CF6F68"/>
    <w:rsid w:val="78F37140"/>
    <w:rsid w:val="7BE75BD0"/>
    <w:rsid w:val="7C683105"/>
    <w:rsid w:val="7C7D7B7D"/>
    <w:rsid w:val="7CEF207F"/>
    <w:rsid w:val="7CF42CB9"/>
    <w:rsid w:val="7DCC76A3"/>
    <w:rsid w:val="7DD40C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rPr>
  </w:style>
  <w:style w:type="paragraph" w:styleId="2">
    <w:name w:val="heading 4"/>
    <w:basedOn w:val="3"/>
    <w:next w:val="1"/>
    <w:qFormat/>
    <w:uiPriority w:val="0"/>
    <w:pPr>
      <w:numPr>
        <w:ilvl w:val="3"/>
        <w:numId w:val="1"/>
      </w:numPr>
      <w:ind w:left="0" w:firstLine="200" w:firstLineChars="200"/>
      <w:outlineLvl w:val="3"/>
    </w:p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macro"/>
    <w:unhideWhenUsed/>
    <w:qFormat/>
    <w:uiPriority w:val="0"/>
    <w:pPr>
      <w:snapToGrid w:val="0"/>
      <w:jc w:val="center"/>
    </w:pPr>
    <w:rPr>
      <w:rFonts w:ascii="Times New Roman" w:hAnsi="Times New Roman" w:eastAsia="仿宋" w:cs="Tahoma"/>
      <w:color w:val="000000"/>
      <w:sz w:val="18"/>
      <w:szCs w:val="18"/>
      <w:lang w:val="en-US" w:eastAsia="zh-CN" w:bidi="ar-SA"/>
    </w:rPr>
  </w:style>
  <w:style w:type="paragraph" w:styleId="5">
    <w:name w:val="Normal Indent"/>
    <w:basedOn w:val="1"/>
    <w:next w:val="1"/>
    <w:qFormat/>
    <w:uiPriority w:val="99"/>
    <w:pPr>
      <w:ind w:firstLine="420" w:firstLineChars="2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99"/>
    <w:pPr>
      <w:spacing w:beforeAutospacing="1" w:afterAutospacing="1"/>
      <w:jc w:val="left"/>
    </w:pPr>
    <w:rPr>
      <w:rFonts w:eastAsia="宋体"/>
      <w:kern w:val="0"/>
      <w:sz w:val="24"/>
      <w:szCs w:val="24"/>
    </w:rPr>
  </w:style>
  <w:style w:type="character" w:styleId="12">
    <w:name w:val="Strong"/>
    <w:basedOn w:val="11"/>
    <w:qFormat/>
    <w:uiPriority w:val="99"/>
    <w:rPr>
      <w:rFonts w:cs="Times New Roman"/>
      <w:b/>
    </w:rPr>
  </w:style>
  <w:style w:type="character" w:styleId="13">
    <w:name w:val="page number"/>
    <w:basedOn w:val="11"/>
    <w:qFormat/>
    <w:uiPriority w:val="0"/>
  </w:style>
  <w:style w:type="paragraph" w:customStyle="1" w:styleId="14">
    <w:name w:val="标注"/>
    <w:basedOn w:val="1"/>
    <w:qFormat/>
    <w:uiPriority w:val="0"/>
    <w:pPr>
      <w:spacing w:beforeLines="100"/>
      <w:jc w:val="center"/>
    </w:pPr>
    <w:rPr>
      <w:rFonts w:ascii="黑体" w:hAnsi="黑体" w:eastAsia="黑体"/>
      <w:szCs w:val="21"/>
    </w:rPr>
  </w:style>
  <w:style w:type="table" w:customStyle="1" w:styleId="15">
    <w:name w:val="Table Normal"/>
    <w:semiHidden/>
    <w:unhideWhenUsed/>
    <w:qFormat/>
    <w:uiPriority w:val="0"/>
    <w:tblPr>
      <w:tblCellMar>
        <w:top w:w="0" w:type="dxa"/>
        <w:left w:w="0" w:type="dxa"/>
        <w:bottom w:w="0" w:type="dxa"/>
        <w:right w:w="0" w:type="dxa"/>
      </w:tblCellMar>
    </w:tblPr>
  </w:style>
  <w:style w:type="character" w:customStyle="1" w:styleId="16">
    <w:name w:val="批注框文本 Char"/>
    <w:basedOn w:val="11"/>
    <w:link w:val="6"/>
    <w:qFormat/>
    <w:uiPriority w:val="0"/>
    <w:rPr>
      <w:rFonts w:ascii="Calibri" w:hAnsi="Calibri"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2202</Words>
  <Characters>2329</Characters>
  <Lines>123</Lines>
  <Paragraphs>34</Paragraphs>
  <TotalTime>7</TotalTime>
  <ScaleCrop>false</ScaleCrop>
  <LinksUpToDate>false</LinksUpToDate>
  <CharactersWithSpaces>2381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柏香树</cp:lastModifiedBy>
  <cp:lastPrinted>2022-06-29T08:29:00Z</cp:lastPrinted>
  <dcterms:modified xsi:type="dcterms:W3CDTF">2024-12-10T06:14:49Z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15B53484A52B4A10BD72ADFCE85B2986</vt:lpwstr>
  </property>
</Properties>
</file>