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N/>
        <w:bidi w:val="0"/>
        <w:snapToGrid/>
        <w:spacing w:after="0" w:line="595" w:lineRule="exact"/>
        <w:ind w:left="0" w:leftChars="0" w:firstLine="0" w:firstLineChars="0"/>
        <w:jc w:val="left"/>
        <w:rPr>
          <w:rFonts w:hint="default"/>
        </w:rPr>
      </w:pPr>
    </w:p>
    <w:p>
      <w:pPr>
        <w:keepNext w:val="0"/>
        <w:keepLines w:val="0"/>
        <w:pageBreakBefore w:val="0"/>
        <w:widowControl w:val="0"/>
        <w:kinsoku/>
        <w:wordWrap/>
        <w:overflowPunct/>
        <w:topLinePunct w:val="0"/>
        <w:autoSpaceDE/>
        <w:autoSpaceDN/>
        <w:bidi w:val="0"/>
        <w:adjustRightInd/>
        <w:snapToGrid/>
        <w:spacing w:line="595" w:lineRule="exact"/>
        <w:jc w:val="center"/>
        <w:textAlignment w:val="auto"/>
        <w:outlineLvl w:val="9"/>
        <w:rPr>
          <w:rFonts w:hint="eastAsia" w:ascii="方正小标宋_GBK" w:hAnsi="方正小标宋_GBK" w:eastAsia="方正小标宋_GBK" w:cs="方正小标宋_GBK"/>
          <w:color w:val="auto"/>
          <w:sz w:val="44"/>
          <w:szCs w:val="44"/>
          <w:highlight w:val="none"/>
          <w:lang w:eastAsia="zh-CN"/>
        </w:rPr>
      </w:pPr>
      <w:r>
        <w:rPr>
          <w:rFonts w:hint="eastAsia" w:ascii="方正小标宋_GBK" w:hAnsi="方正小标宋_GBK" w:eastAsia="方正小标宋_GBK" w:cs="方正小标宋_GBK"/>
          <w:color w:val="auto"/>
          <w:sz w:val="44"/>
          <w:szCs w:val="44"/>
          <w:highlight w:val="none"/>
          <w:lang w:val="en-US" w:eastAsia="zh-CN"/>
        </w:rPr>
        <w:t>重庆市黔江区人民政府</w:t>
      </w:r>
    </w:p>
    <w:p>
      <w:pPr>
        <w:keepNext w:val="0"/>
        <w:keepLines w:val="0"/>
        <w:pageBreakBefore w:val="0"/>
        <w:widowControl w:val="0"/>
        <w:kinsoku/>
        <w:wordWrap/>
        <w:overflowPunct/>
        <w:topLinePunct w:val="0"/>
        <w:autoSpaceDE/>
        <w:autoSpaceDN/>
        <w:bidi w:val="0"/>
        <w:adjustRightInd/>
        <w:snapToGrid/>
        <w:spacing w:line="595" w:lineRule="exact"/>
        <w:jc w:val="center"/>
        <w:textAlignment w:val="auto"/>
        <w:outlineLvl w:val="9"/>
        <w:rPr>
          <w:rFonts w:hint="eastAsia" w:ascii="方正小标宋_GBK" w:hAnsi="方正小标宋_GBK" w:eastAsia="方正小标宋_GBK" w:cs="方正小标宋_GBK"/>
          <w:color w:val="auto"/>
          <w:sz w:val="44"/>
          <w:szCs w:val="44"/>
          <w:highlight w:val="none"/>
          <w:lang w:eastAsia="zh-CN"/>
        </w:rPr>
      </w:pPr>
      <w:r>
        <w:rPr>
          <w:rFonts w:hint="eastAsia" w:ascii="方正小标宋_GBK" w:hAnsi="方正小标宋_GBK" w:eastAsia="方正小标宋_GBK" w:cs="方正小标宋_GBK"/>
          <w:color w:val="auto"/>
          <w:sz w:val="44"/>
          <w:szCs w:val="44"/>
          <w:highlight w:val="none"/>
          <w:lang w:eastAsia="zh-CN"/>
        </w:rPr>
        <w:t>关于禁止在嘉禾水库工程占地和淹没区新增</w:t>
      </w:r>
    </w:p>
    <w:p>
      <w:pPr>
        <w:keepNext w:val="0"/>
        <w:keepLines w:val="0"/>
        <w:pageBreakBefore w:val="0"/>
        <w:widowControl w:val="0"/>
        <w:kinsoku/>
        <w:wordWrap/>
        <w:overflowPunct/>
        <w:topLinePunct w:val="0"/>
        <w:autoSpaceDE/>
        <w:autoSpaceDN/>
        <w:bidi w:val="0"/>
        <w:adjustRightInd/>
        <w:snapToGrid/>
        <w:spacing w:line="595" w:lineRule="exact"/>
        <w:jc w:val="center"/>
        <w:textAlignment w:val="auto"/>
        <w:outlineLvl w:val="9"/>
        <w:rPr>
          <w:rFonts w:hint="eastAsia" w:ascii="方正小标宋_GBK" w:hAnsi="方正小标宋_GBK" w:eastAsia="方正小标宋_GBK" w:cs="方正小标宋_GBK"/>
          <w:color w:val="auto"/>
          <w:sz w:val="44"/>
          <w:szCs w:val="44"/>
          <w:highlight w:val="none"/>
          <w:lang w:eastAsia="zh-CN"/>
        </w:rPr>
      </w:pPr>
      <w:r>
        <w:rPr>
          <w:rFonts w:hint="eastAsia" w:ascii="方正小标宋_GBK" w:hAnsi="方正小标宋_GBK" w:eastAsia="方正小标宋_GBK" w:cs="方正小标宋_GBK"/>
          <w:color w:val="auto"/>
          <w:sz w:val="44"/>
          <w:szCs w:val="44"/>
          <w:highlight w:val="none"/>
          <w:lang w:eastAsia="zh-CN"/>
        </w:rPr>
        <w:t>建设项目和迁入人口的通告</w:t>
      </w:r>
    </w:p>
    <w:p>
      <w:pPr>
        <w:pStyle w:val="23"/>
        <w:keepNext w:val="0"/>
        <w:keepLines w:val="0"/>
        <w:pageBreakBefore w:val="0"/>
        <w:kinsoku/>
        <w:overflowPunct/>
        <w:topLinePunct w:val="0"/>
        <w:bidi w:val="0"/>
        <w:spacing w:line="595" w:lineRule="exact"/>
        <w:jc w:val="center"/>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color w:val="auto"/>
          <w:sz w:val="32"/>
          <w:szCs w:val="20"/>
        </w:rPr>
        <w:t>黔江府发〔20</w:t>
      </w:r>
      <w:r>
        <w:rPr>
          <w:rFonts w:hint="default" w:ascii="Times New Roman" w:hAnsi="Times New Roman" w:eastAsia="方正仿宋_GBK" w:cs="Times New Roman"/>
          <w:color w:val="auto"/>
          <w:sz w:val="32"/>
          <w:szCs w:val="20"/>
          <w:lang w:val="en-US" w:eastAsia="zh-CN"/>
        </w:rPr>
        <w:t>2</w:t>
      </w:r>
      <w:r>
        <w:rPr>
          <w:rFonts w:hint="eastAsia" w:ascii="Times New Roman" w:hAnsi="Times New Roman" w:cs="Times New Roman"/>
          <w:color w:val="auto"/>
          <w:sz w:val="32"/>
          <w:szCs w:val="20"/>
          <w:lang w:val="en-US" w:eastAsia="zh-CN"/>
        </w:rPr>
        <w:t>6</w:t>
      </w:r>
      <w:r>
        <w:rPr>
          <w:rFonts w:hint="default" w:ascii="Times New Roman" w:hAnsi="Times New Roman" w:eastAsia="方正仿宋_GBK" w:cs="Times New Roman"/>
          <w:color w:val="auto"/>
          <w:sz w:val="32"/>
          <w:szCs w:val="20"/>
        </w:rPr>
        <w:t>〕</w:t>
      </w:r>
      <w:r>
        <w:rPr>
          <w:rFonts w:hint="eastAsia" w:ascii="Times New Roman" w:hAnsi="Times New Roman" w:eastAsia="方正仿宋_GBK" w:cs="Times New Roman"/>
          <w:color w:val="auto"/>
          <w:sz w:val="32"/>
          <w:szCs w:val="20"/>
          <w:lang w:val="en-US" w:eastAsia="zh-CN"/>
        </w:rPr>
        <w:t>18</w:t>
      </w:r>
      <w:r>
        <w:rPr>
          <w:rFonts w:hint="default" w:ascii="Times New Roman" w:hAnsi="Times New Roman" w:eastAsia="方正仿宋_GBK" w:cs="Times New Roman"/>
          <w:color w:val="auto"/>
          <w:sz w:val="32"/>
          <w:szCs w:val="20"/>
        </w:rPr>
        <w:t>号</w:t>
      </w:r>
    </w:p>
    <w:p>
      <w:pPr>
        <w:pStyle w:val="25"/>
        <w:keepNext w:val="0"/>
        <w:keepLines w:val="0"/>
        <w:pageBreakBefore w:val="0"/>
        <w:widowControl w:val="0"/>
        <w:kinsoku/>
        <w:wordWrap/>
        <w:overflowPunct/>
        <w:topLinePunct w:val="0"/>
        <w:bidi w:val="0"/>
        <w:spacing w:line="595" w:lineRule="exact"/>
        <w:jc w:val="lef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拟建嘉禾水库工程位于重庆市黔江区中塘镇中塘居委，已列入《</w:t>
      </w:r>
      <w:r>
        <w:rPr>
          <w:rFonts w:hint="eastAsia" w:ascii="Times New Roman" w:hAnsi="Times New Roman" w:eastAsia="方正仿宋_GBK" w:cs="Times New Roman"/>
          <w:color w:val="auto"/>
          <w:spacing w:val="0"/>
          <w:sz w:val="32"/>
          <w:szCs w:val="32"/>
          <w:lang w:eastAsia="zh-CN"/>
        </w:rPr>
        <w:t>重庆市</w:t>
      </w:r>
      <w:r>
        <w:rPr>
          <w:rFonts w:hint="default" w:ascii="Times New Roman" w:hAnsi="Times New Roman" w:eastAsia="方正仿宋_GBK" w:cs="Times New Roman"/>
          <w:color w:val="auto"/>
          <w:spacing w:val="0"/>
          <w:sz w:val="32"/>
          <w:szCs w:val="32"/>
        </w:rPr>
        <w:t>水网建设规划》</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是一座具有农业灌溉等综合利用功能的中型骨干水利工程，即将开展工程建设征地实物调查工作。为确保嘉禾水库工程建设移民安置工作顺利实施，按照《国务院关于修改&lt;大中型水利水电工程建设征地补偿和移民安置条例&gt;的决定》</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国务院令第679号</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现就禁止在嘉禾水库工程占地和淹没区新增建设项目和迁入人口的有关事项通告如下：</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snapToGrid w:val="0"/>
          <w:color w:val="auto"/>
          <w:spacing w:val="0"/>
          <w:kern w:val="0"/>
          <w:sz w:val="32"/>
          <w:szCs w:val="32"/>
          <w:lang w:val="en-US" w:eastAsia="en-US" w:bidi="ar-SA"/>
        </w:rPr>
        <w:t>一、</w:t>
      </w:r>
      <w:r>
        <w:rPr>
          <w:rFonts w:hint="default" w:ascii="Times New Roman" w:hAnsi="Times New Roman" w:eastAsia="方正仿宋_GBK" w:cs="Times New Roman"/>
          <w:color w:val="auto"/>
          <w:spacing w:val="0"/>
          <w:sz w:val="32"/>
          <w:szCs w:val="32"/>
        </w:rPr>
        <w:t>嘉禾水库工程建设征地实物调查工作由区水利局会同区规划自然资源局、区林业局、中塘镇人民政府、小南海镇人民政府、黑溪镇人民政府、项目业主和设计单位组织实施。</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二、嘉禾水库正常蓄水位为604.0m</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lang w:val="en-US" w:eastAsia="zh-CN"/>
        </w:rPr>
        <w:t>2000国家大地坐标系，</w:t>
      </w:r>
      <w:r>
        <w:rPr>
          <w:rFonts w:hint="default" w:ascii="Times New Roman" w:hAnsi="Times New Roman" w:eastAsia="方正仿宋_GBK" w:cs="Times New Roman"/>
          <w:color w:val="auto"/>
          <w:spacing w:val="0"/>
          <w:sz w:val="32"/>
          <w:szCs w:val="32"/>
        </w:rPr>
        <w:t>1985国家高程基准，下同</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实物调查范围包括水库淹没区、枢纽工程</w:t>
      </w:r>
      <w:r>
        <w:rPr>
          <w:rFonts w:hint="default" w:ascii="Times New Roman" w:hAnsi="Times New Roman" w:eastAsia="方正仿宋_GBK" w:cs="Times New Roman"/>
          <w:color w:val="auto"/>
          <w:spacing w:val="0"/>
          <w:sz w:val="32"/>
          <w:szCs w:val="32"/>
          <w:lang w:val="en-US" w:eastAsia="zh-CN"/>
        </w:rPr>
        <w:t>建设</w:t>
      </w:r>
      <w:r>
        <w:rPr>
          <w:rFonts w:hint="default" w:ascii="Times New Roman" w:hAnsi="Times New Roman" w:eastAsia="方正仿宋_GBK" w:cs="Times New Roman"/>
          <w:color w:val="auto"/>
          <w:spacing w:val="0"/>
          <w:sz w:val="32"/>
          <w:szCs w:val="32"/>
        </w:rPr>
        <w:t>区和</w:t>
      </w:r>
      <w:r>
        <w:rPr>
          <w:rFonts w:hint="default" w:ascii="Times New Roman" w:hAnsi="Times New Roman" w:eastAsia="方正仿宋_GBK" w:cs="Times New Roman"/>
          <w:color w:val="auto"/>
          <w:spacing w:val="0"/>
          <w:sz w:val="32"/>
          <w:szCs w:val="32"/>
          <w:lang w:val="en-US" w:eastAsia="zh-CN"/>
        </w:rPr>
        <w:t>其他水利工程建设区</w:t>
      </w:r>
      <w:r>
        <w:rPr>
          <w:rFonts w:hint="default" w:ascii="Times New Roman" w:hAnsi="Times New Roman" w:eastAsia="方正仿宋_GBK" w:cs="Times New Roman"/>
          <w:color w:val="auto"/>
          <w:spacing w:val="0"/>
          <w:sz w:val="32"/>
          <w:szCs w:val="32"/>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一</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水库淹没区范围：居民迁移界线按坝前段605.0m</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正常蓄水位604.0m加1.0m安全超高</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水位线接建库后20年一遇设计洪水回水组合外包线以下区域确定；耕</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园</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地征收界线按坝前段604.5m</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正常蓄水位604.0m加0.5m安全超高</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接5年一遇设计洪水回水组合外包线以下区域确定；林草地及其他土地征收界线按正常蓄水位604.0m确定；专项设施处理界线按坝前段605.0m</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正常蓄水位604.0m加1.0m安全超高</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接建库后相应防洪标准设计洪水回水线确定。涉及中塘镇胜利村七、八、九组，中塘居委六、七、九、十一组村民小组的相应区域。</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二</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枢纽工程区范围：大坝两端外延100米、坝脚线向上游外延100米、坝脚线向下游外延</w:t>
      </w:r>
      <w:r>
        <w:rPr>
          <w:rFonts w:hint="default" w:ascii="Times New Roman" w:hAnsi="Times New Roman" w:eastAsia="方正仿宋_GBK" w:cs="Times New Roman"/>
          <w:color w:val="auto"/>
          <w:spacing w:val="0"/>
          <w:sz w:val="32"/>
          <w:szCs w:val="32"/>
          <w:lang w:val="en-US" w:eastAsia="zh-CN"/>
        </w:rPr>
        <w:t>5</w:t>
      </w:r>
      <w:r>
        <w:rPr>
          <w:rFonts w:hint="default" w:ascii="Times New Roman" w:hAnsi="Times New Roman" w:eastAsia="方正仿宋_GBK" w:cs="Times New Roman"/>
          <w:color w:val="auto"/>
          <w:spacing w:val="0"/>
          <w:sz w:val="32"/>
          <w:szCs w:val="32"/>
        </w:rPr>
        <w:t>0米作为征地范围，涉及中塘镇中塘居委六、十一组村民小组的相应区域。</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b w:val="0"/>
          <w:bCs w:val="0"/>
          <w:color w:val="auto"/>
          <w:spacing w:val="0"/>
          <w:sz w:val="32"/>
          <w:szCs w:val="32"/>
        </w:rPr>
      </w:pP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三</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lang w:val="en-US" w:eastAsia="zh-CN"/>
        </w:rPr>
        <w:t>其他水利工程建设区</w:t>
      </w:r>
      <w:r>
        <w:rPr>
          <w:rFonts w:hint="default" w:ascii="Times New Roman" w:hAnsi="Times New Roman" w:eastAsia="方正仿宋_GBK" w:cs="Times New Roman"/>
          <w:color w:val="auto"/>
          <w:spacing w:val="0"/>
          <w:sz w:val="32"/>
          <w:szCs w:val="32"/>
        </w:rPr>
        <w:t>范围：</w:t>
      </w:r>
      <w:r>
        <w:rPr>
          <w:rFonts w:hint="default" w:ascii="Times New Roman" w:hAnsi="Times New Roman" w:eastAsia="方正仿宋_GBK" w:cs="Times New Roman"/>
          <w:b w:val="0"/>
          <w:bCs w:val="0"/>
          <w:color w:val="auto"/>
          <w:spacing w:val="0"/>
          <w:sz w:val="32"/>
          <w:szCs w:val="32"/>
        </w:rPr>
        <w:t>以</w:t>
      </w:r>
      <w:r>
        <w:rPr>
          <w:rFonts w:hint="default" w:ascii="Times New Roman" w:hAnsi="Times New Roman" w:eastAsia="方正仿宋_GBK" w:cs="Times New Roman"/>
          <w:b w:val="0"/>
          <w:bCs w:val="0"/>
          <w:color w:val="auto"/>
          <w:spacing w:val="0"/>
          <w:sz w:val="32"/>
          <w:szCs w:val="32"/>
          <w:lang w:val="en-US" w:eastAsia="zh-CN"/>
        </w:rPr>
        <w:t>工程批复的</w:t>
      </w:r>
      <w:r>
        <w:rPr>
          <w:rFonts w:hint="default" w:ascii="Times New Roman" w:hAnsi="Times New Roman" w:eastAsia="方正仿宋_GBK" w:cs="Times New Roman"/>
          <w:b w:val="0"/>
          <w:bCs w:val="0"/>
          <w:color w:val="auto"/>
          <w:spacing w:val="0"/>
          <w:sz w:val="32"/>
          <w:szCs w:val="32"/>
        </w:rPr>
        <w:t>红线范围和</w:t>
      </w:r>
      <w:r>
        <w:rPr>
          <w:rFonts w:hint="default" w:ascii="Times New Roman" w:hAnsi="Times New Roman" w:eastAsia="方正仿宋_GBK" w:cs="Times New Roman"/>
          <w:b w:val="0"/>
          <w:bCs w:val="0"/>
          <w:color w:val="auto"/>
          <w:spacing w:val="0"/>
          <w:sz w:val="32"/>
          <w:szCs w:val="32"/>
          <w:lang w:val="en-US" w:eastAsia="zh-CN"/>
        </w:rPr>
        <w:t>最终</w:t>
      </w:r>
      <w:r>
        <w:rPr>
          <w:rFonts w:hint="default" w:ascii="Times New Roman" w:hAnsi="Times New Roman" w:eastAsia="方正仿宋_GBK" w:cs="Times New Roman"/>
          <w:b w:val="0"/>
          <w:bCs w:val="0"/>
          <w:color w:val="auto"/>
          <w:spacing w:val="0"/>
          <w:sz w:val="32"/>
          <w:szCs w:val="32"/>
        </w:rPr>
        <w:t>土地勘界成果为准。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三、实物调查内容包括人口、土地、房屋及附属建筑物、专项设施</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含水利、电力、燃气、交通、广播、通信、文物</w:t>
      </w:r>
      <w:r>
        <w:rPr>
          <w:rFonts w:hint="eastAsia" w:ascii="Times New Roman" w:hAnsi="Times New Roman" w:eastAsia="方正仿宋_GBK" w:cs="Times New Roman"/>
          <w:color w:val="auto"/>
          <w:spacing w:val="0"/>
          <w:sz w:val="32"/>
          <w:szCs w:val="32"/>
          <w:lang w:eastAsia="zh-CN"/>
        </w:rPr>
        <w:t>）</w:t>
      </w:r>
      <w:r>
        <w:rPr>
          <w:rFonts w:hint="default" w:ascii="Times New Roman" w:hAnsi="Times New Roman" w:eastAsia="方正仿宋_GBK" w:cs="Times New Roman"/>
          <w:color w:val="auto"/>
          <w:spacing w:val="0"/>
          <w:sz w:val="32"/>
          <w:szCs w:val="32"/>
        </w:rPr>
        <w:t>等。</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四、实物调查范围内企事业单位和个人要积极配合开展调查工作，不得以任何理由阻挠调查工作的正常进行。</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五、实物调查应当全面、准确，调查结果经调查者和被调查者签字认可并公示后，由属地政府签署意见予以确认。</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eastAsia" w:ascii="Times New Roman" w:hAnsi="Times New Roman" w:eastAsia="方正仿宋_GBK" w:cs="Times New Roman"/>
          <w:color w:val="auto"/>
          <w:spacing w:val="0"/>
          <w:sz w:val="32"/>
          <w:szCs w:val="32"/>
          <w:lang w:val="en-US" w:eastAsia="zh-CN"/>
        </w:rPr>
      </w:pPr>
      <w:r>
        <w:rPr>
          <w:rFonts w:hint="default" w:ascii="Times New Roman" w:hAnsi="Times New Roman" w:eastAsia="方正仿宋_GBK" w:cs="Times New Roman"/>
          <w:color w:val="auto"/>
          <w:spacing w:val="0"/>
          <w:sz w:val="32"/>
          <w:szCs w:val="32"/>
        </w:rPr>
        <w:t>六、自本通告发布之日起，</w:t>
      </w:r>
      <w:r>
        <w:rPr>
          <w:rFonts w:hint="eastAsia" w:ascii="Times New Roman" w:hAnsi="Times New Roman" w:eastAsia="方正仿宋_GBK" w:cs="Times New Roman"/>
          <w:color w:val="auto"/>
          <w:spacing w:val="0"/>
          <w:sz w:val="32"/>
          <w:szCs w:val="32"/>
          <w:lang w:eastAsia="zh-CN"/>
        </w:rPr>
        <w:t>以上区域范围内，任何单位和个人</w:t>
      </w:r>
      <w:r>
        <w:rPr>
          <w:rFonts w:hint="default" w:ascii="Times New Roman" w:hAnsi="Times New Roman" w:eastAsia="方正仿宋_GBK" w:cs="Times New Roman"/>
          <w:color w:val="auto"/>
          <w:spacing w:val="0"/>
          <w:sz w:val="32"/>
          <w:szCs w:val="32"/>
        </w:rPr>
        <w:t>禁止新建、扩建</w:t>
      </w:r>
      <w:r>
        <w:rPr>
          <w:rFonts w:hint="eastAsia" w:ascii="Times New Roman" w:hAnsi="Times New Roman" w:eastAsia="方正仿宋_GBK" w:cs="Times New Roman"/>
          <w:color w:val="auto"/>
          <w:spacing w:val="0"/>
          <w:sz w:val="32"/>
          <w:szCs w:val="32"/>
          <w:lang w:eastAsia="zh-CN"/>
        </w:rPr>
        <w:t>和</w:t>
      </w:r>
      <w:r>
        <w:rPr>
          <w:rFonts w:hint="default" w:ascii="Times New Roman" w:hAnsi="Times New Roman" w:eastAsia="方正仿宋_GBK" w:cs="Times New Roman"/>
          <w:color w:val="auto"/>
          <w:spacing w:val="0"/>
          <w:sz w:val="32"/>
          <w:szCs w:val="32"/>
        </w:rPr>
        <w:t>改建</w:t>
      </w:r>
      <w:r>
        <w:rPr>
          <w:rFonts w:hint="eastAsia" w:ascii="Times New Roman" w:hAnsi="Times New Roman" w:eastAsia="方正仿宋_GBK" w:cs="Times New Roman"/>
          <w:color w:val="auto"/>
          <w:spacing w:val="0"/>
          <w:sz w:val="32"/>
          <w:szCs w:val="32"/>
          <w:lang w:eastAsia="zh-CN"/>
        </w:rPr>
        <w:t>项目，禁止抢栽、抢种花卉苗木及多年生经济作物；禁止新建房屋及其他建筑物。对违反本条规定的新增建设项目和抢栽抢种，在征地移民安置时不予补偿和安置。</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eastAsia" w:ascii="Times New Roman" w:hAnsi="Times New Roman" w:eastAsia="方正仿宋_GBK" w:cs="Times New Roman"/>
          <w:color w:val="auto"/>
          <w:spacing w:val="0"/>
          <w:sz w:val="32"/>
          <w:szCs w:val="32"/>
          <w:highlight w:val="none"/>
          <w:lang w:eastAsia="zh-CN"/>
        </w:rPr>
      </w:pPr>
      <w:r>
        <w:rPr>
          <w:rFonts w:hint="default" w:ascii="Times New Roman" w:hAnsi="Times New Roman" w:eastAsia="方正仿宋_GBK" w:cs="Times New Roman"/>
          <w:color w:val="auto"/>
          <w:spacing w:val="0"/>
          <w:sz w:val="32"/>
          <w:szCs w:val="32"/>
        </w:rPr>
        <w:t>七、自本通告发布之日起，</w:t>
      </w:r>
      <w:r>
        <w:rPr>
          <w:rFonts w:hint="eastAsia" w:ascii="Times New Roman" w:hAnsi="Times New Roman" w:eastAsia="方正仿宋_GBK" w:cs="Times New Roman"/>
          <w:color w:val="auto"/>
          <w:spacing w:val="0"/>
          <w:sz w:val="32"/>
          <w:szCs w:val="32"/>
          <w:lang w:eastAsia="zh-CN"/>
        </w:rPr>
        <w:t>以上区域范围内，除婚嫁、行政事业单位人员工作调动、退役军人安置、大中专院校毕业生回原籍、</w:t>
      </w:r>
      <w:r>
        <w:rPr>
          <w:rFonts w:hint="eastAsia" w:ascii="Times New Roman" w:hAnsi="Times New Roman" w:eastAsia="方正仿宋_GBK" w:cs="Times New Roman"/>
          <w:color w:val="auto"/>
          <w:spacing w:val="0"/>
          <w:sz w:val="32"/>
          <w:szCs w:val="32"/>
          <w:highlight w:val="none"/>
          <w:lang w:eastAsia="zh-CN"/>
        </w:rPr>
        <w:t>刑满</w:t>
      </w:r>
      <w:r>
        <w:rPr>
          <w:rFonts w:hint="default" w:ascii="Times New Roman" w:hAnsi="Times New Roman" w:eastAsia="方正仿宋_GBK" w:cs="Times New Roman"/>
          <w:color w:val="auto"/>
          <w:spacing w:val="0"/>
          <w:sz w:val="32"/>
          <w:szCs w:val="32"/>
          <w:highlight w:val="none"/>
        </w:rPr>
        <w:t>释放人员回原籍</w:t>
      </w:r>
      <w:r>
        <w:rPr>
          <w:rFonts w:hint="eastAsia" w:ascii="Times New Roman" w:hAnsi="Times New Roman" w:eastAsia="方正仿宋_GBK" w:cs="Times New Roman"/>
          <w:color w:val="auto"/>
          <w:spacing w:val="0"/>
          <w:sz w:val="32"/>
          <w:szCs w:val="32"/>
          <w:highlight w:val="none"/>
          <w:lang w:eastAsia="zh-CN"/>
        </w:rPr>
        <w:t>等国家法律法规和政策允许迁入外，禁止迁入户口。征地人员安置对象的认定以《重庆市集体土地征收补偿安置办法》（重庆市人民政府令第</w:t>
      </w:r>
      <w:r>
        <w:rPr>
          <w:rFonts w:hint="eastAsia" w:ascii="Times New Roman" w:hAnsi="Times New Roman" w:eastAsia="方正仿宋_GBK" w:cs="Times New Roman"/>
          <w:color w:val="auto"/>
          <w:spacing w:val="0"/>
          <w:sz w:val="32"/>
          <w:szCs w:val="32"/>
          <w:highlight w:val="none"/>
          <w:lang w:val="en-US" w:eastAsia="zh-CN"/>
        </w:rPr>
        <w:t>344号</w:t>
      </w:r>
      <w:r>
        <w:rPr>
          <w:rFonts w:hint="eastAsia" w:ascii="Times New Roman" w:hAnsi="Times New Roman" w:eastAsia="方正仿宋_GBK" w:cs="Times New Roman"/>
          <w:color w:val="auto"/>
          <w:spacing w:val="0"/>
          <w:sz w:val="32"/>
          <w:szCs w:val="32"/>
          <w:highlight w:val="none"/>
          <w:lang w:eastAsia="zh-CN"/>
        </w:rPr>
        <w:t>）相关规定为准。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八、嘉禾水库工程占地和淹没影响区内所涉乡镇人民政府，以及各有关单位要积极做好水库移民政策宣传、解释工作，保障实物调查工作顺利开展。</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九、本通告自发布之日起施行，有效期为5年。</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ind w:firstLine="640" w:firstLineChars="200"/>
        <w:jc w:val="left"/>
        <w:textAlignment w:val="baseline"/>
        <w:rPr>
          <w:rFonts w:hint="default" w:ascii="Times New Roman" w:hAnsi="Times New Roman" w:eastAsia="方正仿宋_GBK" w:cs="Times New Roman"/>
          <w:color w:val="auto"/>
          <w:spacing w:val="0"/>
          <w:sz w:val="32"/>
          <w:szCs w:val="32"/>
        </w:rPr>
      </w:pP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595" w:lineRule="exact"/>
        <w:jc w:val="left"/>
        <w:textAlignment w:val="baseline"/>
        <w:rPr>
          <w:rFonts w:hint="default" w:ascii="Times New Roman" w:hAnsi="Times New Roman" w:eastAsia="方正仿宋_GBK" w:cs="Times New Roman"/>
          <w:color w:val="auto"/>
          <w:spacing w:val="0"/>
          <w:sz w:val="32"/>
          <w:szCs w:val="32"/>
        </w:rPr>
      </w:pPr>
    </w:p>
    <w:p>
      <w:pPr>
        <w:keepNext w:val="0"/>
        <w:keepLines w:val="0"/>
        <w:pageBreakBefore w:val="0"/>
        <w:widowControl w:val="0"/>
        <w:kinsoku/>
        <w:wordWrap/>
        <w:overflowPunct/>
        <w:topLinePunct w:val="0"/>
        <w:autoSpaceDE/>
        <w:autoSpaceDN/>
        <w:bidi w:val="0"/>
        <w:adjustRightInd/>
        <w:snapToGrid/>
        <w:spacing w:line="595" w:lineRule="exact"/>
        <w:ind w:right="0" w:firstLine="640" w:firstLineChars="200"/>
        <w:jc w:val="left"/>
        <w:textAlignment w:val="auto"/>
        <w:rPr>
          <w:rFonts w:hint="default" w:ascii="Times New Roman" w:hAnsi="Times New Roman" w:eastAsia="方正仿宋_GBK" w:cs="Times New Roman"/>
          <w:color w:val="auto"/>
          <w:spacing w:val="0"/>
          <w:sz w:val="32"/>
          <w:szCs w:val="32"/>
        </w:rPr>
      </w:pPr>
      <w:r>
        <w:rPr>
          <w:rFonts w:hint="eastAsia" w:ascii="Times New Roman" w:hAnsi="Times New Roman" w:eastAsia="方正仿宋_GBK" w:cs="Times New Roman"/>
          <w:color w:val="auto"/>
          <w:spacing w:val="0"/>
          <w:sz w:val="32"/>
          <w:szCs w:val="32"/>
          <w:lang w:val="en-US" w:eastAsia="zh-CN"/>
        </w:rPr>
        <w:t xml:space="preserve">                      </w:t>
      </w:r>
      <w:r>
        <w:rPr>
          <w:rFonts w:hint="default" w:ascii="Times New Roman" w:hAnsi="Times New Roman" w:eastAsia="方正仿宋_GBK" w:cs="Times New Roman"/>
          <w:color w:val="auto"/>
          <w:spacing w:val="0"/>
          <w:sz w:val="32"/>
          <w:szCs w:val="32"/>
        </w:rPr>
        <w:t>重庆市黔江区人民政府</w:t>
      </w:r>
    </w:p>
    <w:p>
      <w:pPr>
        <w:keepNext w:val="0"/>
        <w:keepLines w:val="0"/>
        <w:pageBreakBefore w:val="0"/>
        <w:widowControl w:val="0"/>
        <w:kinsoku/>
        <w:wordWrap/>
        <w:overflowPunct/>
        <w:topLinePunct w:val="0"/>
        <w:autoSpaceDE/>
        <w:autoSpaceDN/>
        <w:bidi w:val="0"/>
        <w:adjustRightInd/>
        <w:snapToGrid/>
        <w:spacing w:line="595" w:lineRule="exact"/>
        <w:ind w:right="0" w:firstLine="640" w:firstLineChars="200"/>
        <w:jc w:val="left"/>
        <w:textAlignment w:val="auto"/>
        <w:rPr>
          <w:rFonts w:hint="default" w:ascii="Times New Roman" w:hAnsi="Times New Roman" w:eastAsia="方正仿宋_GBK" w:cs="Times New Roman"/>
          <w:color w:val="auto"/>
          <w:spacing w:val="0"/>
          <w:sz w:val="32"/>
          <w:szCs w:val="32"/>
        </w:rPr>
      </w:pPr>
      <w:r>
        <w:rPr>
          <w:rFonts w:hint="eastAsia" w:ascii="Times New Roman" w:hAnsi="Times New Roman" w:eastAsia="方正仿宋_GBK" w:cs="Times New Roman"/>
          <w:color w:val="auto"/>
          <w:spacing w:val="0"/>
          <w:sz w:val="32"/>
          <w:szCs w:val="32"/>
          <w:lang w:val="en-US" w:eastAsia="zh-CN"/>
        </w:rPr>
        <w:t xml:space="preserve">                        </w:t>
      </w:r>
      <w:r>
        <w:rPr>
          <w:rFonts w:hint="default" w:ascii="Times New Roman" w:hAnsi="Times New Roman" w:eastAsia="方正仿宋_GBK" w:cs="Times New Roman"/>
          <w:color w:val="auto"/>
          <w:spacing w:val="0"/>
          <w:sz w:val="32"/>
          <w:szCs w:val="32"/>
        </w:rPr>
        <w:t>20</w:t>
      </w:r>
      <w:r>
        <w:rPr>
          <w:rFonts w:hint="default" w:ascii="Times New Roman" w:hAnsi="Times New Roman" w:eastAsia="方正仿宋_GBK" w:cs="Times New Roman"/>
          <w:color w:val="auto"/>
          <w:spacing w:val="0"/>
          <w:sz w:val="32"/>
          <w:szCs w:val="32"/>
          <w:lang w:val="en-US" w:eastAsia="zh-CN"/>
        </w:rPr>
        <w:t>26</w:t>
      </w:r>
      <w:r>
        <w:rPr>
          <w:rFonts w:hint="default" w:ascii="Times New Roman" w:hAnsi="Times New Roman" w:eastAsia="方正仿宋_GBK" w:cs="Times New Roman"/>
          <w:color w:val="auto"/>
          <w:spacing w:val="0"/>
          <w:sz w:val="32"/>
          <w:szCs w:val="32"/>
        </w:rPr>
        <w:t>年</w:t>
      </w:r>
      <w:r>
        <w:rPr>
          <w:rFonts w:hint="eastAsia" w:ascii="Times New Roman" w:hAnsi="Times New Roman" w:eastAsia="方正仿宋_GBK" w:cs="Times New Roman"/>
          <w:color w:val="auto"/>
          <w:spacing w:val="0"/>
          <w:sz w:val="32"/>
          <w:szCs w:val="32"/>
          <w:lang w:val="en-US" w:eastAsia="zh-CN"/>
        </w:rPr>
        <w:t>8</w:t>
      </w:r>
      <w:r>
        <w:rPr>
          <w:rFonts w:hint="default" w:ascii="Times New Roman" w:hAnsi="Times New Roman" w:eastAsia="方正仿宋_GBK" w:cs="Times New Roman"/>
          <w:color w:val="auto"/>
          <w:spacing w:val="0"/>
          <w:sz w:val="32"/>
          <w:szCs w:val="32"/>
        </w:rPr>
        <w:t>月</w:t>
      </w:r>
      <w:r>
        <w:rPr>
          <w:rFonts w:hint="eastAsia" w:ascii="Times New Roman" w:hAnsi="Times New Roman" w:eastAsia="方正仿宋_GBK" w:cs="Times New Roman"/>
          <w:color w:val="auto"/>
          <w:spacing w:val="0"/>
          <w:sz w:val="32"/>
          <w:szCs w:val="32"/>
          <w:lang w:val="en-US" w:eastAsia="zh-CN"/>
        </w:rPr>
        <w:t>27</w:t>
      </w:r>
      <w:r>
        <w:rPr>
          <w:rFonts w:hint="default" w:ascii="Times New Roman" w:hAnsi="Times New Roman" w:eastAsia="方正仿宋_GBK" w:cs="Times New Roman"/>
          <w:color w:val="auto"/>
          <w:spacing w:val="0"/>
          <w:sz w:val="32"/>
          <w:szCs w:val="32"/>
        </w:rPr>
        <w:t>日</w:t>
      </w:r>
    </w:p>
    <w:p>
      <w:pPr>
        <w:keepNext w:val="0"/>
        <w:keepLines w:val="0"/>
        <w:pageBreakBefore w:val="0"/>
        <w:widowControl/>
        <w:kinsoku/>
        <w:wordWrap/>
        <w:overflowPunct/>
        <w:topLinePunct w:val="0"/>
        <w:autoSpaceDE/>
        <w:autoSpaceDN/>
        <w:bidi w:val="0"/>
        <w:adjustRightInd/>
        <w:snapToGrid/>
        <w:spacing w:before="0" w:beforeAutospacing="0" w:after="0" w:afterAutospacing="0" w:line="595" w:lineRule="exact"/>
        <w:ind w:left="0" w:leftChars="0" w:right="0" w:rightChars="0" w:firstLine="640" w:firstLineChars="200"/>
        <w:jc w:val="left"/>
        <w:textAlignment w:val="baseline"/>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color w:val="auto"/>
          <w:spacing w:val="0"/>
          <w:sz w:val="32"/>
          <w:szCs w:val="32"/>
        </w:rPr>
        <w:t>（此件公开发布）</w:t>
      </w:r>
      <w:bookmarkStart w:id="0" w:name="_GoBack"/>
      <w:bookmarkEnd w:id="0"/>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posOffset>4853940</wp:posOffset>
              </wp:positionH>
              <wp:positionV relativeFrom="paragraph">
                <wp:posOffset>-60325</wp:posOffset>
              </wp:positionV>
              <wp:extent cx="831850" cy="2578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31850" cy="2578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82.2pt;margin-top:-4.75pt;height:20.3pt;width:65.5pt;mso-position-horizontal-relative:margin;z-index:251662336;mso-width-relative:page;mso-height-relative:page;" filled="f" stroked="f" coordsize="21600,21600" o:gfxdata="UEsFBgAAAAAAAAAAAAAAAAAAAAAAAFBLAwQKAAAAAACHTuJAAAAAAAAAAAAAAAAABAAAAGRycy9Q&#10;SwMEFAAAAAgAh07iQLjQJazYAAAACQEAAA8AAABkcnMvZG93bnJldi54bWxNj8tOwzAQRfdI/IM1&#10;SOxa29CWNsTpgseOZwEJdk48JBF+RLaTlr9nWMFyZo7unFtuD86yCWPqg1cg5wIY+iaY3rcKXl9u&#10;Z2tgKWtvtA0eFXxjgm11fFTqwoS9f8Zpl1tGIT4VWkGX81BwnpoOnU7zMKCn22eITmcaY8tN1HsK&#10;d5afCbHiTveePnR6wKsOm6/d6BTY9xTvapE/puv2Pj898vHtRj4odXoixSWwjIf8B8OvPqlDRU51&#10;GL1JzCq4WC0WhCqYbZbACFhvlrSoFZxLCbwq+f8G1Q9QSwMEFAAAAAgAh07iQDslyOc1AgAAYQQA&#10;AA4AAABkcnMvZTJvRG9jLnhtbK1UzW4TMRC+I/EOlu90k1YtUdRNFRoVIVW0UkGcHa83a8n2GNvp&#10;bnkAeANOXHrnufocfN7NplA49MDFmZ3/75uZnJ511rBbFaImV/LpwYQz5SRV2m1K/vHDxasZZzEJ&#10;VwlDTpX8TkV+tnj54rT1c3VIDZlKBYYkLs5bX/ImJT8viigbZUU8IK8cjDUFKxI+w6aogmiR3Zri&#10;cDI5KVoKlQ8kVYzQrgYj32UMz0lIda2lWpHcWuXSkDUoIxIgxUb7yBd9t3WtZLqq66gSMyUH0tS/&#10;KAJ5nd9icSrmmyB8o+WuBfGcFp5gskI7FN2nWokk2Dbov1JZLQNFqtOBJFsMQHpGgGI6ecLNTSO8&#10;6rGA6uj3pMf/l1a+v70OTFclx9idsBj4w/dvDz9+Ptx/ZbNMT+vjHF43Hn6pe0MdlmbURygz6q4O&#10;Nv8CD4Md5N7tyVVdYhLK2dF0dgyLhOnw+PVs2pNfPAb7ENNbRZZloeQBs+spFbeXMaERuI4uuZaj&#10;C21MPz/jWFvykyOk/8OCCOMQmCEMrWYpdetuh2tN1R1gBRr2Inp5oVH8UsR0LQIWAf3iVNIVntoQ&#10;itBO4qyh8OVf+uyP+cDKWYvFKnn8vBVBcWbeOUwOKdMohFFYj4Lb2nPCrk5xhF72IgJCMqNYB7Kf&#10;cEHLXAUm4SRqlTyN4nka1hsXKNVy2TttfdCbZgjA3nmRLt2Nl7nMQNhym6jWPcuZooGXHXPYvJ78&#10;3ZXk1f79u/d6/GdY/A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WAAAAZHJzL1BLAQIUABQAAAAIAIdO4kC40CWs2AAAAAkBAAAPAAAAAAAA&#10;AAEAIAAAADgAAABkcnMvZG93bnJldi54bWxQSwECFAAUAAAACACHTuJAOyXI5zUCAABhBAAADgAA&#10;AAAAAAABACAAAAA9AQAAZHJzL2Uyb0RvYy54bWxQSwUGAAAAAAYABgBZAQAA5AUAAAAA&#10;">
              <v:fill on="f" focussize="0,0"/>
              <v:stroke on="f" weight="0.5pt"/>
              <v:imagedata o:title=""/>
              <o:lock v:ext="edit" aspectratio="f"/>
              <v:textbox inset="0mm,0mm,0mm,0mm">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posOffset>5150485</wp:posOffset>
              </wp:positionH>
              <wp:positionV relativeFrom="paragraph">
                <wp:posOffset>9525</wp:posOffset>
              </wp:positionV>
              <wp:extent cx="640080" cy="26543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40080" cy="265430"/>
                      </a:xfrm>
                      <a:prstGeom prst="rect">
                        <a:avLst/>
                      </a:prstGeom>
                      <a:noFill/>
                      <a:ln w="6350">
                        <a:noFill/>
                      </a:ln>
                      <a:effectLst/>
                    </wps:spPr>
                    <wps:txbx>
                      <w:txbxContent>
                        <w:p>
                          <w:pPr>
                            <w:pStyle w:val="11"/>
                            <w:rPr>
                              <w:rFonts w:ascii="宋体" w:hAnsi="宋体" w:cs="宋体"/>
                              <w:sz w:val="28"/>
                              <w:szCs w:val="28"/>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05.55pt;margin-top:0.75pt;height:20.9pt;width:50.4pt;mso-position-horizontal-relative:margin;z-index:251659264;mso-width-relative:page;mso-height-relative:page;" filled="f" stroked="f" coordsize="21600,21600" o:gfxdata="UEsFBgAAAAAAAAAAAAAAAAAAAAAAAFBLAwQKAAAAAACHTuJAAAAAAAAAAAAAAAAABAAAAGRycy9Q&#10;SwMEFAAAAAgAh07iQFJ+jZDWAAAACAEAAA8AAABkcnMvZG93bnJldi54bWxNj8tOwzAQRfdI/IM1&#10;SOyobQqoDXG64LHjWUCCnRMPSYQ9jmInLX/PsILl6Fzde6bc7IMXM46pj2RALxQIpCa6nloDry+3&#10;JysQKVty1kdCA9+YYFMdHpS2cHFHzzhvcyu4hFJhDXQ5D4WUqekw2LSIAxKzzzgGm/kcW+lGu+Py&#10;4OWpUhcy2J54obMDXnXYfG2nYMC/p/GuVvljvm7v89OjnN5u9IMxx0daXYLIuM9/YfjVZ3Wo2KmO&#10;E7kkvIGV1pqjDM5BMF9rvQZRGzhbLkFWpfz/QPUDUEsDBBQAAAAIAIdO4kDXAloXPAIAAG8EAAAO&#10;AAAAZHJzL2Uyb0RvYy54bWytVEtu2zAQ3RfoHQjuayk/IzAiB26CFAWMJkBadE1TlEWAv5K0JfcA&#10;7Q266ib7nivn6CNlOUXaRRbdUEPO972Z0cVlrxXZCh+kNRU9mpSUCMNtLc26op8+3rw5pyREZmqm&#10;rBEV3YlAL+evX110biaObWtVLTxBEBNmnatoG6ObFUXgrdAsTKwTBsrGes0irn5d1J51iK5VcVyW&#10;06KzvnbechECXq8HJd1H9C8JaJtGcnFt+UYLE4eoXigWASm00gU6z9U2jeDxtmmCiERVFEhjPpEE&#10;8iqdxfyCzdaeuVbyfQnsJSU8w6SZNEh6CHXNIiMbL/8KpSX3NtgmTrjVxQAkMwIUR+Uzbu5b5kTG&#10;AqqDO5Ae/l9Y/mF754msKzqlxDCNhj/++P7489fjwzcyTfR0Lsxgde9gF/u3tsfQjO8Bjwl133id&#10;vsBDoAe5uwO5oo+E43F6Wpbn0HCojqdnpyeZ/OLJ2fkQ3wmrSRIq6tG7TCnbLkNEITAdTVIuY2+k&#10;Url/ypAOCU7Oyuxw0MBDmWQr8iTswyRAQ+FJiv2q36Nc2XoHkN4OUxIcv5EoZclCvGMeY4HqsTjx&#10;FkejLFLavURJa/3Xf70ne3QLWko6jFlFw5cN84IS9d6gjwgZR8GPwmoUzEZfWUzuEVbS8SzCwUc1&#10;io23+jP2aZGyQMUMR66KxlG8isOwYx+5WCyy0cZ5uW4HB0yhY3Fp7h1PaQZiF5toG5k5TxQNvKAB&#10;6YI5zK3Y70wa9D/v2erpPzH/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BYAAABkcnMvUEsBAhQAFAAAAAgAh07iQFJ+jZDWAAAACAEAAA8A&#10;AAAAAAAAAQAgAAAAOAAAAGRycy9kb3ducmV2LnhtbFBLAQIUABQAAAAIAIdO4kDXAloXPAIAAG8E&#10;AAAOAAAAAAAAAAEAIAAAADsBAABkcnMvZTJvRG9jLnhtbFBLBQYAAAAABgAGAFkBAADpBQAAAAA=&#10;">
              <v:fill on="f" focussize="0,0"/>
              <v:stroke on="f" weight="0.5pt"/>
              <v:imagedata o:title=""/>
              <o:lock v:ext="edit" aspectratio="f"/>
              <v:textbox inset="0mm,0mm,0mm,0mm">
                <w:txbxContent>
                  <w:p>
                    <w:pPr>
                      <w:pStyle w:val="11"/>
                      <w:rPr>
                        <w:rFonts w:ascii="宋体" w:hAnsi="宋体" w:cs="宋体"/>
                        <w:sz w:val="28"/>
                        <w:szCs w:val="28"/>
                      </w:rPr>
                    </w:pPr>
                  </w:p>
                </w:txbxContent>
              </v:textbox>
            </v:shape>
          </w:pict>
        </mc:Fallback>
      </mc:AlternateContent>
    </w:r>
    <w:r>
      <w:rPr>
        <w:rFonts w:hint="eastAsia" w:eastAsia="仿宋"/>
        <w:sz w:val="32"/>
        <w:szCs w:val="48"/>
        <w:lang w:val="en-US" w:eastAsia="zh-CN"/>
      </w:rPr>
      <w:t xml:space="preserve">  </w:t>
    </w:r>
  </w:p>
  <w:p>
    <w:pPr>
      <w:pStyle w:val="12"/>
      <w:wordWrap w:val="0"/>
      <w:jc w:val="both"/>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26670</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5pt;margin-top:2.1pt;height:0.15pt;width:442.25pt;z-index:251661312;mso-width-relative:page;mso-height-relative:page;" filled="f" stroked="t" coordsize="21600,21600" o:gfxdata="UEsFBgAAAAAAAAAAAAAAAAAAAAAAAFBLAwQKAAAAAACHTuJAAAAAAAAAAAAAAAAABAAAAGRycy9Q&#10;SwMEFAAAAAgAh07iQJ4RvlrTAAAABgEAAA8AAABkcnMvZG93bnJldi54bWxNjs1OwzAQhO9IfQdr&#10;kbi1zg+gKMSp1EicgANtubuxG0eN15btJuXtWU5wm9GMZr5me7MTm3WIo0MB+SYDprF3asRBwPHw&#10;uq6AxSRRycmhFvCtI2zb1V0ja+UW/NTzPg2MRjDWUoBJydecx95oK+PGeY2UnV2wMpENA1dBLjRu&#10;J15k2TO3ckR6MNLrzuj+sr9aAd2bLzrzcVhCsYvvw1xO/nz5EuLhPs9egCV9S39l+MUndGiJ6eSu&#10;qCKbBKzzkpoCHgtgFFdVSeJE/gl42/D/+O0PUEsDBBQAAAAIAIdO4kDwNi0p6QEAALUDAAAOAAAA&#10;ZHJzL2Uyb0RvYy54bWytU02O0zAU3iNxB8t7mqRSykzUdBZTDRsElYADuI6dWPKf/DxNewkugMQO&#10;VizZcxtmjsGzEzowbGZBFs7z+/mev8/P66uj0eQgAihnW1otSkqE5a5Ttm/ph/c3Ly4ogchsx7Sz&#10;oqUnAfRq8/zZevSNWLrB6U4EgiAWmtG3dIjRN0UBfBCGwcJ5YTEoXTAs4jb0RRfYiOhGF8uyXBWj&#10;C50PjgsA9G6nIJ0Rw1MAnZSKi63jt0bYOKEGoVlESjAoD3STTyul4PGtlCAi0S1FpjGv2ATtfVqL&#10;zZo1fWB+UHw+AnvKER5xMkxZbHqG2rLIyG1Q/0AZxYMDJ+OCO1NMRLIiyKIqH2nzbmBeZC4oNfiz&#10;6PD/YPmbwy4Q1bW0psQygxd+9+n7z49f7n98xvXu21dSJ5FGDw3mXttdmHfgdyExPspg0h+5kGMW&#10;9nQWVhwj4eisV9WqfokdOMaqyzJDFg+1PkB8JZwhyWipVjbRZg07vIaI/TD1d0pyW3ejtM5Xpy0Z&#10;W7rEL6EznEeJc4Cm8cgJbE8J0z0OOo8hQ4LTqkvlCQhCv7/WgRxYGo+yri6XiSy2+yst9d4yGKa8&#10;HJoGx6iIb0Er09KLMn1ztbYIkiSbRErW3nWnrF32423mNvPkpXH5c5+rH17b5h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eEb5a0wAAAAYBAAAPAAAAAAAAAAEAIAAAADgAAABkcnMvZG93bnJldi54&#10;bWxQSwECFAAUAAAACACHTuJA8DYtKekBAAC1AwAADgAAAAAAAAABACAAAAA4AQAAZHJzL2Uyb0Rv&#10;Yy54bWxQSwUGAAAAAAYABgBZAQAAkw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cs="宋体"/>
        <w:b/>
        <w:bCs/>
        <w:color w:val="005192"/>
        <w:sz w:val="28"/>
        <w:szCs w:val="44"/>
        <w:lang w:eastAsia="zh-CN"/>
      </w:rPr>
      <w:t>重庆市黔江区人民政府办公室</w:t>
    </w:r>
    <w:r>
      <w:rPr>
        <w:rFonts w:hint="eastAsia" w:ascii="宋体" w:hAnsi="宋体" w:eastAsia="宋体" w:cs="宋体"/>
        <w:b/>
        <w:bCs/>
        <w:color w:val="005192"/>
        <w:sz w:val="28"/>
        <w:szCs w:val="44"/>
        <w:lang w:val="en-US" w:eastAsia="zh-CN"/>
      </w:rPr>
      <w:t xml:space="preserve">发布  </w: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ordWrap w:val="0"/>
      <w:jc w:val="both"/>
      <w:rPr>
        <w:rFonts w:hint="eastAsia" w:ascii="宋体" w:hAnsi="宋体" w:eastAsia="宋体" w:cs="宋体"/>
        <w:b/>
        <w:bCs/>
        <w:color w:val="005192"/>
        <w:sz w:val="28"/>
        <w:szCs w:val="44"/>
        <w:lang w:val="en-US" w:eastAsia="zh-Hans"/>
      </w:rPr>
    </w:pPr>
  </w:p>
  <w:p>
    <w:pPr>
      <w:pStyle w:val="12"/>
      <w:wordWrap w:val="0"/>
      <w:jc w:val="both"/>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2540</wp:posOffset>
              </wp:positionV>
              <wp:extent cx="5616575" cy="1905"/>
              <wp:effectExtent l="0" t="10795" r="3175" b="15875"/>
              <wp:wrapNone/>
              <wp:docPr id="31" name="直接连接符 31"/>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0.2pt;height:0.15pt;width:442.25pt;z-index:251665408;mso-width-relative:page;mso-height-relative:page;" filled="f" stroked="t" coordsize="21600,21600" o:gfxdata="UEsFBgAAAAAAAAAAAAAAAAAAAAAAAFBLAwQKAAAAAACHTuJAAAAAAAAAAAAAAAAABAAAAGRycy9Q&#10;SwMEFAAAAAgAh07iQLgIO6rRAAAAAgEAAA8AAABkcnMvZG93bnJldi54bWxNjzFPwzAUhHek/gfr&#10;VWKjTkMpUchLJSIxAQMt7G7sxlHtZ8t2k/LvMROMpzvdfdfsrtawSYU4OkJYrwpginonRxoQPg8v&#10;dxWwmARJYRwphG8VYdcubhpRSzfTh5r2aWC5hGItEHRKvuY89lpZEVfOK8reyQUrUpZh4DKIOZdb&#10;w8ui2HIrRsoLWnjVadWf9xeL0L36stPvhzmUz/FtmO6NP52/EG+X6+IJWFLX9BeGX/yMDm1mOroL&#10;ycgMQj6SEDbAsldVmwdgR4RH4G3D/6O3P1BLAwQUAAAACACHTuJAcbuEKOsBAAC3AwAADgAAAGRy&#10;cy9lMm9Eb2MueG1srVPNjtMwEL4j8Q6W7zRJUcpu1HQPWy0XBJWAB5g6TmLJf/J4m/YleAEkbnDi&#10;yJ23YXkMxknownLZAzk44/n5PN/n8frqaDQ7yIDK2ZoXi5wzaYVrlO1q/v7dzbMLzjCCbUA7K2t+&#10;ksivNk+frAdfyaXrnW5kYARisRp8zfsYfZVlKHppABfOS0vB1gUDkbahy5oAA6EbnS3zfJUNLjQ+&#10;OCERybudgnxGDI8BdG2rhNw6cWukjRNqkBoiUcJeeeSbsdu2lSK+aVuUkemaE9M4rnQI2fu0Zps1&#10;VF0A3ysxtwCPaeEBJwPK0qFnqC1EYLdB/QNllAgOXRsXwplsIjIqQiyK/IE2b3vwcuRCUqM/i47/&#10;D1a8PuwCU03NnxecWTB043cfv/348Pnn90+03n39wihCMg0eK8q+trsw79DvQuJ8bINJf2LDjqO0&#10;p7O08hiZIGe5Klbli5IzQbHiMi8TZHZf6wPGl9IZloyaa2UTcajg8ArjlPo7Jbmtu1Fakx8qbdlQ&#10;8yV9CR1oIluaBDKNJ1ZoO85AdzTqIoYREp1WTSpP1Ri6/bUO7ABpQPKyuFzOnf2Vls7eAvZT3hhK&#10;aVAZFek1aGVqfpGnb67WluglySaRkrV3zWnUbvTTfY4CzLOXBubP/Vh9/942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WAAAAZHJzL1BL&#10;AQIUABQAAAAIAIdO4kC4CDuq0QAAAAIBAAAPAAAAAAAAAAEAIAAAADgAAABkcnMvZG93bnJldi54&#10;bWxQSwECFAAUAAAACACHTuJAcbuEKOsBAAC3AwAADgAAAAAAAAABACAAAAA2AQAAZHJzL2Uyb0Rv&#10;Yy54bWxQSwUGAAAAAAYABgBZAQAAkw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28"/>
        <w:szCs w:val="44"/>
        <w:lang w:val="en-US" w:eastAsia="zh-Hans"/>
      </w:rPr>
      <w:t>重庆市</w:t>
    </w:r>
    <w:r>
      <w:rPr>
        <w:rFonts w:hint="eastAsia" w:ascii="宋体" w:hAnsi="宋体" w:cs="宋体"/>
        <w:b/>
        <w:bCs/>
        <w:color w:val="005192"/>
        <w:sz w:val="28"/>
        <w:szCs w:val="44"/>
        <w:lang w:eastAsia="zh-CN"/>
      </w:rPr>
      <w:t>黔江区人民政府办公室</w:t>
    </w:r>
    <w:r>
      <w:rPr>
        <w:rFonts w:hint="eastAsia" w:ascii="宋体" w:hAnsi="宋体" w:eastAsia="宋体" w:cs="宋体"/>
        <w:b/>
        <w:bCs/>
        <w:color w:val="005192"/>
        <w:sz w:val="28"/>
        <w:szCs w:val="44"/>
        <w:lang w:val="en-US" w:eastAsia="zh-CN"/>
      </w:rPr>
      <w:t xml:space="preserve">发布     </w:t>
    </w:r>
  </w:p>
  <w:p>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296035" cy="34353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296035" cy="343535"/>
                      </a:xfrm>
                      <a:prstGeom prst="rect">
                        <a:avLst/>
                      </a:prstGeom>
                      <a:noFill/>
                      <a:ln w="6350">
                        <a:noFill/>
                      </a:ln>
                      <a:effectLst/>
                    </wps:spPr>
                    <wps:txbx>
                      <w:txbxContent>
                        <w:p>
                          <w:pPr>
                            <w:pStyle w:val="11"/>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w:t>
                          </w:r>
                          <w:r>
                            <w:rPr>
                              <w:rFonts w:ascii="宋体" w:hAnsi="宋体" w:cs="宋体"/>
                              <w:sz w:val="28"/>
                              <w:szCs w:val="28"/>
                            </w:rPr>
                            <w:fldChar w:fldCharType="end"/>
                          </w:r>
                          <w:r>
                            <w:rPr>
                              <w:rFonts w:ascii="宋体" w:hAnsi="宋体" w:cs="宋体"/>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7.05pt;width:102.05pt;mso-position-horizontal:outside;mso-position-horizontal-relative:margin;z-index:251660288;mso-width-relative:page;mso-height-relative:page;" filled="f" stroked="f" coordsize="21600,21600" o:gfxdata="UEsFBgAAAAAAAAAAAAAAAAAAAAAAAFBLAwQKAAAAAACHTuJAAAAAAAAAAAAAAAAABAAAAGRycy9Q&#10;SwMEFAAAAAgAh07iQLTkeWLTAAAABAEAAA8AAABkcnMvZG93bnJldi54bWxNj0tPwzAQhO9I/Adr&#10;kbhROxUgFOL0wOPGq4VK5ebESxLhR2Rv0vLvWbjAZUerWc18W60O3okZUx5i0FAsFAgMbbRD6DS8&#10;vd6fXYHIZII1LgbU8IUZVvXxUWVKG/dhjfOGOsEhIZdGQ080llLmtkdv8iKOGNj7iMkb4jV10iaz&#10;53Dv5FKpS+nNELihNyPe9Nh+biavwe1yemgUvc+33SO9PMtpe1c8aX16UqhrEIQH+juGH3xGh5qZ&#10;mjgFm4XTwI/Q72Rvqc4LEI2GC1ZZV/I/fP0NUEsDBBQAAAAIAIdO4kBHK+e7PgIAAHAEAAAOAAAA&#10;ZHJzL2Uyb0RvYy54bWytVMGO0zAQvSPxD5bvNGlLu1BtuipbFSFV7EoFcXYdp7Fke4ztNikfAH/A&#10;iQt3vqvfwdhpumjhsAcu6bNn/MbvzbjXN61W5CCcl2AKOhzklAjDoZRmV9CPH1YvXlHiAzMlU2BE&#10;QY/C05v582fXjZ2JEdSgSuEIkhg/a2xB6xDsLMs8r4VmfgBWGAxW4DQLuHS7rHSsQXatslGeT7MG&#10;XGkdcOE97i67ID0zuqcQQlVJLpbA91qY0LE6oVhASb6W1tN5um1VCR7uqsqLQFRBUWlIXyyCeBu/&#10;2fyazXaO2Vry8xXYU67wSJNm0mDRC9WSBUb2Tv5FpSV34KEKAw4664QkR1DFMH/kzaZmViQtaLW3&#10;F9P9/6Pl7w/3jsiyoFeUGKax4afv304/fp1+fiVX0Z7G+hlmbSzmhfYNtDg0/b7Hzai6rZyOv6iH&#10;YBzNPV7MFW0gPB4avZ7m4wklHGPjl+MJYqTPHk5b58NbAZpEUFCHzUuessPahy61T4nFDKykUqmB&#10;ypCmoNPxJE8HLhEkVybmijQKZ5qoqLt5RKHdtmeZWyiPqNJBNybe8pXEq6yZD/fM4VygMHw54Q4/&#10;lQIsCWdESQ3uy7/2Yz62C6OUNDhnBfWf98wJStQ7g42MQ9kD14NtD8xe3wKO7hDfpOUJ4gEXVA8r&#10;B/oTPqhFrIIhZjjWKmjo4W3oph0fJBeLRUraWyd3dXcAx9CysDYby2OZztjFPkAlk+fRos4X7FVc&#10;4CCmrp0fTZz0P9cp6+GPYv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tOR5YtMAAAAEAQAADwAA&#10;AAAAAAABACAAAAA4AAAAZHJzL2Rvd25yZXYueG1sUEsBAhQAFAAAAAgAh07iQEcr57s+AgAAcAQA&#10;AA4AAAAAAAAAAQAgAAAAOAEAAGRycy9lMm9Eb2MueG1sUEsFBgAAAAAGAAYAWQEAAOgFAAAAAA==&#10;">
              <v:fill on="f" focussize="0,0"/>
              <v:stroke on="f" weight="0.5pt"/>
              <v:imagedata o:title=""/>
              <o:lock v:ext="edit" aspectratio="f"/>
              <v:textbox inset="0mm,0mm,0mm,0mm">
                <w:txbxContent>
                  <w:p>
                    <w:pPr>
                      <w:pStyle w:val="11"/>
                      <w:rPr>
                        <w:rFonts w:ascii="宋体" w:hAnsi="宋体" w:cs="宋体"/>
                        <w:sz w:val="28"/>
                        <w:szCs w:val="28"/>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2</w:t>
                    </w:r>
                    <w:r>
                      <w:rPr>
                        <w:rFonts w:ascii="宋体" w:hAnsi="宋体" w:cs="宋体"/>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25" name="直接连接符 25"/>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3360;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yRfo2vQBAAC/AwAADgAA&#10;AGRycy9lMm9Eb2MueG1srVNNbhMxFN4jcQfLezKTaRPSUSZdNCobBJGgB3A89owl/8nPzSSX4AJI&#10;7GDFkj23oRyDZ8/QQtl0wSw8z36fv+fv8/P68mg0OYgAytmGzmclJcJy1yrbNfTm/fWLFSUQmW2Z&#10;dlY09CSAXm6eP1sPvhaV651uRSBIYqEefEP7GH1dFMB7YRjMnBcWk9IFwyJOQ1e0gQ3IbnRRleWy&#10;GFxofXBcAODqdkzSiTE8hdBJqbjYOn5rhI0jaxCaRZQEvfJAN/m0Ugoe30oJIhLdUFQa84hFMN6n&#10;sdisWd0F5nvFpyOwpxzhkSbDlMWi91RbFhm5DeofKqN4cOBknHFnilFIdgRVzMtH3rzrmRdZC1oN&#10;/t50+H+0/M1hF4hqG1otKLHM4I3fffz248Pnn98/4Xj39QvBDNo0eKgRfWV3YZqB34Wk+SiDSX9U&#10;Q44NPZ+fna0WaPCpoavl+erl5LI4RsIxv1hWJQIo4QjIueKBwweIr4QzJAUN1comA1jNDq8hYl2E&#10;/oakZeuuldb5ErUlA6rAL1Ez7EyJHYGh8agObEcJ0x22PI8hU4LTqk3bExGEbn+lAzmw1CjlYn5R&#10;JdFY7i9Yqr1l0I+4nBpbyKiIr0Irg5rL9E27tUWSZN1oVor2rj1lD/M63msuM/Vgapw/53n3w7vb&#10;/A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WAAAAZHJzL1BLAQIUABQAAAAIAIdO4kA3EeSs1AAAAAgBAAAPAAAAAAAAAAEAIAAAADgAAABk&#10;cnMvZG93bnJldi54bWxQSwECFAAUAAAACACHTuJAyRfo2vQBAAC/AwAADgAAAAAAAAABACAAAAA5&#10;AQAAZHJzL2Uyb0RvYy54bWxQSwUGAAAAAAYABgBZAQAAnwUAAAAA&#10;">
              <v:fill on="f" focussize="0,0"/>
              <v:stroke weight="1.75pt" color="#005192 [3204]" miterlimit="8" joinstyle="miter"/>
              <v:imagedata o:title=""/>
              <o:lock v:ext="edit" aspectratio="f"/>
            </v:line>
          </w:pict>
        </mc:Fallback>
      </mc:AlternateContent>
    </w:r>
  </w:p>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26" name="图片 2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cs="宋体"/>
        <w:b/>
        <w:bCs/>
        <w:color w:val="005192"/>
        <w:sz w:val="32"/>
        <w:lang w:eastAsia="zh-CN"/>
      </w:rPr>
      <w:t>黔江区人民政府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p>
    <w:pPr>
      <w:pStyle w:val="12"/>
      <w:keepNext w:val="0"/>
      <w:keepLines w:val="0"/>
      <w:pageBreakBefore w:val="0"/>
      <w:widowControl w:val="0"/>
      <w:kinsoku/>
      <w:wordWrap/>
      <w:overflowPunct/>
      <w:topLinePunct w:val="0"/>
      <w:autoSpaceDE/>
      <w:autoSpaceDN/>
      <w:bidi w:val="0"/>
      <w:adjustRightInd/>
      <w:snapToGrid w:val="0"/>
      <w:textAlignment w:val="center"/>
      <w:rPr>
        <w:rFonts w:ascii="宋体" w:hAnsi="宋体" w:cs="宋体"/>
        <w:b/>
        <w:bCs/>
        <w:color w:val="005192"/>
        <w:sz w:val="32"/>
        <w:szCs w:val="32"/>
      </w:rPr>
    </w:pPr>
  </w:p>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28" name="直接连接符 28"/>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64384;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t6vievMBAAC/AwAADgAA&#10;AGRycy9lMm9Eb2MueG1srVPNbhMxEL4j8Q6W72Q32yakq2x6aFQuCCJBH8Dx2ruW/CePm01eghdA&#10;4gYnjtx5G8pjMPYuLZRLD/hgjz3jb/x9M15fHo0mBxFAOdvQ+aykRFjuWmW7ht68v36xogQisy3T&#10;zoqGngTQy83zZ+vB16JyvdOtCARBLNSDb2gfo6+LAngvDIOZ88KiU7pgWMRt6Io2sAHRjS6qslwW&#10;gwutD44LADzdjk46IYanADopFRdbx2+NsHFEDUKziJSgVx7oJr9WSsHjWylBRKIbikxjnjEJ2vs0&#10;F5s1q7vAfK/49AT2lCc84mSYspj0HmrLIiO3Qf0DZRQPDpyMM+5MMRLJiiCLeflIm3c98yJzQanB&#10;34sO/w+WvznsAlFtQyusu2UGK3738duPD59/fv+E893XLwQ9KNPgocboK7sL0w78LiTORxlMWpEN&#10;OTb0fH52tlqgwKeGrpbnq5eTyuIYCUf/YlmVGEAJx4DsKx4wfID4SjhDktFQrWwSgNXs8Boi5sXQ&#10;3yHp2LprpXUuorZkQBY4EjTDzpTYEWgaj+zAdpQw3WHL8xgyJDit2nQ9AUHo9lc6kANLjVIu5hdV&#10;Io3p/gpLubcM+jEuu8YWMirir9DKIOcyjem2tgiSpBvFStbetaesYT7HuuY0Uw+mxvlzn28//Lv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BYAAABkcnMvUEsBAhQAFAAAAAgAh07iQDcR5KzUAAAACAEAAA8AAAAAAAAAAQAgAAAAOAAAAGRy&#10;cy9kb3ducmV2LnhtbFBLAQIUABQAAAAIAIdO4kC3q+J68wEAAL8DAAAOAAAAAAAAAAEAIAAAADkB&#10;AABkcnMvZTJvRG9jLnhtbFBLBQYAAAAABgAGAFkBAACeBQAAAAA=&#10;">
              <v:fill on="f" focussize="0,0"/>
              <v:stroke weight="1.75pt" color="#005192 [3204]" miterlimit="8" joinstyle="miter"/>
              <v:imagedata o:title=""/>
              <o:lock v:ext="edit" aspectratio="f"/>
            </v:line>
          </w:pict>
        </mc:Fallback>
      </mc:AlternateContent>
    </w:r>
  </w:p>
  <w:p>
    <w:pPr>
      <w:pStyle w:val="12"/>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29" name="图片 29"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cs="宋体"/>
        <w:b/>
        <w:bCs/>
        <w:color w:val="005192"/>
        <w:sz w:val="32"/>
        <w:lang w:eastAsia="zh-CN"/>
      </w:rPr>
      <w:t>黔江区人民政府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p>
    <w:pPr>
      <w:pStyle w:val="12"/>
      <w:keepNext w:val="0"/>
      <w:keepLines w:val="0"/>
      <w:pageBreakBefore w:val="0"/>
      <w:widowControl w:val="0"/>
      <w:kinsoku/>
      <w:wordWrap/>
      <w:overflowPunct/>
      <w:topLinePunct w:val="0"/>
      <w:autoSpaceDE/>
      <w:autoSpaceDN/>
      <w:bidi w:val="0"/>
      <w:adjustRightInd/>
      <w:snapToGrid w:val="0"/>
      <w:textAlignment w:val="center"/>
      <w:rPr>
        <w:rFonts w:ascii="宋体" w:hAnsi="宋体" w:cs="宋体"/>
        <w:b/>
        <w:bCs/>
        <w:color w:val="005192"/>
        <w:sz w:val="32"/>
        <w:szCs w:val="32"/>
      </w:rPr>
    </w:pPr>
  </w:p>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chineseCountingThousand"/>
      <w:suff w:val="nothing"/>
      <w:lvlText w:val="%1、"/>
      <w:lvlJc w:val="left"/>
      <w:pPr>
        <w:ind w:left="840" w:firstLine="0"/>
      </w:pPr>
      <w:rPr>
        <w:rFonts w:hint="eastAsia"/>
        <w:lang w:val="en-US"/>
      </w:rPr>
    </w:lvl>
    <w:lvl w:ilvl="1" w:tentative="0">
      <w:start w:val="1"/>
      <w:numFmt w:val="chineseCountingThousand"/>
      <w:suff w:val="nothing"/>
      <w:lvlText w:val="%2、"/>
      <w:lvlJc w:val="left"/>
      <w:pPr>
        <w:ind w:left="1120" w:firstLine="0"/>
      </w:pPr>
      <w:rPr>
        <w:rFonts w:hint="eastAsia"/>
        <w:lang w:val="en-US"/>
      </w:rPr>
    </w:lvl>
    <w:lvl w:ilvl="2" w:tentative="0">
      <w:start w:val="1"/>
      <w:numFmt w:val="japaneseCounting"/>
      <w:pStyle w:val="4"/>
      <w:suff w:val="nothing"/>
      <w:lvlText w:val="（%3）"/>
      <w:lvlJc w:val="left"/>
      <w:pPr>
        <w:ind w:left="1560" w:firstLine="0"/>
      </w:pPr>
      <w:rPr>
        <w:rFonts w:ascii="宋体" w:hAnsi="宋体" w:eastAsia="方正仿宋_GBK" w:cs="Times New Roman"/>
        <w:lang w:val="en-US"/>
      </w:rPr>
    </w:lvl>
    <w:lvl w:ilvl="3" w:tentative="0">
      <w:start w:val="1"/>
      <w:numFmt w:val="decimal"/>
      <w:suff w:val="nothing"/>
      <w:lvlText w:val="%4."/>
      <w:lvlJc w:val="left"/>
      <w:pPr>
        <w:ind w:left="851" w:firstLine="0"/>
      </w:pPr>
      <w:rPr>
        <w:rFonts w:hint="eastAsia"/>
      </w:rPr>
    </w:lvl>
    <w:lvl w:ilvl="4" w:tentative="0">
      <w:start w:val="1"/>
      <w:numFmt w:val="decimal"/>
      <w:suff w:val="space"/>
      <w:lvlText w:val="(%5)"/>
      <w:lvlJc w:val="left"/>
      <w:pPr>
        <w:ind w:left="627" w:firstLine="0"/>
      </w:pPr>
      <w:rPr>
        <w:rFonts w:hint="eastAsia"/>
      </w:rPr>
    </w:lvl>
    <w:lvl w:ilvl="5" w:tentative="0">
      <w:start w:val="1"/>
      <w:numFmt w:val="decimal"/>
      <w:lvlText w:val="%4..%5.%6"/>
      <w:lvlJc w:val="left"/>
      <w:pPr>
        <w:tabs>
          <w:tab w:val="left" w:pos="627"/>
        </w:tabs>
        <w:ind w:left="627" w:firstLine="0"/>
      </w:pPr>
      <w:rPr>
        <w:rFonts w:hint="eastAsia"/>
      </w:rPr>
    </w:lvl>
    <w:lvl w:ilvl="6" w:tentative="0">
      <w:start w:val="1"/>
      <w:numFmt w:val="decimal"/>
      <w:lvlText w:val="%4..%5.%6.%7"/>
      <w:lvlJc w:val="left"/>
      <w:pPr>
        <w:tabs>
          <w:tab w:val="left" w:pos="627"/>
        </w:tabs>
        <w:ind w:left="627" w:firstLine="0"/>
      </w:pPr>
      <w:rPr>
        <w:rFonts w:hint="eastAsia"/>
      </w:rPr>
    </w:lvl>
    <w:lvl w:ilvl="7" w:tentative="0">
      <w:start w:val="1"/>
      <w:numFmt w:val="decimal"/>
      <w:lvlText w:val="%4..%5.%6.%7.%8"/>
      <w:lvlJc w:val="left"/>
      <w:pPr>
        <w:tabs>
          <w:tab w:val="left" w:pos="627"/>
        </w:tabs>
        <w:ind w:left="627" w:firstLine="0"/>
      </w:pPr>
      <w:rPr>
        <w:rFonts w:hint="eastAsia"/>
      </w:rPr>
    </w:lvl>
    <w:lvl w:ilvl="8" w:tentative="0">
      <w:start w:val="1"/>
      <w:numFmt w:val="decimal"/>
      <w:lvlText w:val="%4..%5.%6.%7.%8.%9"/>
      <w:lvlJc w:val="left"/>
      <w:pPr>
        <w:tabs>
          <w:tab w:val="left" w:pos="627"/>
        </w:tabs>
        <w:ind w:left="627"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yMjk4M2Y0Y2VhZmE1MmYyZjVlMWUyOGZkZTMxYTgifQ=="/>
  </w:docVars>
  <w:rsids>
    <w:rsidRoot w:val="1CE265F1"/>
    <w:rsid w:val="002F4775"/>
    <w:rsid w:val="00300FAB"/>
    <w:rsid w:val="00641361"/>
    <w:rsid w:val="00C8469B"/>
    <w:rsid w:val="01A3073B"/>
    <w:rsid w:val="03304250"/>
    <w:rsid w:val="034F0AEC"/>
    <w:rsid w:val="039B4201"/>
    <w:rsid w:val="055D53FF"/>
    <w:rsid w:val="06041631"/>
    <w:rsid w:val="07267138"/>
    <w:rsid w:val="0954015F"/>
    <w:rsid w:val="099B1508"/>
    <w:rsid w:val="09F52559"/>
    <w:rsid w:val="0E7449D6"/>
    <w:rsid w:val="0F3E50C5"/>
    <w:rsid w:val="12305F09"/>
    <w:rsid w:val="126A7156"/>
    <w:rsid w:val="127F48AC"/>
    <w:rsid w:val="135C49D3"/>
    <w:rsid w:val="13B85FB7"/>
    <w:rsid w:val="156C2EC6"/>
    <w:rsid w:val="162938B5"/>
    <w:rsid w:val="16C974A2"/>
    <w:rsid w:val="170E0A5C"/>
    <w:rsid w:val="1792392B"/>
    <w:rsid w:val="17C76AD9"/>
    <w:rsid w:val="1833131B"/>
    <w:rsid w:val="195B1BCF"/>
    <w:rsid w:val="1ABC6199"/>
    <w:rsid w:val="1CE265F1"/>
    <w:rsid w:val="1D774AFE"/>
    <w:rsid w:val="1DBB0E8E"/>
    <w:rsid w:val="1DDA2772"/>
    <w:rsid w:val="1DE024A4"/>
    <w:rsid w:val="1EB678A8"/>
    <w:rsid w:val="1F8350EC"/>
    <w:rsid w:val="203F6942"/>
    <w:rsid w:val="22EE11B0"/>
    <w:rsid w:val="24F8608A"/>
    <w:rsid w:val="27DB0228"/>
    <w:rsid w:val="2A2955B0"/>
    <w:rsid w:val="2AC0755D"/>
    <w:rsid w:val="2CBC252D"/>
    <w:rsid w:val="2F4F1437"/>
    <w:rsid w:val="2F8D01B1"/>
    <w:rsid w:val="2FAF27B9"/>
    <w:rsid w:val="2FB8161D"/>
    <w:rsid w:val="31EC5658"/>
    <w:rsid w:val="32204B21"/>
    <w:rsid w:val="32A22BF5"/>
    <w:rsid w:val="33FC853F"/>
    <w:rsid w:val="355F3D52"/>
    <w:rsid w:val="364C66D0"/>
    <w:rsid w:val="369E2CA4"/>
    <w:rsid w:val="36B1489A"/>
    <w:rsid w:val="36C62330"/>
    <w:rsid w:val="37BF2ED1"/>
    <w:rsid w:val="387168C2"/>
    <w:rsid w:val="38E452E6"/>
    <w:rsid w:val="38ED4838"/>
    <w:rsid w:val="39613D8F"/>
    <w:rsid w:val="3A573DDF"/>
    <w:rsid w:val="3AAE6117"/>
    <w:rsid w:val="3BC92571"/>
    <w:rsid w:val="3C9012E0"/>
    <w:rsid w:val="3CEE4FB5"/>
    <w:rsid w:val="3E3C1720"/>
    <w:rsid w:val="4028294B"/>
    <w:rsid w:val="40944855"/>
    <w:rsid w:val="41170888"/>
    <w:rsid w:val="413170E8"/>
    <w:rsid w:val="43142BB6"/>
    <w:rsid w:val="43B918E6"/>
    <w:rsid w:val="43CD4BC8"/>
    <w:rsid w:val="43F860E9"/>
    <w:rsid w:val="44031E43"/>
    <w:rsid w:val="446C62D1"/>
    <w:rsid w:val="447F2366"/>
    <w:rsid w:val="45174411"/>
    <w:rsid w:val="45EE1552"/>
    <w:rsid w:val="46821C9A"/>
    <w:rsid w:val="46E43D74"/>
    <w:rsid w:val="491E3069"/>
    <w:rsid w:val="49A37317"/>
    <w:rsid w:val="4B7122DD"/>
    <w:rsid w:val="4DC808DA"/>
    <w:rsid w:val="4DF25539"/>
    <w:rsid w:val="4F255BD2"/>
    <w:rsid w:val="4FE63299"/>
    <w:rsid w:val="4FF92C9C"/>
    <w:rsid w:val="50591CBD"/>
    <w:rsid w:val="50F9524E"/>
    <w:rsid w:val="517961A1"/>
    <w:rsid w:val="519E44B6"/>
    <w:rsid w:val="51F837D1"/>
    <w:rsid w:val="52184E4A"/>
    <w:rsid w:val="527E7B63"/>
    <w:rsid w:val="543B00DA"/>
    <w:rsid w:val="5479474B"/>
    <w:rsid w:val="554D2520"/>
    <w:rsid w:val="56912169"/>
    <w:rsid w:val="57F96532"/>
    <w:rsid w:val="5B184523"/>
    <w:rsid w:val="5B2F3EB3"/>
    <w:rsid w:val="5C11008F"/>
    <w:rsid w:val="5FEC1CFE"/>
    <w:rsid w:val="612956DC"/>
    <w:rsid w:val="61773FF6"/>
    <w:rsid w:val="63B7489A"/>
    <w:rsid w:val="67AC7B5D"/>
    <w:rsid w:val="6A7105D2"/>
    <w:rsid w:val="6AD76284"/>
    <w:rsid w:val="6BCE3398"/>
    <w:rsid w:val="6C3757CF"/>
    <w:rsid w:val="6C757CDC"/>
    <w:rsid w:val="6DF76589"/>
    <w:rsid w:val="6E3851B0"/>
    <w:rsid w:val="6FA93114"/>
    <w:rsid w:val="70730722"/>
    <w:rsid w:val="710D5340"/>
    <w:rsid w:val="71275556"/>
    <w:rsid w:val="71C54FAD"/>
    <w:rsid w:val="71FE241D"/>
    <w:rsid w:val="721379BE"/>
    <w:rsid w:val="730E31CE"/>
    <w:rsid w:val="74791404"/>
    <w:rsid w:val="777D2475"/>
    <w:rsid w:val="7AC074DE"/>
    <w:rsid w:val="7AFE508C"/>
    <w:rsid w:val="7B0452DC"/>
    <w:rsid w:val="7B332B6F"/>
    <w:rsid w:val="7E794E62"/>
    <w:rsid w:val="7F4F7D22"/>
    <w:rsid w:val="7F9D4E73"/>
    <w:rsid w:val="7FF33517"/>
    <w:rsid w:val="9FDDE6A7"/>
    <w:rsid w:val="BFEDBCE6"/>
    <w:rsid w:val="DB9FE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numPr>
        <w:ilvl w:val="2"/>
        <w:numId w:val="1"/>
      </w:numPr>
      <w:ind w:left="0" w:firstLine="200" w:firstLineChars="200"/>
      <w:outlineLvl w:val="2"/>
    </w:pPr>
  </w:style>
  <w:style w:type="paragraph" w:styleId="5">
    <w:name w:val="heading 4"/>
    <w:basedOn w:val="3"/>
    <w:next w:val="1"/>
    <w:qFormat/>
    <w:uiPriority w:val="0"/>
    <w:pPr>
      <w:spacing w:before="280" w:after="290" w:line="376" w:lineRule="auto"/>
      <w:outlineLvl w:val="3"/>
    </w:pPr>
    <w:rPr>
      <w:rFonts w:ascii="Arial" w:hAnsi="Arial" w:eastAsia="黑体"/>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unhideWhenUsed/>
    <w:qFormat/>
    <w:uiPriority w:val="99"/>
    <w:pPr>
      <w:ind w:firstLine="420" w:firstLineChars="200"/>
    </w:pPr>
  </w:style>
  <w:style w:type="paragraph" w:styleId="7">
    <w:name w:val="Body Text"/>
    <w:basedOn w:val="1"/>
    <w:next w:val="8"/>
    <w:qFormat/>
    <w:uiPriority w:val="0"/>
    <w:pPr>
      <w:spacing w:line="276" w:lineRule="auto"/>
    </w:pPr>
    <w:rPr>
      <w:rFonts w:ascii="Times New Roman" w:hAnsi="Times New Roman"/>
    </w:rPr>
  </w:style>
  <w:style w:type="paragraph" w:styleId="8">
    <w:name w:val="Body Text First Indent"/>
    <w:basedOn w:val="7"/>
    <w:qFormat/>
    <w:uiPriority w:val="0"/>
    <w:pPr>
      <w:ind w:firstLine="720"/>
    </w:pPr>
  </w:style>
  <w:style w:type="paragraph" w:styleId="9">
    <w:name w:val="Body Text Indent"/>
    <w:basedOn w:val="1"/>
    <w:qFormat/>
    <w:uiPriority w:val="0"/>
    <w:pPr>
      <w:adjustRightInd w:val="0"/>
      <w:spacing w:line="360" w:lineRule="atLeast"/>
      <w:ind w:firstLine="600"/>
      <w:textAlignment w:val="baseline"/>
    </w:pPr>
    <w:rPr>
      <w:rFonts w:eastAsia="宋体"/>
      <w:sz w:val="30"/>
    </w:rPr>
  </w:style>
  <w:style w:type="paragraph" w:styleId="10">
    <w:name w:val="Plain Text"/>
    <w:basedOn w:val="1"/>
    <w:qFormat/>
    <w:uiPriority w:val="0"/>
    <w:pPr>
      <w:spacing w:line="594" w:lineRule="exact"/>
    </w:pPr>
    <w:rPr>
      <w:rFonts w:ascii="宋体" w:hAnsi="Courier New" w:eastAsia="宋体" w:cs="Courier New"/>
      <w:sz w:val="21"/>
      <w:szCs w:val="21"/>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Body Text 2"/>
    <w:basedOn w:val="1"/>
    <w:qFormat/>
    <w:uiPriority w:val="0"/>
    <w:rPr>
      <w:rFonts w:ascii="楷体_GB2312" w:eastAsia="楷体_GB2312"/>
      <w:b/>
    </w:rPr>
  </w:style>
  <w:style w:type="paragraph" w:styleId="14">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szCs w:val="24"/>
      <w:lang w:val="en-US" w:eastAsia="zh-CN" w:bidi="ar-SA"/>
    </w:rPr>
  </w:style>
  <w:style w:type="paragraph" w:styleId="15">
    <w:name w:val="Title"/>
    <w:next w:val="1"/>
    <w:qFormat/>
    <w:uiPriority w:val="99"/>
    <w:pPr>
      <w:widowControl w:val="0"/>
      <w:spacing w:before="240" w:after="60"/>
      <w:jc w:val="center"/>
      <w:outlineLvl w:val="0"/>
    </w:pPr>
    <w:rPr>
      <w:rFonts w:ascii="Cambria" w:hAnsi="Cambria" w:eastAsia="宋体" w:cs="Times New Roman"/>
      <w:b/>
      <w:bCs/>
      <w:kern w:val="2"/>
      <w:sz w:val="32"/>
      <w:szCs w:val="32"/>
      <w:lang w:val="en-US" w:eastAsia="zh-CN"/>
    </w:rPr>
  </w:style>
  <w:style w:type="paragraph" w:styleId="16">
    <w:name w:val="Body Text First Indent 2"/>
    <w:basedOn w:val="9"/>
    <w:next w:val="1"/>
    <w:qFormat/>
    <w:uiPriority w:val="0"/>
    <w:pPr>
      <w:spacing w:after="120"/>
      <w:ind w:left="200" w:leftChars="200" w:firstLine="200" w:firstLineChars="200"/>
    </w:pPr>
    <w:rPr>
      <w:rFonts w:ascii="Calibri" w:hAnsi="Calibri"/>
      <w:sz w:val="21"/>
      <w:szCs w:val="24"/>
    </w:rPr>
  </w:style>
  <w:style w:type="table" w:styleId="18">
    <w:name w:val="Table Grid"/>
    <w:basedOn w:val="17"/>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0"/>
    <w:rPr>
      <w:b/>
    </w:rPr>
  </w:style>
  <w:style w:type="character" w:styleId="21">
    <w:name w:val="page number"/>
    <w:basedOn w:val="19"/>
    <w:qFormat/>
    <w:uiPriority w:val="0"/>
    <w:rPr>
      <w:rFonts w:cs="Times New Roman"/>
    </w:rPr>
  </w:style>
  <w:style w:type="paragraph" w:customStyle="1" w:styleId="22">
    <w:name w:val="默认"/>
    <w:qFormat/>
    <w:uiPriority w:val="0"/>
    <w:rPr>
      <w:rFonts w:ascii="Helvetica" w:hAnsi="Helvetica" w:eastAsia="Helvetica" w:cs="Helvetica"/>
      <w:color w:val="000000"/>
      <w:sz w:val="22"/>
      <w:szCs w:val="22"/>
      <w:lang w:val="en-US" w:eastAsia="zh-CN" w:bidi="ar-SA"/>
    </w:rPr>
  </w:style>
  <w:style w:type="paragraph" w:customStyle="1" w:styleId="23">
    <w:name w:val="正文缩进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索引 51"/>
    <w:basedOn w:val="1"/>
    <w:next w:val="1"/>
    <w:qFormat/>
    <w:uiPriority w:val="99"/>
    <w:pPr>
      <w:ind w:left="1680"/>
    </w:pPr>
  </w:style>
  <w:style w:type="paragraph" w:customStyle="1" w:styleId="25">
    <w:name w:val="Default"/>
    <w:next w:val="1"/>
    <w:qFormat/>
    <w:uiPriority w:val="0"/>
    <w:pPr>
      <w:autoSpaceDE w:val="0"/>
      <w:autoSpaceDN w:val="0"/>
      <w:adjustRightInd w:val="0"/>
    </w:pPr>
    <w:rPr>
      <w:rFonts w:ascii="Arial" w:hAnsi="Arial" w:eastAsia="宋体" w:cs="Arial"/>
      <w:color w:val="000000"/>
      <w:sz w:val="24"/>
      <w:szCs w:val="24"/>
      <w:lang w:val="en-US" w:eastAsia="zh-CN" w:bidi="ar-SA"/>
    </w:rPr>
  </w:style>
  <w:style w:type="paragraph" w:customStyle="1" w:styleId="26">
    <w:name w:val="p0"/>
    <w:basedOn w:val="1"/>
    <w:qFormat/>
    <w:uiPriority w:val="0"/>
    <w:pPr>
      <w:widowControl/>
    </w:pPr>
    <w:rPr>
      <w:kern w:val="0"/>
    </w:rPr>
  </w:style>
  <w:style w:type="paragraph" w:customStyle="1" w:styleId="27">
    <w:name w:val="样式1"/>
    <w:basedOn w:val="2"/>
    <w:qFormat/>
    <w:uiPriority w:val="0"/>
    <w:pPr>
      <w:numPr>
        <w:ilvl w:val="0"/>
        <w:numId w:val="0"/>
      </w:numPr>
      <w:spacing w:before="0" w:after="0"/>
      <w:jc w:val="center"/>
      <w:outlineLvl w:val="9"/>
    </w:pPr>
    <w:rPr>
      <w:rFonts w:eastAsia="方正小标宋_GBK"/>
      <w:sz w:val="44"/>
    </w:rPr>
  </w:style>
  <w:style w:type="character" w:customStyle="1" w:styleId="28">
    <w:name w:val="font121"/>
    <w:basedOn w:val="19"/>
    <w:qFormat/>
    <w:uiPriority w:val="0"/>
    <w:rPr>
      <w:rFonts w:ascii="方正小标宋简体" w:hAnsi="方正小标宋简体" w:eastAsia="方正小标宋简体" w:cs="方正小标宋简体"/>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2838</Words>
  <Characters>2901</Characters>
  <Lines>4</Lines>
  <Paragraphs>10</Paragraphs>
  <TotalTime>1</TotalTime>
  <ScaleCrop>false</ScaleCrop>
  <LinksUpToDate>false</LinksUpToDate>
  <CharactersWithSpaces>3021</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2022-03-04T00:40:00Z</dcterms:created>
  <dc:creator>张永桃</dc:creator>
  <cp:lastModifiedBy>pc</cp:lastModifiedBy>
  <cp:lastPrinted>2024-11-28T19:43:00Z</cp:lastPrinted>
  <dcterms:modified xsi:type="dcterms:W3CDTF">2026-09-07T14:39:11Z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5C6171C0A300F4D00F5C9E6A5FE3D1B2</vt:lpwstr>
  </property>
  <property fmtid="{D5CDD505-2E9C-101B-9397-08002B2CF9AE}" pid="4" name="KSOTemplateDocerSaveRecord">
    <vt:lpwstr>eyJoZGlkIjoiNjMyMjk4M2Y0Y2VhZmE1MmYyZjVlMWUyOGZkZTMxYTgiLCJ1c2VySWQiOiI0MjY5OTY3NDcifQ==</vt:lpwstr>
  </property>
</Properties>
</file>